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CC42D">
      <w:pPr>
        <w:jc w:val="center"/>
        <w:rPr>
          <w:rFonts w:hint="eastAsia" w:ascii="华文中宋" w:hAnsi="华文中宋" w:eastAsia="华文中宋"/>
          <w:b/>
          <w:sz w:val="36"/>
          <w:szCs w:val="36"/>
          <w:lang w:eastAsia="zh-CN"/>
        </w:rPr>
      </w:pPr>
      <w:r>
        <w:rPr>
          <w:rFonts w:hint="eastAsia" w:ascii="华文中宋" w:hAnsi="华文中宋" w:eastAsia="华文中宋"/>
          <w:b/>
          <w:sz w:val="36"/>
          <w:szCs w:val="36"/>
          <w:lang w:val="en-US" w:eastAsia="zh-CN"/>
        </w:rPr>
        <w:t>淮北煤化工基地</w:t>
      </w:r>
      <w:r>
        <w:rPr>
          <w:rFonts w:hint="eastAsia" w:ascii="华文中宋" w:hAnsi="华文中宋" w:eastAsia="华文中宋"/>
          <w:b/>
          <w:sz w:val="36"/>
          <w:szCs w:val="36"/>
        </w:rPr>
        <w:t>20</w:t>
      </w:r>
      <w:r>
        <w:rPr>
          <w:rFonts w:hint="eastAsia" w:ascii="华文中宋" w:hAnsi="华文中宋" w:eastAsia="华文中宋"/>
          <w:b/>
          <w:sz w:val="36"/>
          <w:szCs w:val="36"/>
          <w:lang w:val="en-US" w:eastAsia="zh-CN"/>
        </w:rPr>
        <w:t>24</w:t>
      </w:r>
      <w:bookmarkStart w:id="0" w:name="_GoBack"/>
      <w:bookmarkEnd w:id="0"/>
      <w:r>
        <w:rPr>
          <w:rFonts w:hint="eastAsia" w:ascii="华文中宋" w:hAnsi="华文中宋" w:eastAsia="华文中宋"/>
          <w:b/>
          <w:sz w:val="36"/>
          <w:szCs w:val="36"/>
        </w:rPr>
        <w:t>年</w:t>
      </w:r>
      <w:r>
        <w:rPr>
          <w:rFonts w:hint="eastAsia" w:ascii="华文中宋" w:hAnsi="华文中宋" w:eastAsia="华文中宋"/>
          <w:b/>
          <w:sz w:val="36"/>
          <w:szCs w:val="36"/>
          <w:lang w:eastAsia="zh-CN"/>
        </w:rPr>
        <w:t>财政决算</w:t>
      </w:r>
    </w:p>
    <w:p w14:paraId="09D06991">
      <w:pPr>
        <w:jc w:val="center"/>
        <w:rPr>
          <w:rFonts w:hint="eastAsia" w:ascii="华文中宋" w:hAnsi="华文中宋" w:eastAsia="华文中宋"/>
          <w:b/>
          <w:sz w:val="36"/>
          <w:szCs w:val="36"/>
          <w:lang w:eastAsia="zh-CN"/>
        </w:rPr>
      </w:pPr>
      <w:r>
        <w:rPr>
          <w:rFonts w:hint="eastAsia" w:ascii="华文中宋" w:hAnsi="华文中宋" w:eastAsia="华文中宋"/>
          <w:b/>
          <w:sz w:val="36"/>
          <w:szCs w:val="36"/>
          <w:lang w:eastAsia="zh-CN"/>
        </w:rPr>
        <w:t>草案相关名词解释</w:t>
      </w:r>
    </w:p>
    <w:p w14:paraId="43D5997B">
      <w:pPr>
        <w:spacing w:line="560" w:lineRule="exact"/>
        <w:ind w:firstLine="640" w:firstLineChars="200"/>
        <w:rPr>
          <w:rFonts w:ascii="仿宋_GB2312" w:eastAsia="仿宋_GB2312"/>
          <w:sz w:val="32"/>
          <w:szCs w:val="32"/>
        </w:rPr>
      </w:pPr>
    </w:p>
    <w:p w14:paraId="2D95B3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ascii="仿宋" w:hAnsi="仿宋" w:eastAsia="仿宋" w:cs="仿宋"/>
          <w:b/>
          <w:bCs/>
          <w:i w:val="0"/>
          <w:iCs w:val="0"/>
          <w:caps w:val="0"/>
          <w:color w:val="333333"/>
          <w:spacing w:val="0"/>
          <w:sz w:val="32"/>
          <w:szCs w:val="32"/>
          <w:shd w:val="clear" w:color="auto" w:fill="FFFFFF"/>
        </w:rPr>
        <w:t>1.</w:t>
      </w:r>
      <w:r>
        <w:rPr>
          <w:rFonts w:hint="eastAsia" w:ascii="仿宋" w:hAnsi="仿宋" w:eastAsia="仿宋" w:cs="仿宋"/>
          <w:b/>
          <w:bCs/>
          <w:i w:val="0"/>
          <w:iCs w:val="0"/>
          <w:caps w:val="0"/>
          <w:color w:val="333333"/>
          <w:spacing w:val="0"/>
          <w:sz w:val="32"/>
          <w:szCs w:val="32"/>
          <w:shd w:val="clear" w:color="auto" w:fill="FFFFFF"/>
        </w:rPr>
        <w:t>一般公共预算：</w:t>
      </w:r>
      <w:r>
        <w:rPr>
          <w:rFonts w:hint="eastAsia" w:ascii="仿宋" w:hAnsi="仿宋" w:eastAsia="仿宋" w:cs="仿宋"/>
          <w:i w:val="0"/>
          <w:iCs w:val="0"/>
          <w:caps w:val="0"/>
          <w:color w:val="333333"/>
          <w:spacing w:val="0"/>
          <w:sz w:val="32"/>
          <w:szCs w:val="32"/>
          <w:shd w:val="clear" w:color="auto" w:fill="FFFFFF"/>
        </w:rPr>
        <w:t>对以税收为主体的财政收入，安排用于保障和改善民生、推动经济社会发展、维护国家安全、维持国家机构正常运转等方面的收支预算。</w:t>
      </w:r>
    </w:p>
    <w:p w14:paraId="79042C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color="auto" w:fill="FFFFFF"/>
        </w:rPr>
        <w:t>2.政府性基金预算：</w:t>
      </w:r>
      <w:r>
        <w:rPr>
          <w:rFonts w:hint="eastAsia" w:ascii="仿宋" w:hAnsi="仿宋" w:eastAsia="仿宋" w:cs="仿宋"/>
          <w:i w:val="0"/>
          <w:iCs w:val="0"/>
          <w:caps w:val="0"/>
          <w:color w:val="333333"/>
          <w:spacing w:val="0"/>
          <w:sz w:val="32"/>
          <w:szCs w:val="32"/>
          <w:shd w:val="clear" w:color="auto" w:fill="FFFFFF"/>
        </w:rPr>
        <w:t>对依照法律、行政法规的规定在一定期限内向特定对象征收、收取或者以其他方式筹集的资金，专项用于特定公共事业发展的收支预算。</w:t>
      </w:r>
    </w:p>
    <w:p w14:paraId="77FE94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color="auto" w:fill="FFFFFF"/>
        </w:rPr>
        <w:t>3.国有资本经营预算：</w:t>
      </w:r>
      <w:r>
        <w:rPr>
          <w:rFonts w:hint="eastAsia" w:ascii="仿宋" w:hAnsi="仿宋" w:eastAsia="仿宋" w:cs="仿宋"/>
          <w:i w:val="0"/>
          <w:iCs w:val="0"/>
          <w:caps w:val="0"/>
          <w:color w:val="333333"/>
          <w:spacing w:val="0"/>
          <w:sz w:val="32"/>
          <w:szCs w:val="32"/>
          <w:shd w:val="clear" w:color="auto" w:fill="FFFFFF"/>
        </w:rPr>
        <w:t>对国有资本收益作出安排的收支预算。国有资本经营预算应当按照收支平衡的原则编制，并安排资金调入一般公共预算。</w:t>
      </w:r>
    </w:p>
    <w:p w14:paraId="1F10A8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color="auto" w:fill="FFFFFF"/>
        </w:rPr>
        <w:t>4.预算稳定调节基金：</w:t>
      </w:r>
      <w:r>
        <w:rPr>
          <w:rFonts w:hint="eastAsia" w:ascii="仿宋" w:hAnsi="仿宋" w:eastAsia="仿宋" w:cs="仿宋"/>
          <w:i w:val="0"/>
          <w:iCs w:val="0"/>
          <w:caps w:val="0"/>
          <w:color w:val="333333"/>
          <w:spacing w:val="0"/>
          <w:sz w:val="32"/>
          <w:szCs w:val="32"/>
          <w:shd w:val="clear" w:color="auto" w:fill="FFFFFF"/>
        </w:rPr>
        <w:t>财政通过超收收入和支出预算结余安排的具有储备性质的基金，视预算平衡情况，在安排下年度预算时调入并安排使用，或用于弥补短收年份预算执行的收支缺口。</w:t>
      </w:r>
    </w:p>
    <w:p w14:paraId="15610D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color="auto" w:fill="FFFFFF"/>
        </w:rPr>
        <w:t>5.预备费：</w:t>
      </w:r>
      <w:r>
        <w:rPr>
          <w:rFonts w:hint="eastAsia" w:ascii="仿宋" w:hAnsi="仿宋" w:eastAsia="仿宋" w:cs="仿宋"/>
          <w:i w:val="0"/>
          <w:iCs w:val="0"/>
          <w:caps w:val="0"/>
          <w:color w:val="333333"/>
          <w:spacing w:val="0"/>
          <w:sz w:val="32"/>
          <w:szCs w:val="32"/>
          <w:shd w:val="clear" w:color="auto" w:fill="FFFFFF"/>
        </w:rPr>
        <w:t>在编制预算中按照一般公共预算支出额的1%-3%设置预备费，用于当年预算执行中的自然灾害等突发事件处理增加的支出及其他难以预见的开支。</w:t>
      </w:r>
    </w:p>
    <w:p w14:paraId="403846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color="auto" w:fill="FFFFFF"/>
        </w:rPr>
        <w:t>6.上解</w:t>
      </w:r>
      <w:r>
        <w:rPr>
          <w:rFonts w:hint="eastAsia" w:ascii="仿宋" w:hAnsi="仿宋" w:eastAsia="仿宋" w:cs="仿宋"/>
          <w:b/>
          <w:bCs/>
          <w:i w:val="0"/>
          <w:iCs w:val="0"/>
          <w:caps w:val="0"/>
          <w:color w:val="333333"/>
          <w:spacing w:val="0"/>
          <w:sz w:val="32"/>
          <w:szCs w:val="32"/>
          <w:shd w:val="clear" w:color="auto" w:fill="FFFFFF"/>
          <w:lang w:eastAsia="zh-CN"/>
        </w:rPr>
        <w:t>预算</w:t>
      </w:r>
      <w:r>
        <w:rPr>
          <w:rFonts w:hint="eastAsia" w:ascii="仿宋" w:hAnsi="仿宋" w:eastAsia="仿宋" w:cs="仿宋"/>
          <w:b/>
          <w:bCs/>
          <w:i w:val="0"/>
          <w:iCs w:val="0"/>
          <w:caps w:val="0"/>
          <w:color w:val="333333"/>
          <w:spacing w:val="0"/>
          <w:sz w:val="32"/>
          <w:szCs w:val="32"/>
          <w:shd w:val="clear" w:color="auto" w:fill="FFFFFF"/>
        </w:rPr>
        <w:t>支出：</w:t>
      </w:r>
      <w:r>
        <w:rPr>
          <w:rFonts w:hint="eastAsia" w:ascii="仿宋" w:hAnsi="仿宋" w:eastAsia="仿宋" w:cs="仿宋"/>
          <w:i w:val="0"/>
          <w:iCs w:val="0"/>
          <w:caps w:val="0"/>
          <w:color w:val="333333"/>
          <w:spacing w:val="0"/>
          <w:sz w:val="32"/>
          <w:szCs w:val="32"/>
          <w:shd w:val="clear" w:color="auto" w:fill="FFFFFF"/>
          <w:lang w:eastAsia="zh-CN"/>
        </w:rPr>
        <w:t>指按照财政体制规定或专项需要由本级政府财政上交给上级政府财政的款项</w:t>
      </w:r>
      <w:r>
        <w:rPr>
          <w:rFonts w:hint="eastAsia" w:ascii="仿宋" w:hAnsi="仿宋" w:eastAsia="仿宋" w:cs="仿宋"/>
          <w:i w:val="0"/>
          <w:iCs w:val="0"/>
          <w:caps w:val="0"/>
          <w:color w:val="333333"/>
          <w:spacing w:val="0"/>
          <w:sz w:val="32"/>
          <w:szCs w:val="32"/>
          <w:shd w:val="clear" w:color="auto" w:fill="FFFFFF"/>
        </w:rPr>
        <w:t>。</w:t>
      </w:r>
    </w:p>
    <w:p w14:paraId="04CFEE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b/>
          <w:bCs/>
          <w:i w:val="0"/>
          <w:iCs w:val="0"/>
          <w:caps w:val="0"/>
          <w:color w:val="333333"/>
          <w:spacing w:val="0"/>
          <w:sz w:val="32"/>
          <w:szCs w:val="32"/>
          <w:shd w:val="clear" w:color="auto" w:fill="FFFFFF"/>
        </w:rPr>
        <w:t>7.调入资金：</w:t>
      </w:r>
      <w:r>
        <w:rPr>
          <w:rFonts w:hint="eastAsia" w:ascii="仿宋" w:hAnsi="仿宋" w:eastAsia="仿宋" w:cs="仿宋"/>
          <w:i w:val="0"/>
          <w:iCs w:val="0"/>
          <w:caps w:val="0"/>
          <w:color w:val="333333"/>
          <w:spacing w:val="0"/>
          <w:sz w:val="32"/>
          <w:szCs w:val="32"/>
          <w:shd w:val="clear" w:color="auto" w:fill="FFFFFF"/>
        </w:rPr>
        <w:t>政府财政为平衡某类预算收支，从其他类型预算或其他渠道调入的资金。</w:t>
      </w:r>
    </w:p>
    <w:p w14:paraId="048DA3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Calibri" w:hAnsi="Calibri" w:cs="Calibri"/>
          <w:i w:val="0"/>
          <w:iCs w:val="0"/>
          <w:caps w:val="0"/>
          <w:color w:val="333333"/>
          <w:spacing w:val="0"/>
          <w:sz w:val="21"/>
          <w:szCs w:val="21"/>
          <w:lang w:val="en-US" w:eastAsia="zh-CN"/>
        </w:rPr>
      </w:pPr>
      <w:r>
        <w:rPr>
          <w:rFonts w:hint="eastAsia" w:ascii="仿宋" w:hAnsi="仿宋" w:eastAsia="仿宋" w:cs="仿宋"/>
          <w:b/>
          <w:bCs/>
          <w:i w:val="0"/>
          <w:iCs w:val="0"/>
          <w:caps w:val="0"/>
          <w:color w:val="333333"/>
          <w:spacing w:val="0"/>
          <w:sz w:val="32"/>
          <w:szCs w:val="32"/>
          <w:shd w:val="clear" w:color="auto" w:fill="FFFFFF"/>
          <w:lang w:val="en-US" w:eastAsia="zh-CN"/>
        </w:rPr>
        <w:t>8</w:t>
      </w:r>
      <w:r>
        <w:rPr>
          <w:rFonts w:hint="eastAsia" w:ascii="仿宋" w:hAnsi="仿宋" w:eastAsia="仿宋" w:cs="仿宋"/>
          <w:b/>
          <w:bCs/>
          <w:i w:val="0"/>
          <w:iCs w:val="0"/>
          <w:caps w:val="0"/>
          <w:color w:val="333333"/>
          <w:spacing w:val="0"/>
          <w:sz w:val="32"/>
          <w:szCs w:val="32"/>
          <w:shd w:val="clear" w:color="auto" w:fill="FFFFFF"/>
        </w:rPr>
        <w:t>.政府专项债务：</w:t>
      </w:r>
      <w:r>
        <w:rPr>
          <w:rFonts w:hint="eastAsia" w:ascii="仿宋" w:hAnsi="仿宋" w:eastAsia="仿宋" w:cs="仿宋"/>
          <w:i w:val="0"/>
          <w:iCs w:val="0"/>
          <w:caps w:val="0"/>
          <w:color w:val="333333"/>
          <w:spacing w:val="0"/>
          <w:sz w:val="32"/>
          <w:szCs w:val="32"/>
          <w:shd w:val="clear" w:color="auto" w:fill="FFFFFF"/>
        </w:rPr>
        <w:t>为有一定收益的公益性事业发展举借，以对应的政府性基金或专项收入偿还的政府债务，由地方政府发行专项债券融资，债务资金纳入政府性基金预算管理。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TJjNTkwMDk3YmM4Y2U2NmFhNzM3MzlkYTZjN2EifQ=="/>
  </w:docVars>
  <w:rsids>
    <w:rsidRoot w:val="009347D7"/>
    <w:rsid w:val="002C7E64"/>
    <w:rsid w:val="002F3F4C"/>
    <w:rsid w:val="00327B6C"/>
    <w:rsid w:val="00807F19"/>
    <w:rsid w:val="00934195"/>
    <w:rsid w:val="009347D7"/>
    <w:rsid w:val="00980B7B"/>
    <w:rsid w:val="00A5251F"/>
    <w:rsid w:val="00A70C11"/>
    <w:rsid w:val="00AB4A6B"/>
    <w:rsid w:val="00F022A1"/>
    <w:rsid w:val="015772A4"/>
    <w:rsid w:val="036430C6"/>
    <w:rsid w:val="04EB042F"/>
    <w:rsid w:val="09427A6E"/>
    <w:rsid w:val="09AA4D5C"/>
    <w:rsid w:val="0ADF474F"/>
    <w:rsid w:val="0E1942B3"/>
    <w:rsid w:val="0F126435"/>
    <w:rsid w:val="0FA752C9"/>
    <w:rsid w:val="17CD79AA"/>
    <w:rsid w:val="186A1A6D"/>
    <w:rsid w:val="1C3E4F50"/>
    <w:rsid w:val="203903AF"/>
    <w:rsid w:val="26A34BB6"/>
    <w:rsid w:val="273B30AE"/>
    <w:rsid w:val="2D74105A"/>
    <w:rsid w:val="2E43718F"/>
    <w:rsid w:val="44AC163A"/>
    <w:rsid w:val="44C164DB"/>
    <w:rsid w:val="4B5D6832"/>
    <w:rsid w:val="4F50316B"/>
    <w:rsid w:val="505D14FA"/>
    <w:rsid w:val="5B6770EF"/>
    <w:rsid w:val="5C367545"/>
    <w:rsid w:val="5E8A7635"/>
    <w:rsid w:val="60192993"/>
    <w:rsid w:val="60AA45DF"/>
    <w:rsid w:val="687C5C26"/>
    <w:rsid w:val="697922AA"/>
    <w:rsid w:val="74C54F54"/>
    <w:rsid w:val="77861D03"/>
    <w:rsid w:val="7881239B"/>
    <w:rsid w:val="79486FFE"/>
    <w:rsid w:val="7B077F3A"/>
    <w:rsid w:val="7BCA1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character" w:customStyle="1" w:styleId="10">
    <w:name w:val="纯文本 Char"/>
    <w:basedOn w:val="7"/>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527</Words>
  <Characters>542</Characters>
  <Lines>2</Lines>
  <Paragraphs>1</Paragraphs>
  <TotalTime>1</TotalTime>
  <ScaleCrop>false</ScaleCrop>
  <LinksUpToDate>false</LinksUpToDate>
  <CharactersWithSpaces>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2020-01-27T10:57:00Z</dcterms:created>
  <dc:creator>lenovo</dc:creator>
  <cp:lastModifiedBy>大果子飞起来</cp:lastModifiedBy>
  <dcterms:modified xsi:type="dcterms:W3CDTF">2025-09-18T01:54:33Z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ECFB3F28FBE24CD39101AC7A156AF19D_12</vt:lpwstr>
  </property>
  <property fmtid="{D5CDD505-2E9C-101B-9397-08002B2CF9AE}" pid="4" name="KSOTemplateDocerSaveRecord">
    <vt:lpwstr>eyJoZGlkIjoiODZmYzhkYzBhY2NkZjkxZWU4ZjU5MjBmOWI3ZjZkNDQiLCJ1c2VySWQiOiIxMDMyNjg4Nzg1In0=</vt:lpwstr>
  </property>
</Properties>
</file>