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2BEF6E">
      <w:pPr>
        <w:jc w:val="center"/>
        <w:rPr>
          <w:rFonts w:ascii="Times New Roman" w:hAnsi="Times New Roman" w:cs="Times New Roman"/>
          <w:b/>
          <w:bCs/>
          <w:color w:val="auto"/>
          <w:sz w:val="52"/>
          <w:szCs w:val="52"/>
        </w:rPr>
      </w:pPr>
      <w:r>
        <w:rPr>
          <w:rFonts w:hint="eastAsia" w:ascii="Times New Roman" w:hAnsi="Times New Roman" w:cs="Times New Roman" w:eastAsiaTheme="minorEastAsia"/>
          <w:b/>
          <w:bCs/>
          <w:color w:val="auto"/>
          <w:sz w:val="52"/>
          <w:szCs w:val="52"/>
          <w:lang w:eastAsia="zh-CN"/>
        </w:rPr>
        <w:drawing>
          <wp:anchor distT="0" distB="0" distL="114300" distR="114300" simplePos="0" relativeHeight="251663360" behindDoc="0" locked="0" layoutInCell="1" allowOverlap="1">
            <wp:simplePos x="0" y="0"/>
            <wp:positionH relativeFrom="column">
              <wp:posOffset>-1104900</wp:posOffset>
            </wp:positionH>
            <wp:positionV relativeFrom="paragraph">
              <wp:posOffset>-901065</wp:posOffset>
            </wp:positionV>
            <wp:extent cx="7635875" cy="10427335"/>
            <wp:effectExtent l="0" t="0" r="3175" b="12065"/>
            <wp:wrapNone/>
            <wp:docPr id="26" name="图片 26" descr="16df16d0ccb512ca5abe9e858ed8b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6df16d0ccb512ca5abe9e858ed8b7f"/>
                    <pic:cNvPicPr>
                      <a:picLocks noChangeAspect="1"/>
                    </pic:cNvPicPr>
                  </pic:nvPicPr>
                  <pic:blipFill>
                    <a:blip r:embed="rId7"/>
                    <a:stretch>
                      <a:fillRect/>
                    </a:stretch>
                  </pic:blipFill>
                  <pic:spPr>
                    <a:xfrm>
                      <a:off x="0" y="0"/>
                      <a:ext cx="7635875" cy="10427335"/>
                    </a:xfrm>
                    <a:prstGeom prst="rect">
                      <a:avLst/>
                    </a:prstGeom>
                  </pic:spPr>
                </pic:pic>
              </a:graphicData>
            </a:graphic>
          </wp:anchor>
        </w:drawing>
      </w:r>
    </w:p>
    <w:p w14:paraId="5A333869">
      <w:pPr>
        <w:jc w:val="center"/>
        <w:rPr>
          <w:rFonts w:hint="eastAsia" w:ascii="Times New Roman" w:hAnsi="Times New Roman" w:cs="Times New Roman" w:eastAsiaTheme="minorEastAsia"/>
          <w:b/>
          <w:bCs/>
          <w:color w:val="auto"/>
          <w:sz w:val="52"/>
          <w:szCs w:val="52"/>
          <w:lang w:eastAsia="zh-CN"/>
        </w:rPr>
      </w:pPr>
    </w:p>
    <w:p w14:paraId="42B6E936">
      <w:pPr>
        <w:jc w:val="center"/>
        <w:rPr>
          <w:rFonts w:ascii="Times New Roman" w:hAnsi="Times New Roman" w:cs="Times New Roman"/>
          <w:b/>
          <w:bCs/>
          <w:color w:val="auto"/>
          <w:sz w:val="52"/>
          <w:szCs w:val="52"/>
        </w:rPr>
      </w:pPr>
    </w:p>
    <w:p w14:paraId="0524485B">
      <w:pPr>
        <w:jc w:val="center"/>
        <w:rPr>
          <w:rFonts w:ascii="Times New Roman" w:hAnsi="Times New Roman" w:cs="Times New Roman"/>
          <w:b/>
          <w:bCs/>
          <w:color w:val="auto"/>
          <w:sz w:val="52"/>
          <w:szCs w:val="52"/>
        </w:rPr>
      </w:pPr>
      <w:r>
        <w:rPr>
          <w:rFonts w:ascii="Times New Roman" w:hAnsi="Times New Roman" w:cs="Times New Roman"/>
          <w:b/>
          <w:bCs/>
          <w:color w:val="auto"/>
          <w:sz w:val="52"/>
          <w:szCs w:val="52"/>
        </w:rPr>
        <w:t>建设项目环境影响报告表</w:t>
      </w:r>
    </w:p>
    <w:p w14:paraId="68B92EE5">
      <w:pPr>
        <w:jc w:val="center"/>
        <w:rPr>
          <w:rFonts w:ascii="Times New Roman" w:hAnsi="Times New Roman" w:cs="Times New Roman"/>
          <w:color w:val="auto"/>
          <w:sz w:val="44"/>
          <w:szCs w:val="44"/>
        </w:rPr>
      </w:pPr>
      <w:r>
        <w:rPr>
          <w:rFonts w:ascii="Times New Roman" w:hAnsi="Times New Roman" w:cs="Times New Roman"/>
          <w:color w:val="auto"/>
          <w:sz w:val="44"/>
          <w:szCs w:val="44"/>
        </w:rPr>
        <w:t>（污染影响类）</w:t>
      </w:r>
    </w:p>
    <w:p w14:paraId="56A0DA22">
      <w:pPr>
        <w:jc w:val="center"/>
        <w:rPr>
          <w:rFonts w:ascii="Times New Roman" w:hAnsi="Times New Roman" w:cs="Times New Roman"/>
          <w:color w:val="auto"/>
          <w:sz w:val="44"/>
          <w:szCs w:val="44"/>
        </w:rPr>
      </w:pPr>
    </w:p>
    <w:p w14:paraId="3A8D0920">
      <w:pPr>
        <w:jc w:val="center"/>
        <w:rPr>
          <w:rFonts w:ascii="Times New Roman" w:hAnsi="Times New Roman" w:cs="Times New Roman"/>
          <w:color w:val="auto"/>
          <w:sz w:val="44"/>
          <w:szCs w:val="44"/>
        </w:rPr>
      </w:pPr>
    </w:p>
    <w:p w14:paraId="0203EF2D">
      <w:pPr>
        <w:jc w:val="center"/>
        <w:rPr>
          <w:rFonts w:ascii="Times New Roman" w:hAnsi="Times New Roman" w:cs="Times New Roman"/>
          <w:color w:val="auto"/>
          <w:sz w:val="44"/>
          <w:szCs w:val="44"/>
        </w:rPr>
      </w:pPr>
    </w:p>
    <w:p w14:paraId="6C050941">
      <w:pPr>
        <w:rPr>
          <w:rFonts w:ascii="Times New Roman" w:hAnsi="Times New Roman" w:cs="Times New Roman"/>
          <w:color w:val="auto"/>
          <w:sz w:val="28"/>
          <w:szCs w:val="28"/>
        </w:rPr>
      </w:pPr>
    </w:p>
    <w:p w14:paraId="4023535B">
      <w:pPr>
        <w:rPr>
          <w:rFonts w:ascii="Times New Roman" w:hAnsi="Times New Roman" w:cs="Times New Roman"/>
          <w:color w:val="auto"/>
          <w:sz w:val="28"/>
          <w:szCs w:val="28"/>
        </w:rPr>
      </w:pPr>
    </w:p>
    <w:p w14:paraId="7DFEAC19">
      <w:pPr>
        <w:rPr>
          <w:rFonts w:ascii="Times New Roman" w:hAnsi="Times New Roman" w:cs="Times New Roman"/>
          <w:color w:val="auto"/>
          <w:sz w:val="28"/>
          <w:szCs w:val="28"/>
        </w:rPr>
      </w:pPr>
    </w:p>
    <w:p w14:paraId="5841E17E">
      <w:pPr>
        <w:rPr>
          <w:rFonts w:ascii="Times New Roman" w:hAnsi="Times New Roman" w:cs="Times New Roman"/>
          <w:color w:val="auto"/>
          <w:sz w:val="24"/>
          <w:u w:val="single"/>
        </w:rPr>
      </w:pPr>
      <w:r>
        <w:rPr>
          <w:rFonts w:ascii="Times New Roman" w:hAnsi="Times New Roman" w:cs="Times New Roman"/>
          <w:color w:val="auto"/>
          <w:sz w:val="28"/>
          <w:szCs w:val="28"/>
        </w:rPr>
        <w:t>项目名称：</w:t>
      </w:r>
      <w:r>
        <w:rPr>
          <w:rFonts w:hint="eastAsia" w:ascii="Times New Roman" w:hAnsi="Times New Roman" w:cs="Times New Roman"/>
          <w:color w:val="auto"/>
          <w:sz w:val="24"/>
          <w:u w:val="single"/>
        </w:rPr>
        <w:t xml:space="preserve">   </w:t>
      </w:r>
      <w:r>
        <w:rPr>
          <w:rFonts w:hint="eastAsia" w:ascii="Times New Roman" w:hAnsi="Times New Roman" w:cs="Times New Roman"/>
          <w:color w:val="auto"/>
          <w:sz w:val="28"/>
          <w:szCs w:val="28"/>
          <w:u w:val="single"/>
        </w:rPr>
        <w:t>年产5万吨环保型功能性添加剂(一期)化验室项目</w:t>
      </w:r>
      <w:r>
        <w:rPr>
          <w:rFonts w:hint="eastAsia" w:ascii="Times New Roman" w:hAnsi="Times New Roman" w:cs="Times New Roman"/>
          <w:color w:val="auto"/>
          <w:sz w:val="28"/>
          <w:szCs w:val="28"/>
          <w:u w:val="single"/>
          <w:lang w:val="en-US" w:eastAsia="zh-CN"/>
        </w:rPr>
        <w:t xml:space="preserve"> </w:t>
      </w:r>
      <w:r>
        <w:rPr>
          <w:rFonts w:hint="eastAsia" w:ascii="Times New Roman" w:hAnsi="Times New Roman" w:cs="Times New Roman"/>
          <w:color w:val="auto"/>
          <w:sz w:val="28"/>
          <w:szCs w:val="28"/>
          <w:u w:val="single"/>
        </w:rPr>
        <w:t xml:space="preserve">   </w:t>
      </w:r>
      <w:r>
        <w:rPr>
          <w:rFonts w:hint="eastAsia" w:ascii="Times New Roman" w:hAnsi="Times New Roman" w:cs="Times New Roman"/>
          <w:color w:val="auto"/>
          <w:sz w:val="24"/>
          <w:u w:val="single"/>
        </w:rPr>
        <w:t xml:space="preserve">                 </w:t>
      </w:r>
    </w:p>
    <w:p w14:paraId="6A9D90A9">
      <w:pPr>
        <w:rPr>
          <w:rFonts w:ascii="Times New Roman" w:hAnsi="Times New Roman" w:cs="Times New Roman"/>
          <w:color w:val="auto"/>
          <w:sz w:val="28"/>
          <w:szCs w:val="28"/>
        </w:rPr>
      </w:pPr>
      <w:r>
        <w:rPr>
          <w:rFonts w:ascii="Times New Roman" w:hAnsi="Times New Roman" w:cs="Times New Roman"/>
          <w:color w:val="auto"/>
          <w:sz w:val="28"/>
          <w:szCs w:val="28"/>
        </w:rPr>
        <w:t>建设单位（盖章）：</w:t>
      </w:r>
      <w:r>
        <w:rPr>
          <w:rFonts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lang w:eastAsia="zh-CN"/>
        </w:rPr>
        <w:t>安徽长淮新材料有限公司</w:t>
      </w:r>
      <w:r>
        <w:rPr>
          <w:rFonts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rPr>
        <w:t xml:space="preserve">        </w:t>
      </w:r>
    </w:p>
    <w:p w14:paraId="05E5E0E2">
      <w:pPr>
        <w:rPr>
          <w:rFonts w:ascii="Times New Roman" w:hAnsi="Times New Roman" w:cs="Times New Roman"/>
          <w:color w:val="auto"/>
          <w:sz w:val="28"/>
          <w:szCs w:val="28"/>
        </w:rPr>
      </w:pPr>
      <w:r>
        <w:rPr>
          <w:rFonts w:hint="eastAsia" w:ascii="Times New Roman" w:hAnsi="Times New Roman" w:cs="Times New Roman"/>
          <w:color w:val="auto"/>
          <w:sz w:val="28"/>
          <w:szCs w:val="28"/>
        </w:rPr>
        <w:t>编制日期</w:t>
      </w:r>
      <w:r>
        <w:rPr>
          <w:rFonts w:ascii="Times New Roman" w:hAnsi="Times New Roman" w:cs="Times New Roman"/>
          <w:color w:val="auto"/>
          <w:sz w:val="28"/>
          <w:szCs w:val="28"/>
        </w:rPr>
        <w:t>：</w:t>
      </w:r>
      <w:r>
        <w:rPr>
          <w:rFonts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rPr>
        <w:t xml:space="preserve">          202</w:t>
      </w:r>
      <w:r>
        <w:rPr>
          <w:rFonts w:hint="eastAsia" w:ascii="Times New Roman" w:hAnsi="Times New Roman" w:cs="Times New Roman"/>
          <w:color w:val="auto"/>
          <w:sz w:val="28"/>
          <w:szCs w:val="28"/>
          <w:u w:val="single"/>
          <w:lang w:val="en-US" w:eastAsia="zh-CN"/>
        </w:rPr>
        <w:t>5</w:t>
      </w:r>
      <w:r>
        <w:rPr>
          <w:rFonts w:hint="eastAsia" w:ascii="Times New Roman" w:hAnsi="Times New Roman" w:cs="Times New Roman"/>
          <w:color w:val="auto"/>
          <w:sz w:val="28"/>
          <w:szCs w:val="28"/>
          <w:u w:val="single"/>
        </w:rPr>
        <w:t>年</w:t>
      </w:r>
      <w:r>
        <w:rPr>
          <w:rFonts w:hint="eastAsia" w:ascii="Times New Roman" w:hAnsi="Times New Roman" w:cs="Times New Roman"/>
          <w:color w:val="auto"/>
          <w:sz w:val="28"/>
          <w:szCs w:val="28"/>
          <w:u w:val="single"/>
          <w:lang w:val="en-US" w:eastAsia="zh-CN"/>
        </w:rPr>
        <w:t>05</w:t>
      </w:r>
      <w:r>
        <w:rPr>
          <w:rFonts w:hint="eastAsia" w:ascii="Times New Roman" w:hAnsi="Times New Roman" w:cs="Times New Roman"/>
          <w:color w:val="auto"/>
          <w:sz w:val="28"/>
          <w:szCs w:val="28"/>
          <w:u w:val="single"/>
        </w:rPr>
        <w:t>月</w:t>
      </w:r>
      <w:r>
        <w:rPr>
          <w:rFonts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rPr>
        <w:t xml:space="preserve"> </w:t>
      </w:r>
      <w:r>
        <w:rPr>
          <w:rFonts w:ascii="Times New Roman" w:hAnsi="Times New Roman" w:cs="Times New Roman"/>
          <w:color w:val="auto"/>
          <w:sz w:val="28"/>
          <w:szCs w:val="28"/>
          <w:u w:val="single"/>
        </w:rPr>
        <w:t xml:space="preserve">       </w:t>
      </w:r>
      <w:r>
        <w:rPr>
          <w:rFonts w:hint="eastAsia" w:ascii="Times New Roman" w:hAnsi="Times New Roman" w:cs="Times New Roman"/>
          <w:color w:val="auto"/>
          <w:sz w:val="28"/>
          <w:szCs w:val="28"/>
          <w:u w:val="single"/>
        </w:rPr>
        <w:t xml:space="preserve">            </w:t>
      </w:r>
    </w:p>
    <w:p w14:paraId="6CC4897A">
      <w:pPr>
        <w:jc w:val="center"/>
        <w:rPr>
          <w:rFonts w:ascii="Times New Roman" w:hAnsi="Times New Roman" w:cs="Times New Roman"/>
          <w:color w:val="auto"/>
          <w:sz w:val="28"/>
          <w:szCs w:val="28"/>
        </w:rPr>
      </w:pPr>
    </w:p>
    <w:p w14:paraId="26C98895">
      <w:pPr>
        <w:jc w:val="center"/>
        <w:rPr>
          <w:rFonts w:ascii="Times New Roman" w:hAnsi="Times New Roman" w:cs="Times New Roman"/>
          <w:color w:val="auto"/>
          <w:sz w:val="28"/>
          <w:szCs w:val="28"/>
        </w:rPr>
      </w:pPr>
    </w:p>
    <w:p w14:paraId="69DE4583">
      <w:pPr>
        <w:jc w:val="center"/>
        <w:rPr>
          <w:rFonts w:ascii="Times New Roman" w:hAnsi="Times New Roman" w:cs="Times New Roman"/>
          <w:color w:val="auto"/>
          <w:sz w:val="28"/>
          <w:szCs w:val="28"/>
        </w:rPr>
      </w:pPr>
    </w:p>
    <w:p w14:paraId="329AA857">
      <w:pPr>
        <w:jc w:val="center"/>
        <w:rPr>
          <w:rFonts w:ascii="Times New Roman" w:hAnsi="Times New Roman" w:cs="Times New Roman"/>
          <w:color w:val="auto"/>
          <w:sz w:val="28"/>
          <w:szCs w:val="28"/>
        </w:rPr>
      </w:pPr>
    </w:p>
    <w:p w14:paraId="2FE91516">
      <w:pPr>
        <w:jc w:val="center"/>
        <w:rPr>
          <w:rFonts w:ascii="Times New Roman" w:hAnsi="Times New Roman" w:cs="Times New Roman"/>
          <w:color w:val="auto"/>
          <w:sz w:val="28"/>
          <w:szCs w:val="28"/>
        </w:rPr>
      </w:pPr>
    </w:p>
    <w:p w14:paraId="5FADCFBA">
      <w:pPr>
        <w:jc w:val="center"/>
        <w:rPr>
          <w:rFonts w:ascii="Times New Roman" w:hAnsi="Times New Roman" w:cs="Times New Roman"/>
          <w:color w:val="auto"/>
          <w:sz w:val="28"/>
          <w:szCs w:val="28"/>
        </w:rPr>
      </w:pPr>
      <w:r>
        <w:rPr>
          <w:rFonts w:ascii="Times New Roman" w:hAnsi="Times New Roman" w:cs="Times New Roman"/>
          <w:color w:val="auto"/>
          <w:sz w:val="28"/>
          <w:szCs w:val="28"/>
        </w:rPr>
        <w:t>中华人民共和国生态环境部制</w:t>
      </w:r>
    </w:p>
    <w:p w14:paraId="3108D031">
      <w:pPr>
        <w:jc w:val="left"/>
        <w:rPr>
          <w:b/>
          <w:bCs/>
          <w:color w:val="auto"/>
          <w:sz w:val="28"/>
          <w:szCs w:val="28"/>
        </w:rPr>
        <w:sectPr>
          <w:pgSz w:w="11906" w:h="16838"/>
          <w:pgMar w:top="1440" w:right="1800" w:bottom="1440" w:left="1800" w:header="851" w:footer="992" w:gutter="0"/>
          <w:cols w:space="425" w:num="1"/>
          <w:docGrid w:type="lines" w:linePitch="312" w:charSpace="0"/>
        </w:sectPr>
      </w:pPr>
    </w:p>
    <w:p w14:paraId="7C5F38DD">
      <w:pPr>
        <w:jc w:val="left"/>
        <w:rPr>
          <w:rFonts w:hint="eastAsia" w:eastAsiaTheme="minorEastAsia"/>
          <w:b/>
          <w:bCs/>
          <w:color w:val="auto"/>
          <w:sz w:val="28"/>
          <w:szCs w:val="28"/>
          <w:lang w:eastAsia="zh-CN"/>
        </w:rPr>
      </w:pPr>
      <w:r>
        <w:rPr>
          <w:rFonts w:hint="eastAsia" w:eastAsiaTheme="minorEastAsia"/>
          <w:b/>
          <w:bCs/>
          <w:color w:val="auto"/>
          <w:sz w:val="28"/>
          <w:szCs w:val="28"/>
          <w:lang w:eastAsia="zh-CN"/>
        </w:rPr>
        <w:drawing>
          <wp:inline distT="0" distB="0" distL="114300" distR="114300">
            <wp:extent cx="6153150" cy="8448675"/>
            <wp:effectExtent l="0" t="0" r="0" b="9525"/>
            <wp:docPr id="27" name="图片 27" descr="d4e8725cf401448e2368a0a59ea56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4e8725cf401448e2368a0a59ea56f9"/>
                    <pic:cNvPicPr>
                      <a:picLocks noChangeAspect="1"/>
                    </pic:cNvPicPr>
                  </pic:nvPicPr>
                  <pic:blipFill>
                    <a:blip r:embed="rId8"/>
                    <a:stretch>
                      <a:fillRect/>
                    </a:stretch>
                  </pic:blipFill>
                  <pic:spPr>
                    <a:xfrm>
                      <a:off x="0" y="0"/>
                      <a:ext cx="6153150" cy="8448675"/>
                    </a:xfrm>
                    <a:prstGeom prst="rect">
                      <a:avLst/>
                    </a:prstGeom>
                  </pic:spPr>
                </pic:pic>
              </a:graphicData>
            </a:graphic>
          </wp:inline>
        </w:drawing>
      </w:r>
    </w:p>
    <w:p w14:paraId="429F801F">
      <w:pPr>
        <w:jc w:val="left"/>
        <w:rPr>
          <w:rFonts w:hint="eastAsia"/>
          <w:b/>
          <w:bCs/>
          <w:color w:val="auto"/>
          <w:sz w:val="28"/>
          <w:szCs w:val="28"/>
        </w:rPr>
      </w:pPr>
    </w:p>
    <w:p w14:paraId="69470753">
      <w:pPr>
        <w:jc w:val="left"/>
        <w:rPr>
          <w:b/>
          <w:bCs/>
          <w:color w:val="auto"/>
          <w:sz w:val="28"/>
          <w:szCs w:val="28"/>
        </w:rPr>
      </w:pPr>
      <w:r>
        <w:rPr>
          <w:rFonts w:hint="eastAsia"/>
          <w:b/>
          <w:bCs/>
          <w:color w:val="auto"/>
          <w:sz w:val="28"/>
          <w:szCs w:val="28"/>
        </w:rPr>
        <w:t>一、建设项目基本情况</w:t>
      </w:r>
    </w:p>
    <w:tbl>
      <w:tblPr>
        <w:tblStyle w:val="29"/>
        <w:tblW w:w="102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7"/>
        <w:gridCol w:w="2848"/>
        <w:gridCol w:w="2155"/>
        <w:gridCol w:w="3665"/>
      </w:tblGrid>
      <w:tr w14:paraId="6CD241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6ABB4D51">
            <w:pPr>
              <w:jc w:val="center"/>
              <w:rPr>
                <w:rFonts w:ascii="Times New Roman" w:hAnsi="Times New Roman" w:cs="Times New Roman"/>
                <w:color w:val="auto"/>
                <w:sz w:val="24"/>
              </w:rPr>
            </w:pPr>
            <w:r>
              <w:rPr>
                <w:rFonts w:ascii="Times New Roman" w:hAnsi="Times New Roman" w:cs="Times New Roman"/>
                <w:color w:val="auto"/>
                <w:sz w:val="24"/>
              </w:rPr>
              <w:t>建设项目名称</w:t>
            </w:r>
          </w:p>
        </w:tc>
        <w:tc>
          <w:tcPr>
            <w:tcW w:w="8514" w:type="dxa"/>
            <w:gridSpan w:val="3"/>
            <w:vAlign w:val="center"/>
          </w:tcPr>
          <w:p w14:paraId="1FDCC041">
            <w:pPr>
              <w:jc w:val="center"/>
              <w:rPr>
                <w:rFonts w:ascii="Times New Roman" w:hAnsi="Times New Roman" w:cs="Times New Roman"/>
                <w:color w:val="auto"/>
                <w:sz w:val="24"/>
              </w:rPr>
            </w:pPr>
            <w:r>
              <w:rPr>
                <w:rFonts w:hint="eastAsia" w:ascii="宋体" w:cs="宋体"/>
                <w:color w:val="auto"/>
                <w:kern w:val="0"/>
                <w:sz w:val="24"/>
                <w:szCs w:val="24"/>
                <w:lang w:val="en-US" w:eastAsia="zh-CN"/>
              </w:rPr>
              <w:t>年产5万吨环保型功能性添加剂(一期)化验室项目</w:t>
            </w:r>
          </w:p>
        </w:tc>
      </w:tr>
      <w:tr w14:paraId="6F5CEE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3A47AC8D">
            <w:pPr>
              <w:jc w:val="center"/>
              <w:rPr>
                <w:rFonts w:ascii="Times New Roman" w:hAnsi="Times New Roman" w:cs="Times New Roman"/>
                <w:color w:val="auto"/>
                <w:sz w:val="24"/>
              </w:rPr>
            </w:pPr>
            <w:r>
              <w:rPr>
                <w:rFonts w:ascii="Times New Roman" w:hAnsi="Times New Roman" w:cs="Times New Roman"/>
                <w:color w:val="auto"/>
                <w:sz w:val="24"/>
              </w:rPr>
              <w:t>项目代码</w:t>
            </w:r>
          </w:p>
        </w:tc>
        <w:tc>
          <w:tcPr>
            <w:tcW w:w="8514" w:type="dxa"/>
            <w:gridSpan w:val="3"/>
            <w:vAlign w:val="center"/>
          </w:tcPr>
          <w:p w14:paraId="6246A52E">
            <w:pPr>
              <w:jc w:val="center"/>
              <w:rPr>
                <w:rFonts w:hint="default" w:ascii="Times New Roman" w:hAnsi="Times New Roman" w:cs="Times New Roman" w:eastAsiaTheme="minorEastAsia"/>
                <w:color w:val="auto"/>
                <w:sz w:val="24"/>
                <w:lang w:val="en-US" w:eastAsia="zh-CN"/>
              </w:rPr>
            </w:pPr>
            <w:r>
              <w:rPr>
                <w:rFonts w:hint="eastAsia" w:ascii="Times New Roman" w:hAnsi="Times New Roman" w:cs="Times New Roman"/>
                <w:color w:val="auto"/>
                <w:sz w:val="24"/>
                <w:lang w:val="en-US" w:eastAsia="zh-CN"/>
              </w:rPr>
              <w:t>2504-340664-04-02-777373</w:t>
            </w:r>
          </w:p>
        </w:tc>
      </w:tr>
      <w:tr w14:paraId="4543AE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649131FD">
            <w:pPr>
              <w:jc w:val="center"/>
              <w:rPr>
                <w:rFonts w:ascii="Times New Roman" w:hAnsi="Times New Roman" w:cs="Times New Roman"/>
                <w:color w:val="auto"/>
                <w:sz w:val="24"/>
              </w:rPr>
            </w:pPr>
            <w:r>
              <w:rPr>
                <w:rFonts w:ascii="Times New Roman" w:hAnsi="Times New Roman" w:cs="Times New Roman"/>
                <w:color w:val="auto"/>
                <w:sz w:val="24"/>
              </w:rPr>
              <w:t>建设单位</w:t>
            </w:r>
          </w:p>
          <w:p w14:paraId="42ED6727">
            <w:pPr>
              <w:jc w:val="center"/>
              <w:rPr>
                <w:rFonts w:ascii="Times New Roman" w:hAnsi="Times New Roman" w:cs="Times New Roman"/>
                <w:color w:val="auto"/>
                <w:sz w:val="24"/>
              </w:rPr>
            </w:pPr>
            <w:r>
              <w:rPr>
                <w:rFonts w:ascii="Times New Roman" w:hAnsi="Times New Roman" w:cs="Times New Roman"/>
                <w:color w:val="auto"/>
                <w:sz w:val="24"/>
              </w:rPr>
              <w:t>联系人</w:t>
            </w:r>
          </w:p>
        </w:tc>
        <w:tc>
          <w:tcPr>
            <w:tcW w:w="2700" w:type="dxa"/>
            <w:vAlign w:val="center"/>
          </w:tcPr>
          <w:p w14:paraId="69B907BF">
            <w:pPr>
              <w:jc w:val="center"/>
              <w:rPr>
                <w:rFonts w:hint="eastAsia" w:ascii="宋体" w:cs="宋体"/>
                <w:color w:val="auto"/>
                <w:kern w:val="0"/>
                <w:sz w:val="24"/>
                <w:szCs w:val="24"/>
                <w:lang w:val="en-US" w:eastAsia="zh-CN"/>
              </w:rPr>
            </w:pPr>
            <w:r>
              <w:rPr>
                <w:rFonts w:hint="eastAsia" w:ascii="宋体" w:cs="宋体"/>
                <w:color w:val="auto"/>
                <w:kern w:val="0"/>
                <w:sz w:val="24"/>
                <w:szCs w:val="24"/>
                <w:lang w:val="en-US" w:eastAsia="zh-CN"/>
              </w:rPr>
              <w:t>张鹏</w:t>
            </w:r>
          </w:p>
        </w:tc>
        <w:tc>
          <w:tcPr>
            <w:tcW w:w="2144" w:type="dxa"/>
            <w:vAlign w:val="center"/>
          </w:tcPr>
          <w:p w14:paraId="4A53F80B">
            <w:pPr>
              <w:jc w:val="center"/>
              <w:rPr>
                <w:rFonts w:hint="eastAsia" w:ascii="宋体" w:cs="宋体"/>
                <w:color w:val="auto"/>
                <w:kern w:val="0"/>
                <w:sz w:val="24"/>
                <w:szCs w:val="24"/>
                <w:lang w:val="en-US" w:eastAsia="zh-CN"/>
              </w:rPr>
            </w:pPr>
            <w:r>
              <w:rPr>
                <w:rFonts w:hint="eastAsia" w:ascii="宋体" w:cs="宋体"/>
                <w:color w:val="auto"/>
                <w:kern w:val="0"/>
                <w:sz w:val="24"/>
                <w:szCs w:val="24"/>
                <w:lang w:val="en-US" w:eastAsia="zh-CN"/>
              </w:rPr>
              <w:t>联系方式</w:t>
            </w:r>
          </w:p>
        </w:tc>
        <w:tc>
          <w:tcPr>
            <w:tcW w:w="3670" w:type="dxa"/>
            <w:vAlign w:val="center"/>
          </w:tcPr>
          <w:p w14:paraId="4F3E53AA">
            <w:pPr>
              <w:jc w:val="center"/>
              <w:rPr>
                <w:rFonts w:hint="eastAsia" w:ascii="宋体" w:cs="宋体"/>
                <w:color w:val="auto"/>
                <w:kern w:val="0"/>
                <w:sz w:val="24"/>
                <w:szCs w:val="24"/>
                <w:lang w:val="en-US" w:eastAsia="zh-CN"/>
              </w:rPr>
            </w:pPr>
            <w:r>
              <w:rPr>
                <w:rFonts w:hint="eastAsia" w:ascii="宋体" w:cs="宋体"/>
                <w:color w:val="auto"/>
                <w:kern w:val="0"/>
                <w:sz w:val="24"/>
                <w:szCs w:val="24"/>
                <w:lang w:val="en-US" w:eastAsia="zh-CN"/>
              </w:rPr>
              <w:t>13339213997</w:t>
            </w:r>
          </w:p>
        </w:tc>
      </w:tr>
      <w:tr w14:paraId="5534F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5DECAC63">
            <w:pPr>
              <w:jc w:val="center"/>
              <w:rPr>
                <w:rFonts w:ascii="Times New Roman" w:hAnsi="Times New Roman" w:cs="Times New Roman"/>
                <w:color w:val="auto"/>
                <w:sz w:val="24"/>
              </w:rPr>
            </w:pPr>
            <w:r>
              <w:rPr>
                <w:rFonts w:ascii="Times New Roman" w:hAnsi="Times New Roman" w:cs="Times New Roman"/>
                <w:color w:val="auto"/>
                <w:sz w:val="24"/>
              </w:rPr>
              <w:t>建设地点</w:t>
            </w:r>
          </w:p>
        </w:tc>
        <w:tc>
          <w:tcPr>
            <w:tcW w:w="8514" w:type="dxa"/>
            <w:gridSpan w:val="3"/>
            <w:vAlign w:val="center"/>
          </w:tcPr>
          <w:p w14:paraId="38EA2872">
            <w:pPr>
              <w:jc w:val="center"/>
              <w:rPr>
                <w:rFonts w:hint="default" w:ascii="Times New Roman" w:hAnsi="Times New Roman" w:eastAsia="宋体" w:cs="Times New Roman"/>
                <w:color w:val="auto"/>
                <w:sz w:val="24"/>
                <w:lang w:val="en-US"/>
              </w:rPr>
            </w:pPr>
            <w:r>
              <w:rPr>
                <w:rFonts w:hint="eastAsia" w:ascii="Times New Roman" w:hAnsi="Times New Roman" w:cs="Times New Roman"/>
                <w:color w:val="auto"/>
                <w:sz w:val="24"/>
                <w:szCs w:val="24"/>
                <w:lang w:val="en-US" w:eastAsia="zh-CN"/>
              </w:rPr>
              <w:t>安徽（淮北）新型煤化工合成材料基地安徽长淮新材料有限公司公用工程房二楼</w:t>
            </w:r>
          </w:p>
        </w:tc>
      </w:tr>
      <w:tr w14:paraId="06D0F8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612740E8">
            <w:pPr>
              <w:jc w:val="center"/>
              <w:rPr>
                <w:rFonts w:ascii="Times New Roman" w:hAnsi="Times New Roman" w:cs="Times New Roman"/>
                <w:color w:val="auto"/>
                <w:sz w:val="24"/>
              </w:rPr>
            </w:pPr>
            <w:r>
              <w:rPr>
                <w:rFonts w:ascii="Times New Roman" w:hAnsi="Times New Roman" w:cs="Times New Roman"/>
                <w:color w:val="auto"/>
                <w:sz w:val="24"/>
              </w:rPr>
              <w:t>地理坐标</w:t>
            </w:r>
          </w:p>
        </w:tc>
        <w:tc>
          <w:tcPr>
            <w:tcW w:w="8514" w:type="dxa"/>
            <w:gridSpan w:val="3"/>
            <w:vAlign w:val="center"/>
          </w:tcPr>
          <w:p w14:paraId="17E3623E">
            <w:pPr>
              <w:jc w:val="center"/>
              <w:rPr>
                <w:rFonts w:ascii="Times New Roman" w:hAnsi="Times New Roman" w:cs="Times New Roman"/>
                <w:color w:val="auto"/>
                <w:sz w:val="24"/>
              </w:rPr>
            </w:pPr>
            <w:r>
              <w:rPr>
                <w:rFonts w:hint="eastAsia" w:ascii="Times New Roman" w:hAnsi="Times New Roman" w:cs="Times New Roman"/>
                <w:color w:val="auto"/>
                <w:sz w:val="24"/>
                <w:lang w:val="en-US" w:eastAsia="zh-CN"/>
              </w:rPr>
              <w:t>E</w:t>
            </w:r>
            <w:r>
              <w:rPr>
                <w:rFonts w:hint="default" w:ascii="Times New Roman" w:hAnsi="Times New Roman" w:cs="Times New Roman"/>
                <w:color w:val="auto"/>
                <w:sz w:val="24"/>
              </w:rPr>
              <w:t>116</w:t>
            </w:r>
            <w:r>
              <w:rPr>
                <w:rFonts w:hint="eastAsia" w:ascii="Times New Roman" w:hAnsi="Times New Roman" w:cs="Times New Roman"/>
                <w:color w:val="auto"/>
                <w:sz w:val="24"/>
                <w:lang w:val="en-US" w:eastAsia="zh-CN"/>
              </w:rPr>
              <w:t>.554871408</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N</w:t>
            </w:r>
            <w:r>
              <w:rPr>
                <w:rFonts w:hint="default" w:ascii="Times New Roman" w:hAnsi="Times New Roman" w:cs="Times New Roman"/>
                <w:color w:val="auto"/>
                <w:sz w:val="24"/>
              </w:rPr>
              <w:t xml:space="preserve"> 33</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614028677</w:t>
            </w:r>
            <w:r>
              <w:rPr>
                <w:rFonts w:hint="default" w:ascii="Times New Roman" w:hAnsi="Times New Roman" w:cs="Times New Roman"/>
                <w:color w:val="auto"/>
                <w:sz w:val="24"/>
              </w:rPr>
              <w:t>°</w:t>
            </w:r>
          </w:p>
        </w:tc>
      </w:tr>
      <w:tr w14:paraId="636A42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0111A2C0">
            <w:pPr>
              <w:jc w:val="center"/>
              <w:rPr>
                <w:rFonts w:ascii="Times New Roman" w:hAnsi="Times New Roman" w:cs="Times New Roman"/>
                <w:color w:val="auto"/>
                <w:sz w:val="24"/>
              </w:rPr>
            </w:pPr>
            <w:r>
              <w:rPr>
                <w:rFonts w:ascii="Times New Roman" w:hAnsi="Times New Roman" w:cs="Times New Roman"/>
                <w:color w:val="auto"/>
                <w:sz w:val="24"/>
              </w:rPr>
              <w:t>国民经济</w:t>
            </w:r>
          </w:p>
          <w:p w14:paraId="4D03465C">
            <w:pPr>
              <w:jc w:val="center"/>
              <w:rPr>
                <w:rFonts w:ascii="Times New Roman" w:hAnsi="Times New Roman" w:cs="Times New Roman"/>
                <w:color w:val="auto"/>
                <w:sz w:val="24"/>
              </w:rPr>
            </w:pPr>
            <w:r>
              <w:rPr>
                <w:rFonts w:ascii="Times New Roman" w:hAnsi="Times New Roman" w:cs="Times New Roman"/>
                <w:color w:val="auto"/>
                <w:sz w:val="24"/>
              </w:rPr>
              <w:t>行业类别</w:t>
            </w:r>
          </w:p>
        </w:tc>
        <w:tc>
          <w:tcPr>
            <w:tcW w:w="2700" w:type="dxa"/>
            <w:vAlign w:val="center"/>
          </w:tcPr>
          <w:p w14:paraId="7EAEDF5E">
            <w:pPr>
              <w:jc w:val="center"/>
              <w:rPr>
                <w:rFonts w:ascii="Times New Roman" w:hAnsi="Times New Roman" w:cs="Times New Roman"/>
                <w:color w:val="auto"/>
                <w:sz w:val="24"/>
              </w:rPr>
            </w:pPr>
            <w:r>
              <w:rPr>
                <w:rFonts w:hint="eastAsia" w:ascii="Times New Roman" w:hAnsi="Times New Roman" w:cs="Times New Roman"/>
                <w:color w:val="auto"/>
                <w:sz w:val="24"/>
                <w:szCs w:val="24"/>
                <w:lang w:eastAsia="zh-CN"/>
              </w:rPr>
              <w:t>检测服务</w:t>
            </w:r>
            <w:r>
              <w:rPr>
                <w:rFonts w:ascii="Times New Roman" w:hAnsi="Times New Roman" w:cs="Times New Roman"/>
                <w:color w:val="auto"/>
                <w:sz w:val="24"/>
                <w:szCs w:val="24"/>
              </w:rPr>
              <w:t>【</w:t>
            </w:r>
            <w:r>
              <w:rPr>
                <w:rFonts w:hint="eastAsia" w:ascii="Times New Roman" w:hAnsi="Times New Roman" w:cs="Times New Roman"/>
                <w:b/>
                <w:bCs/>
                <w:color w:val="auto"/>
                <w:sz w:val="24"/>
                <w:szCs w:val="24"/>
                <w:lang w:val="en-US" w:eastAsia="zh-CN"/>
              </w:rPr>
              <w:t>M7452</w:t>
            </w:r>
            <w:r>
              <w:rPr>
                <w:rFonts w:ascii="Times New Roman" w:hAnsi="Times New Roman" w:cs="Times New Roman"/>
                <w:color w:val="auto"/>
                <w:sz w:val="24"/>
                <w:szCs w:val="24"/>
              </w:rPr>
              <w:t>】</w:t>
            </w:r>
          </w:p>
        </w:tc>
        <w:tc>
          <w:tcPr>
            <w:tcW w:w="2144" w:type="dxa"/>
            <w:vAlign w:val="center"/>
          </w:tcPr>
          <w:p w14:paraId="1D693E33">
            <w:pPr>
              <w:jc w:val="center"/>
              <w:rPr>
                <w:rFonts w:ascii="Times New Roman" w:hAnsi="Times New Roman" w:cs="Times New Roman"/>
                <w:color w:val="auto"/>
                <w:sz w:val="24"/>
              </w:rPr>
            </w:pPr>
            <w:r>
              <w:rPr>
                <w:rFonts w:ascii="Times New Roman" w:hAnsi="Times New Roman" w:cs="Times New Roman"/>
                <w:color w:val="auto"/>
                <w:sz w:val="24"/>
              </w:rPr>
              <w:t>建设项目</w:t>
            </w:r>
          </w:p>
          <w:p w14:paraId="22411CEE">
            <w:pPr>
              <w:jc w:val="center"/>
              <w:rPr>
                <w:rFonts w:ascii="Times New Roman" w:hAnsi="Times New Roman" w:cs="Times New Roman"/>
                <w:color w:val="auto"/>
                <w:sz w:val="24"/>
              </w:rPr>
            </w:pPr>
            <w:r>
              <w:rPr>
                <w:rFonts w:ascii="Times New Roman" w:hAnsi="Times New Roman" w:cs="Times New Roman"/>
                <w:color w:val="auto"/>
                <w:sz w:val="24"/>
              </w:rPr>
              <w:t>行业类别</w:t>
            </w:r>
          </w:p>
        </w:tc>
        <w:tc>
          <w:tcPr>
            <w:tcW w:w="3670" w:type="dxa"/>
            <w:vAlign w:val="center"/>
          </w:tcPr>
          <w:p w14:paraId="6F60E8F8">
            <w:pPr>
              <w:jc w:val="left"/>
              <w:rPr>
                <w:rFonts w:hint="eastAsia" w:ascii="Times New Roman" w:hAnsi="Times New Roman" w:eastAsia="宋体" w:cs="Times New Roman"/>
                <w:color w:val="auto"/>
                <w:sz w:val="24"/>
              </w:rPr>
            </w:pPr>
            <w:r>
              <w:rPr>
                <w:rFonts w:hint="eastAsia" w:eastAsia="宋体" w:cs="宋体"/>
                <w:color w:val="auto"/>
                <w:sz w:val="24"/>
              </w:rPr>
              <w:t>“</w:t>
            </w:r>
            <w:r>
              <w:rPr>
                <w:rFonts w:hint="eastAsia" w:eastAsia="宋体" w:cs="宋体"/>
                <w:b w:val="0"/>
                <w:bCs w:val="0"/>
                <w:color w:val="auto"/>
                <w:sz w:val="24"/>
              </w:rPr>
              <w:t>四十五、研究和试验发展</w:t>
            </w:r>
            <w:r>
              <w:rPr>
                <w:rFonts w:hint="eastAsia" w:eastAsia="宋体" w:cs="宋体"/>
                <w:color w:val="auto"/>
                <w:sz w:val="24"/>
              </w:rPr>
              <w:t>”中</w:t>
            </w:r>
            <w:r>
              <w:rPr>
                <w:rFonts w:ascii="Times New Roman" w:hAnsi="Times New Roman" w:eastAsia="宋体"/>
                <w:color w:val="auto"/>
                <w:sz w:val="24"/>
              </w:rPr>
              <w:t>第</w:t>
            </w:r>
            <w:r>
              <w:rPr>
                <w:rFonts w:hint="eastAsia" w:ascii="Times New Roman" w:hAnsi="Times New Roman" w:eastAsia="宋体"/>
                <w:color w:val="auto"/>
                <w:sz w:val="24"/>
                <w:lang w:val="en-US" w:eastAsia="zh-CN"/>
              </w:rPr>
              <w:t>98</w:t>
            </w:r>
            <w:r>
              <w:rPr>
                <w:rFonts w:ascii="Times New Roman" w:hAnsi="Times New Roman" w:eastAsia="宋体"/>
                <w:color w:val="auto"/>
                <w:sz w:val="24"/>
              </w:rPr>
              <w:t>项</w:t>
            </w:r>
            <w:r>
              <w:rPr>
                <w:rFonts w:hint="eastAsia" w:eastAsia="宋体" w:cs="宋体"/>
                <w:color w:val="auto"/>
                <w:sz w:val="24"/>
              </w:rPr>
              <w:t>“</w:t>
            </w:r>
            <w:r>
              <w:rPr>
                <w:rFonts w:hint="eastAsia" w:ascii="Times New Roman" w:hAnsi="Times New Roman" w:eastAsia="宋体" w:cs="Times New Roman"/>
                <w:color w:val="auto"/>
                <w:sz w:val="24"/>
              </w:rPr>
              <w:t>专业</w:t>
            </w:r>
            <w:r>
              <w:rPr>
                <w:rFonts w:hint="eastAsia" w:ascii="Times New Roman" w:hAnsi="Times New Roman" w:eastAsia="宋体" w:cs="Times New Roman"/>
                <w:color w:val="auto"/>
                <w:sz w:val="24"/>
                <w:lang w:eastAsia="zh-CN"/>
              </w:rPr>
              <w:t>化验室</w:t>
            </w:r>
            <w:r>
              <w:rPr>
                <w:rFonts w:hint="eastAsia" w:ascii="Times New Roman" w:hAnsi="Times New Roman" w:eastAsia="宋体" w:cs="Times New Roman"/>
                <w:color w:val="auto"/>
                <w:sz w:val="24"/>
              </w:rPr>
              <w:t>、研发（试</w:t>
            </w:r>
          </w:p>
          <w:p w14:paraId="13262D7B">
            <w:pPr>
              <w:jc w:val="left"/>
              <w:rPr>
                <w:rFonts w:ascii="Times New Roman" w:hAnsi="Times New Roman" w:cs="Times New Roman"/>
                <w:color w:val="auto"/>
                <w:sz w:val="24"/>
              </w:rPr>
            </w:pPr>
            <w:r>
              <w:rPr>
                <w:rFonts w:hint="eastAsia" w:ascii="Times New Roman" w:hAnsi="Times New Roman" w:eastAsia="宋体" w:cs="Times New Roman"/>
                <w:color w:val="auto"/>
                <w:sz w:val="24"/>
              </w:rPr>
              <w:t>验）基地</w:t>
            </w:r>
            <w:r>
              <w:rPr>
                <w:rFonts w:hint="eastAsia" w:eastAsia="宋体" w:cs="宋体"/>
                <w:color w:val="auto"/>
                <w:sz w:val="24"/>
              </w:rPr>
              <w:t>”</w:t>
            </w:r>
          </w:p>
        </w:tc>
      </w:tr>
      <w:tr w14:paraId="5D9D61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1C5A6CB9">
            <w:pPr>
              <w:jc w:val="center"/>
              <w:rPr>
                <w:rFonts w:ascii="Times New Roman" w:hAnsi="Times New Roman" w:cs="Times New Roman"/>
                <w:color w:val="auto"/>
                <w:sz w:val="24"/>
              </w:rPr>
            </w:pPr>
            <w:r>
              <w:rPr>
                <w:rFonts w:ascii="Times New Roman" w:hAnsi="Times New Roman" w:cs="Times New Roman"/>
                <w:color w:val="auto"/>
                <w:sz w:val="24"/>
              </w:rPr>
              <w:t>建设性质</w:t>
            </w:r>
          </w:p>
        </w:tc>
        <w:tc>
          <w:tcPr>
            <w:tcW w:w="2700" w:type="dxa"/>
            <w:vAlign w:val="center"/>
          </w:tcPr>
          <w:p w14:paraId="51042F9E">
            <w:pPr>
              <w:rPr>
                <w:rFonts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eastAsia="宋体" w:cs="宋体"/>
                <w:color w:val="auto"/>
                <w:sz w:val="24"/>
              </w:rPr>
              <w:t>新建（迁建）</w:t>
            </w:r>
          </w:p>
          <w:p w14:paraId="65E07C16">
            <w:pPr>
              <w:rPr>
                <w:rFonts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eastAsia="宋体" w:cs="宋体"/>
                <w:color w:val="auto"/>
                <w:sz w:val="24"/>
              </w:rPr>
              <w:t>改建</w:t>
            </w:r>
          </w:p>
          <w:p w14:paraId="0444BA00">
            <w:pPr>
              <w:rPr>
                <w:rFonts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eastAsia="宋体" w:cs="宋体"/>
                <w:color w:val="auto"/>
                <w:sz w:val="24"/>
              </w:rPr>
              <w:t>扩建</w:t>
            </w:r>
          </w:p>
          <w:p w14:paraId="556475C6">
            <w:pPr>
              <w:rPr>
                <w:rFonts w:ascii="Times New Roman" w:hAnsi="Times New Roman" w:cs="Times New Roman"/>
                <w:color w:val="auto"/>
                <w:sz w:val="24"/>
              </w:rPr>
            </w:pPr>
            <w:r>
              <w:rPr>
                <w:rFonts w:hint="eastAsia" w:ascii="宋体" w:hAnsi="宋体" w:eastAsia="宋体" w:cs="宋体"/>
                <w:color w:val="auto"/>
                <w:sz w:val="24"/>
              </w:rPr>
              <w:t>□技术改造</w:t>
            </w:r>
          </w:p>
        </w:tc>
        <w:tc>
          <w:tcPr>
            <w:tcW w:w="2144" w:type="dxa"/>
            <w:vAlign w:val="center"/>
          </w:tcPr>
          <w:p w14:paraId="4A97AEF6">
            <w:pPr>
              <w:jc w:val="center"/>
              <w:rPr>
                <w:rFonts w:ascii="Times New Roman" w:hAnsi="Times New Roman" w:cs="Times New Roman"/>
                <w:color w:val="auto"/>
                <w:sz w:val="24"/>
              </w:rPr>
            </w:pPr>
            <w:r>
              <w:rPr>
                <w:rFonts w:ascii="Times New Roman" w:hAnsi="Times New Roman" w:cs="Times New Roman"/>
                <w:color w:val="auto"/>
                <w:sz w:val="24"/>
              </w:rPr>
              <w:t>建设项目</w:t>
            </w:r>
          </w:p>
          <w:p w14:paraId="34662077">
            <w:pPr>
              <w:jc w:val="center"/>
              <w:rPr>
                <w:rFonts w:ascii="Times New Roman" w:hAnsi="Times New Roman" w:cs="Times New Roman"/>
                <w:color w:val="auto"/>
                <w:sz w:val="24"/>
              </w:rPr>
            </w:pPr>
            <w:r>
              <w:rPr>
                <w:rFonts w:ascii="Times New Roman" w:hAnsi="Times New Roman" w:cs="Times New Roman"/>
                <w:color w:val="auto"/>
                <w:sz w:val="24"/>
              </w:rPr>
              <w:t>申报情形</w:t>
            </w:r>
          </w:p>
        </w:tc>
        <w:tc>
          <w:tcPr>
            <w:tcW w:w="3670" w:type="dxa"/>
            <w:vAlign w:val="center"/>
          </w:tcPr>
          <w:p w14:paraId="4C0DF30A">
            <w:pPr>
              <w:rPr>
                <w:rFonts w:ascii="Times New Roman" w:hAnsi="Times New Roman" w:cs="Times New Roman"/>
                <w:color w:val="auto"/>
                <w:sz w:val="24"/>
              </w:rPr>
            </w:pPr>
            <w:r>
              <w:rPr>
                <w:rFonts w:hint="eastAsia" w:ascii="Times New Roman" w:hAnsi="Times New Roman" w:cs="Times New Roman"/>
                <w:color w:val="auto"/>
                <w:sz w:val="24"/>
              </w:rPr>
              <w:t>☑</w:t>
            </w:r>
            <w:r>
              <w:rPr>
                <w:rFonts w:ascii="Times New Roman" w:hAnsi="Times New Roman" w:cs="Times New Roman"/>
                <w:color w:val="auto"/>
                <w:sz w:val="24"/>
              </w:rPr>
              <w:t>首次申报项目</w:t>
            </w:r>
          </w:p>
          <w:p w14:paraId="56E19886">
            <w:pPr>
              <w:rPr>
                <w:rFonts w:ascii="宋体" w:hAnsi="宋体" w:eastAsia="宋体" w:cs="宋体"/>
                <w:color w:val="auto"/>
                <w:sz w:val="24"/>
              </w:rPr>
            </w:pPr>
            <w:r>
              <w:rPr>
                <w:rFonts w:hint="eastAsia" w:ascii="宋体" w:hAnsi="宋体" w:eastAsia="宋体" w:cs="宋体"/>
                <w:color w:val="auto"/>
                <w:sz w:val="24"/>
              </w:rPr>
              <w:t>□不予批准后再次申报项目</w:t>
            </w:r>
          </w:p>
          <w:p w14:paraId="52F89D92">
            <w:pPr>
              <w:rPr>
                <w:rFonts w:ascii="宋体" w:hAnsi="宋体" w:eastAsia="宋体" w:cs="宋体"/>
                <w:color w:val="auto"/>
                <w:sz w:val="24"/>
              </w:rPr>
            </w:pPr>
            <w:r>
              <w:rPr>
                <w:rFonts w:hint="eastAsia" w:ascii="宋体" w:hAnsi="宋体" w:eastAsia="宋体" w:cs="宋体"/>
                <w:color w:val="auto"/>
                <w:sz w:val="24"/>
              </w:rPr>
              <w:t>□超五年重新审核项目</w:t>
            </w:r>
          </w:p>
          <w:p w14:paraId="0E26A108">
            <w:pPr>
              <w:rPr>
                <w:rFonts w:ascii="Times New Roman" w:hAnsi="Times New Roman" w:cs="Times New Roman"/>
                <w:color w:val="auto"/>
                <w:sz w:val="24"/>
              </w:rPr>
            </w:pPr>
            <w:r>
              <w:rPr>
                <w:rFonts w:hint="eastAsia" w:ascii="宋体" w:hAnsi="宋体" w:eastAsia="宋体" w:cs="宋体"/>
                <w:color w:val="auto"/>
                <w:sz w:val="24"/>
              </w:rPr>
              <w:t>□重大变动重</w:t>
            </w:r>
            <w:r>
              <w:rPr>
                <w:rFonts w:ascii="Times New Roman" w:hAnsi="Times New Roman" w:cs="Times New Roman"/>
                <w:color w:val="auto"/>
                <w:sz w:val="24"/>
              </w:rPr>
              <w:t>新报批项目</w:t>
            </w:r>
          </w:p>
        </w:tc>
      </w:tr>
      <w:tr w14:paraId="44BD5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2684E4C0">
            <w:pPr>
              <w:jc w:val="center"/>
              <w:rPr>
                <w:rFonts w:ascii="Times New Roman" w:hAnsi="Times New Roman" w:cs="Times New Roman"/>
                <w:color w:val="auto"/>
                <w:sz w:val="24"/>
              </w:rPr>
            </w:pPr>
            <w:r>
              <w:rPr>
                <w:rFonts w:ascii="Times New Roman" w:hAnsi="Times New Roman" w:cs="Times New Roman"/>
                <w:color w:val="auto"/>
                <w:sz w:val="24"/>
              </w:rPr>
              <w:t>项目审批（核准/备案）部门</w:t>
            </w:r>
          </w:p>
          <w:p w14:paraId="49D8484B">
            <w:pPr>
              <w:jc w:val="center"/>
              <w:rPr>
                <w:rFonts w:ascii="Times New Roman" w:hAnsi="Times New Roman" w:cs="Times New Roman"/>
                <w:color w:val="auto"/>
                <w:sz w:val="24"/>
              </w:rPr>
            </w:pPr>
            <w:r>
              <w:rPr>
                <w:rFonts w:ascii="Times New Roman" w:hAnsi="Times New Roman" w:cs="Times New Roman"/>
                <w:color w:val="auto"/>
                <w:sz w:val="24"/>
              </w:rPr>
              <w:t>（选填）</w:t>
            </w:r>
          </w:p>
        </w:tc>
        <w:tc>
          <w:tcPr>
            <w:tcW w:w="2700" w:type="dxa"/>
            <w:vAlign w:val="center"/>
          </w:tcPr>
          <w:p w14:paraId="758B99AC">
            <w:pPr>
              <w:jc w:val="center"/>
              <w:rPr>
                <w:rFonts w:hint="eastAsia" w:ascii="Times New Roman" w:hAnsi="Times New Roman" w:cs="Times New Roman" w:eastAsiaTheme="minorEastAsia"/>
                <w:color w:val="auto"/>
                <w:sz w:val="24"/>
                <w:lang w:eastAsia="zh-CN"/>
              </w:rPr>
            </w:pPr>
            <w:r>
              <w:rPr>
                <w:rFonts w:hint="eastAsia" w:ascii="Times New Roman" w:hAnsi="Times New Roman" w:cs="Times New Roman"/>
                <w:color w:val="auto"/>
                <w:sz w:val="24"/>
                <w:lang w:eastAsia="zh-CN"/>
              </w:rPr>
              <w:t>安徽(淮北)新型煤化工合成材料基地管委会</w:t>
            </w:r>
          </w:p>
        </w:tc>
        <w:tc>
          <w:tcPr>
            <w:tcW w:w="2144" w:type="dxa"/>
            <w:vAlign w:val="center"/>
          </w:tcPr>
          <w:p w14:paraId="01EBED8C">
            <w:pPr>
              <w:jc w:val="center"/>
              <w:rPr>
                <w:rFonts w:ascii="Times New Roman" w:hAnsi="Times New Roman" w:cs="Times New Roman"/>
                <w:color w:val="auto"/>
                <w:sz w:val="24"/>
              </w:rPr>
            </w:pPr>
            <w:r>
              <w:rPr>
                <w:rFonts w:ascii="Times New Roman" w:hAnsi="Times New Roman" w:cs="Times New Roman"/>
                <w:color w:val="auto"/>
                <w:sz w:val="24"/>
              </w:rPr>
              <w:t>项目审批</w:t>
            </w:r>
          </w:p>
          <w:p w14:paraId="21526AE4">
            <w:pPr>
              <w:jc w:val="center"/>
              <w:rPr>
                <w:rFonts w:ascii="Times New Roman" w:hAnsi="Times New Roman" w:cs="Times New Roman"/>
                <w:color w:val="auto"/>
                <w:sz w:val="24"/>
              </w:rPr>
            </w:pPr>
            <w:r>
              <w:rPr>
                <w:rFonts w:ascii="Times New Roman" w:hAnsi="Times New Roman" w:cs="Times New Roman"/>
                <w:color w:val="auto"/>
                <w:sz w:val="24"/>
              </w:rPr>
              <w:t>（核准/备案）文号</w:t>
            </w:r>
          </w:p>
          <w:p w14:paraId="3C68A335">
            <w:pPr>
              <w:jc w:val="center"/>
              <w:rPr>
                <w:rFonts w:ascii="Times New Roman" w:hAnsi="Times New Roman" w:cs="Times New Roman"/>
                <w:color w:val="auto"/>
                <w:sz w:val="24"/>
              </w:rPr>
            </w:pPr>
            <w:r>
              <w:rPr>
                <w:rFonts w:ascii="Times New Roman" w:hAnsi="Times New Roman" w:cs="Times New Roman"/>
                <w:color w:val="auto"/>
                <w:sz w:val="24"/>
              </w:rPr>
              <w:t>（选填）</w:t>
            </w:r>
          </w:p>
        </w:tc>
        <w:tc>
          <w:tcPr>
            <w:tcW w:w="3670" w:type="dxa"/>
            <w:vAlign w:val="center"/>
          </w:tcPr>
          <w:p w14:paraId="10DC1901">
            <w:pPr>
              <w:jc w:val="center"/>
              <w:rPr>
                <w:rFonts w:hint="default" w:ascii="Times New Roman" w:hAnsi="Times New Roman" w:cs="Times New Roman" w:eastAsiaTheme="minorEastAsia"/>
                <w:color w:val="auto"/>
                <w:sz w:val="24"/>
                <w:lang w:val="en-US" w:eastAsia="zh-CN"/>
              </w:rPr>
            </w:pPr>
            <w:r>
              <w:rPr>
                <w:rFonts w:hint="eastAsia" w:ascii="Times New Roman" w:hAnsi="Times New Roman" w:cs="Times New Roman"/>
                <w:color w:val="auto"/>
                <w:sz w:val="24"/>
                <w:lang w:val="en-US" w:eastAsia="zh-CN"/>
              </w:rPr>
              <w:t>/</w:t>
            </w:r>
          </w:p>
        </w:tc>
      </w:tr>
      <w:tr w14:paraId="6DCA01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3F137986">
            <w:pPr>
              <w:jc w:val="center"/>
              <w:rPr>
                <w:rFonts w:ascii="Times New Roman" w:hAnsi="Times New Roman" w:cs="Times New Roman"/>
                <w:color w:val="auto"/>
                <w:sz w:val="24"/>
              </w:rPr>
            </w:pPr>
            <w:r>
              <w:rPr>
                <w:rFonts w:ascii="Times New Roman" w:hAnsi="Times New Roman" w:cs="Times New Roman"/>
                <w:color w:val="auto"/>
                <w:sz w:val="24"/>
              </w:rPr>
              <w:t>总投资</w:t>
            </w:r>
          </w:p>
          <w:p w14:paraId="0620E4F3">
            <w:pPr>
              <w:jc w:val="center"/>
              <w:rPr>
                <w:rFonts w:ascii="Times New Roman" w:hAnsi="Times New Roman" w:cs="Times New Roman"/>
                <w:color w:val="auto"/>
                <w:sz w:val="24"/>
              </w:rPr>
            </w:pPr>
            <w:r>
              <w:rPr>
                <w:rFonts w:ascii="Times New Roman" w:hAnsi="Times New Roman" w:cs="Times New Roman"/>
                <w:color w:val="auto"/>
                <w:sz w:val="24"/>
              </w:rPr>
              <w:t>（万元）</w:t>
            </w:r>
          </w:p>
        </w:tc>
        <w:tc>
          <w:tcPr>
            <w:tcW w:w="2700" w:type="dxa"/>
            <w:vAlign w:val="center"/>
          </w:tcPr>
          <w:p w14:paraId="7B2A9698">
            <w:pPr>
              <w:jc w:val="center"/>
              <w:rPr>
                <w:rFonts w:hint="default" w:ascii="Times New Roman" w:hAnsi="Times New Roman" w:cs="Times New Roman" w:eastAsiaTheme="minorEastAsia"/>
                <w:color w:val="auto"/>
                <w:sz w:val="24"/>
                <w:lang w:val="en-US" w:eastAsia="zh-CN"/>
              </w:rPr>
            </w:pPr>
            <w:r>
              <w:rPr>
                <w:rFonts w:hint="eastAsia" w:ascii="Times New Roman" w:hAnsi="Times New Roman" w:cs="Times New Roman"/>
                <w:color w:val="auto"/>
                <w:sz w:val="24"/>
                <w:lang w:val="en-US" w:eastAsia="zh-CN"/>
              </w:rPr>
              <w:t>150</w:t>
            </w:r>
          </w:p>
        </w:tc>
        <w:tc>
          <w:tcPr>
            <w:tcW w:w="2144" w:type="dxa"/>
            <w:vAlign w:val="center"/>
          </w:tcPr>
          <w:p w14:paraId="02287753">
            <w:pPr>
              <w:jc w:val="center"/>
              <w:rPr>
                <w:rFonts w:ascii="Times New Roman" w:hAnsi="Times New Roman" w:cs="Times New Roman"/>
                <w:color w:val="auto"/>
                <w:sz w:val="24"/>
              </w:rPr>
            </w:pPr>
            <w:r>
              <w:rPr>
                <w:rFonts w:ascii="Times New Roman" w:hAnsi="Times New Roman" w:cs="Times New Roman"/>
                <w:color w:val="auto"/>
                <w:sz w:val="24"/>
              </w:rPr>
              <w:t>环保投资（万元）</w:t>
            </w:r>
          </w:p>
        </w:tc>
        <w:tc>
          <w:tcPr>
            <w:tcW w:w="3670" w:type="dxa"/>
            <w:vAlign w:val="center"/>
          </w:tcPr>
          <w:p w14:paraId="7EAB9FA0">
            <w:pPr>
              <w:jc w:val="center"/>
              <w:rPr>
                <w:rFonts w:hint="default" w:ascii="Times New Roman" w:hAnsi="Times New Roman" w:cs="Times New Roman" w:eastAsiaTheme="minorEastAsia"/>
                <w:color w:val="auto"/>
                <w:sz w:val="24"/>
                <w:lang w:val="en-US" w:eastAsia="zh-CN"/>
              </w:rPr>
            </w:pPr>
            <w:r>
              <w:rPr>
                <w:rFonts w:hint="eastAsia" w:ascii="Times New Roman" w:hAnsi="Times New Roman" w:cs="Times New Roman"/>
                <w:color w:val="auto"/>
                <w:sz w:val="24"/>
                <w:lang w:val="en-US" w:eastAsia="zh-CN"/>
              </w:rPr>
              <w:t>6</w:t>
            </w:r>
          </w:p>
        </w:tc>
      </w:tr>
      <w:tr w14:paraId="5F4B7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739BEA50">
            <w:pPr>
              <w:jc w:val="center"/>
              <w:rPr>
                <w:rFonts w:ascii="Times New Roman" w:hAnsi="Times New Roman" w:cs="Times New Roman"/>
                <w:color w:val="auto"/>
                <w:sz w:val="24"/>
              </w:rPr>
            </w:pPr>
            <w:r>
              <w:rPr>
                <w:rFonts w:ascii="Times New Roman" w:hAnsi="Times New Roman" w:cs="Times New Roman"/>
                <w:color w:val="auto"/>
                <w:sz w:val="24"/>
              </w:rPr>
              <w:t>环保投资占比（%）</w:t>
            </w:r>
          </w:p>
        </w:tc>
        <w:tc>
          <w:tcPr>
            <w:tcW w:w="2700" w:type="dxa"/>
            <w:vAlign w:val="center"/>
          </w:tcPr>
          <w:p w14:paraId="33C7F976">
            <w:pPr>
              <w:jc w:val="center"/>
              <w:rPr>
                <w:rFonts w:hint="default" w:ascii="Times New Roman" w:hAnsi="Times New Roman" w:cs="Times New Roman" w:eastAsiaTheme="minorEastAsia"/>
                <w:color w:val="auto"/>
                <w:sz w:val="24"/>
                <w:lang w:val="en-US" w:eastAsia="zh-CN"/>
              </w:rPr>
            </w:pPr>
            <w:r>
              <w:rPr>
                <w:rFonts w:hint="eastAsia" w:ascii="Times New Roman" w:hAnsi="Times New Roman" w:cs="Times New Roman"/>
                <w:color w:val="auto"/>
                <w:sz w:val="24"/>
                <w:lang w:val="en-US" w:eastAsia="zh-CN"/>
              </w:rPr>
              <w:t>4.0</w:t>
            </w:r>
          </w:p>
        </w:tc>
        <w:tc>
          <w:tcPr>
            <w:tcW w:w="2144" w:type="dxa"/>
            <w:vAlign w:val="center"/>
          </w:tcPr>
          <w:p w14:paraId="022171A7">
            <w:pPr>
              <w:jc w:val="center"/>
              <w:rPr>
                <w:rFonts w:ascii="Times New Roman" w:hAnsi="Times New Roman" w:cs="Times New Roman"/>
                <w:color w:val="auto"/>
                <w:sz w:val="24"/>
              </w:rPr>
            </w:pPr>
            <w:r>
              <w:rPr>
                <w:rFonts w:ascii="Times New Roman" w:hAnsi="Times New Roman" w:cs="Times New Roman"/>
                <w:color w:val="auto"/>
                <w:sz w:val="24"/>
              </w:rPr>
              <w:t>施工工期</w:t>
            </w:r>
          </w:p>
        </w:tc>
        <w:tc>
          <w:tcPr>
            <w:tcW w:w="3670" w:type="dxa"/>
            <w:vAlign w:val="center"/>
          </w:tcPr>
          <w:p w14:paraId="424B3A13">
            <w:pPr>
              <w:jc w:val="center"/>
              <w:rPr>
                <w:rFonts w:ascii="Times New Roman" w:hAnsi="Times New Roman" w:cs="Times New Roman"/>
                <w:color w:val="auto"/>
                <w:sz w:val="24"/>
              </w:rPr>
            </w:pPr>
            <w:r>
              <w:rPr>
                <w:rFonts w:hint="eastAsia" w:ascii="Times New Roman" w:hAnsi="Times New Roman" w:cs="Times New Roman"/>
                <w:color w:val="auto"/>
                <w:sz w:val="24"/>
                <w:lang w:val="en-US" w:eastAsia="zh-CN"/>
              </w:rPr>
              <w:t>1</w:t>
            </w:r>
            <w:r>
              <w:rPr>
                <w:rFonts w:hint="eastAsia" w:ascii="Times New Roman" w:hAnsi="Times New Roman" w:cs="Times New Roman"/>
                <w:color w:val="auto"/>
                <w:sz w:val="24"/>
              </w:rPr>
              <w:t>个月</w:t>
            </w:r>
          </w:p>
        </w:tc>
      </w:tr>
      <w:tr w14:paraId="15DDC6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06B73D52">
            <w:pPr>
              <w:jc w:val="center"/>
              <w:rPr>
                <w:rFonts w:ascii="Times New Roman" w:hAnsi="Times New Roman" w:cs="Times New Roman"/>
                <w:color w:val="auto"/>
                <w:sz w:val="24"/>
              </w:rPr>
            </w:pPr>
            <w:r>
              <w:rPr>
                <w:rFonts w:ascii="Times New Roman" w:hAnsi="Times New Roman" w:cs="Times New Roman"/>
                <w:color w:val="auto"/>
                <w:sz w:val="24"/>
              </w:rPr>
              <w:t>是否开工建设</w:t>
            </w:r>
          </w:p>
        </w:tc>
        <w:tc>
          <w:tcPr>
            <w:tcW w:w="2700" w:type="dxa"/>
            <w:vAlign w:val="center"/>
          </w:tcPr>
          <w:p w14:paraId="64F158D8">
            <w:pPr>
              <w:rPr>
                <w:rFonts w:ascii="宋体" w:hAnsi="宋体" w:eastAsia="宋体" w:cs="宋体"/>
                <w:color w:val="auto"/>
                <w:sz w:val="24"/>
              </w:rPr>
            </w:pPr>
            <w:r>
              <w:rPr>
                <w:rFonts w:hint="eastAsia" w:ascii="宋体" w:hAnsi="宋体" w:eastAsia="宋体" w:cs="宋体"/>
                <w:color w:val="auto"/>
                <w:sz w:val="24"/>
              </w:rPr>
              <w:t>☑否</w:t>
            </w:r>
          </w:p>
          <w:p w14:paraId="7FAF9BFD">
            <w:pPr>
              <w:rPr>
                <w:rFonts w:ascii="Times New Roman" w:hAnsi="Times New Roman" w:cs="Times New Roman"/>
                <w:color w:val="auto"/>
                <w:sz w:val="24"/>
              </w:rPr>
            </w:pPr>
            <w:r>
              <w:rPr>
                <w:rFonts w:hint="eastAsia" w:ascii="宋体" w:hAnsi="宋体" w:eastAsia="宋体" w:cs="宋体"/>
                <w:color w:val="auto"/>
                <w:sz w:val="24"/>
              </w:rPr>
              <w:t>□是</w:t>
            </w:r>
          </w:p>
        </w:tc>
        <w:tc>
          <w:tcPr>
            <w:tcW w:w="2144" w:type="dxa"/>
            <w:vAlign w:val="center"/>
          </w:tcPr>
          <w:p w14:paraId="0B82B2E9">
            <w:pPr>
              <w:jc w:val="center"/>
              <w:rPr>
                <w:rFonts w:ascii="Times New Roman" w:hAnsi="Times New Roman" w:cs="Times New Roman"/>
                <w:color w:val="auto"/>
                <w:sz w:val="24"/>
              </w:rPr>
            </w:pPr>
            <w:r>
              <w:rPr>
                <w:rFonts w:ascii="Times New Roman" w:hAnsi="Times New Roman" w:cs="Times New Roman"/>
                <w:color w:val="auto"/>
                <w:sz w:val="24"/>
              </w:rPr>
              <w:t>用地（用海）面积（m</w:t>
            </w:r>
            <w:r>
              <w:rPr>
                <w:rFonts w:ascii="Times New Roman" w:hAnsi="Times New Roman" w:cs="Times New Roman"/>
                <w:color w:val="auto"/>
                <w:sz w:val="24"/>
                <w:vertAlign w:val="superscript"/>
              </w:rPr>
              <w:t>2</w:t>
            </w:r>
            <w:r>
              <w:rPr>
                <w:rFonts w:ascii="Times New Roman" w:hAnsi="Times New Roman" w:cs="Times New Roman"/>
                <w:color w:val="auto"/>
                <w:sz w:val="24"/>
              </w:rPr>
              <w:t>）</w:t>
            </w:r>
          </w:p>
        </w:tc>
        <w:tc>
          <w:tcPr>
            <w:tcW w:w="3670" w:type="dxa"/>
            <w:vAlign w:val="center"/>
          </w:tcPr>
          <w:p w14:paraId="148E1444">
            <w:pPr>
              <w:jc w:val="center"/>
              <w:rPr>
                <w:rFonts w:hint="default" w:ascii="Times New Roman" w:hAnsi="Times New Roman" w:cs="Times New Roman" w:eastAsiaTheme="minorEastAsia"/>
                <w:color w:val="auto"/>
                <w:sz w:val="24"/>
                <w:lang w:val="en-US" w:eastAsia="zh-CN"/>
              </w:rPr>
            </w:pPr>
            <w:r>
              <w:rPr>
                <w:rFonts w:hint="eastAsia" w:ascii="Times New Roman" w:hAnsi="Times New Roman" w:cs="Times New Roman"/>
                <w:color w:val="auto"/>
                <w:sz w:val="24"/>
                <w:lang w:val="en-US" w:eastAsia="zh-CN"/>
              </w:rPr>
              <w:t>775</w:t>
            </w:r>
          </w:p>
        </w:tc>
      </w:tr>
      <w:tr w14:paraId="3D141F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91" w:type="dxa"/>
            <w:vAlign w:val="center"/>
          </w:tcPr>
          <w:p w14:paraId="65942B8B">
            <w:pPr>
              <w:jc w:val="center"/>
              <w:rPr>
                <w:rFonts w:ascii="Times New Roman" w:hAnsi="Times New Roman" w:cs="Times New Roman"/>
                <w:color w:val="auto"/>
                <w:sz w:val="24"/>
              </w:rPr>
            </w:pPr>
            <w:r>
              <w:rPr>
                <w:rFonts w:ascii="Times New Roman" w:hAnsi="Times New Roman" w:cs="Times New Roman"/>
                <w:color w:val="auto"/>
                <w:sz w:val="24"/>
              </w:rPr>
              <w:t>专项评价设置情况</w:t>
            </w:r>
          </w:p>
        </w:tc>
        <w:tc>
          <w:tcPr>
            <w:tcW w:w="8514" w:type="dxa"/>
            <w:gridSpan w:val="3"/>
            <w:vAlign w:val="center"/>
          </w:tcPr>
          <w:p w14:paraId="09D0FAB8">
            <w:pPr>
              <w:jc w:val="center"/>
              <w:rPr>
                <w:rFonts w:ascii="Times New Roman" w:hAnsi="Times New Roman" w:cs="Times New Roman"/>
                <w:b/>
                <w:bCs/>
                <w:color w:val="auto"/>
                <w:sz w:val="24"/>
              </w:rPr>
            </w:pPr>
            <w:r>
              <w:rPr>
                <w:rFonts w:ascii="Times New Roman" w:hAnsi="Times New Roman" w:cs="Times New Roman"/>
                <w:b/>
                <w:bCs/>
                <w:color w:val="auto"/>
                <w:sz w:val="24"/>
              </w:rPr>
              <w:t>表1.1  专项评价设置原则表</w:t>
            </w:r>
          </w:p>
          <w:tbl>
            <w:tblPr>
              <w:tblStyle w:val="29"/>
              <w:tblW w:w="8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5"/>
              <w:gridCol w:w="4981"/>
              <w:gridCol w:w="2264"/>
            </w:tblGrid>
            <w:tr w14:paraId="4A6A8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2" w:type="dxa"/>
                  <w:vAlign w:val="center"/>
                </w:tcPr>
                <w:p w14:paraId="6F7BAEE5">
                  <w:pPr>
                    <w:jc w:val="center"/>
                    <w:rPr>
                      <w:rFonts w:ascii="Times New Roman" w:hAnsi="Times New Roman" w:cs="Times New Roman"/>
                      <w:color w:val="auto"/>
                      <w:szCs w:val="21"/>
                    </w:rPr>
                  </w:pPr>
                  <w:r>
                    <w:rPr>
                      <w:rFonts w:hint="eastAsia" w:ascii="Times New Roman" w:hAnsi="Times New Roman" w:cs="Times New Roman"/>
                      <w:color w:val="auto"/>
                      <w:szCs w:val="21"/>
                    </w:rPr>
                    <w:t>专项评价的类别</w:t>
                  </w:r>
                </w:p>
              </w:tc>
              <w:tc>
                <w:tcPr>
                  <w:tcW w:w="4920" w:type="dxa"/>
                  <w:vAlign w:val="center"/>
                </w:tcPr>
                <w:p w14:paraId="7BAF8E45">
                  <w:pPr>
                    <w:jc w:val="center"/>
                    <w:rPr>
                      <w:rFonts w:ascii="Times New Roman" w:hAnsi="Times New Roman" w:cs="Times New Roman"/>
                      <w:color w:val="auto"/>
                      <w:szCs w:val="21"/>
                    </w:rPr>
                  </w:pPr>
                  <w:r>
                    <w:rPr>
                      <w:rFonts w:hint="eastAsia" w:ascii="Times New Roman" w:hAnsi="Times New Roman" w:cs="Times New Roman"/>
                      <w:color w:val="auto"/>
                      <w:szCs w:val="21"/>
                    </w:rPr>
                    <w:t>设置原则</w:t>
                  </w:r>
                </w:p>
              </w:tc>
              <w:tc>
                <w:tcPr>
                  <w:tcW w:w="2236" w:type="dxa"/>
                  <w:vAlign w:val="center"/>
                </w:tcPr>
                <w:p w14:paraId="06F17478">
                  <w:pPr>
                    <w:jc w:val="center"/>
                    <w:rPr>
                      <w:rFonts w:ascii="Times New Roman" w:hAnsi="Times New Roman" w:cs="Times New Roman"/>
                      <w:color w:val="auto"/>
                      <w:szCs w:val="21"/>
                    </w:rPr>
                  </w:pPr>
                  <w:r>
                    <w:rPr>
                      <w:rFonts w:hint="eastAsia" w:ascii="Times New Roman" w:hAnsi="Times New Roman" w:cs="Times New Roman"/>
                      <w:color w:val="auto"/>
                      <w:szCs w:val="21"/>
                    </w:rPr>
                    <w:t>本项目</w:t>
                  </w:r>
                </w:p>
              </w:tc>
            </w:tr>
            <w:tr w14:paraId="7AB50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jc w:val="center"/>
              </w:trPr>
              <w:tc>
                <w:tcPr>
                  <w:tcW w:w="1132" w:type="dxa"/>
                  <w:vAlign w:val="center"/>
                </w:tcPr>
                <w:p w14:paraId="085FAF3E">
                  <w:pPr>
                    <w:jc w:val="center"/>
                    <w:rPr>
                      <w:rFonts w:ascii="Times New Roman" w:hAnsi="Times New Roman" w:cs="Times New Roman"/>
                      <w:color w:val="auto"/>
                      <w:szCs w:val="21"/>
                    </w:rPr>
                  </w:pPr>
                  <w:r>
                    <w:rPr>
                      <w:rFonts w:hint="eastAsia" w:ascii="Times New Roman" w:hAnsi="Times New Roman" w:cs="Times New Roman"/>
                      <w:color w:val="auto"/>
                      <w:szCs w:val="21"/>
                    </w:rPr>
                    <w:t>大气</w:t>
                  </w:r>
                </w:p>
              </w:tc>
              <w:tc>
                <w:tcPr>
                  <w:tcW w:w="4920" w:type="dxa"/>
                  <w:vAlign w:val="center"/>
                </w:tcPr>
                <w:p w14:paraId="1C9570B9">
                  <w:pPr>
                    <w:ind w:firstLine="420" w:firstLineChars="200"/>
                    <w:jc w:val="left"/>
                    <w:rPr>
                      <w:rFonts w:ascii="Times New Roman" w:hAnsi="Times New Roman" w:cs="Times New Roman"/>
                      <w:color w:val="auto"/>
                      <w:szCs w:val="21"/>
                    </w:rPr>
                  </w:pPr>
                  <w:r>
                    <w:rPr>
                      <w:rFonts w:ascii="Times New Roman" w:hAnsi="Times New Roman" w:cs="Times New Roman"/>
                      <w:color w:val="auto"/>
                      <w:szCs w:val="21"/>
                    </w:rPr>
                    <w:t>排放废气含有毒有害污染物</w:t>
                  </w:r>
                  <w:r>
                    <w:rPr>
                      <w:rFonts w:hint="eastAsia" w:ascii="Times New Roman" w:hAnsi="Times New Roman" w:cs="Times New Roman"/>
                      <w:color w:val="auto"/>
                      <w:szCs w:val="21"/>
                      <w:vertAlign w:val="superscript"/>
                    </w:rPr>
                    <w:t>1</w:t>
                  </w:r>
                  <w:r>
                    <w:rPr>
                      <w:rFonts w:ascii="Times New Roman" w:hAnsi="Times New Roman" w:cs="Times New Roman"/>
                      <w:color w:val="auto"/>
                      <w:szCs w:val="21"/>
                    </w:rPr>
                    <w:t>、二噁英、苯并[a]芘、氰化物、氯气且厂界外</w:t>
                  </w:r>
                  <w:r>
                    <w:rPr>
                      <w:rFonts w:hint="eastAsia" w:ascii="Times New Roman" w:hAnsi="Times New Roman" w:cs="Times New Roman"/>
                      <w:color w:val="auto"/>
                      <w:szCs w:val="21"/>
                    </w:rPr>
                    <w:t>5</w:t>
                  </w:r>
                  <w:r>
                    <w:rPr>
                      <w:rFonts w:ascii="Times New Roman" w:hAnsi="Times New Roman" w:cs="Times New Roman"/>
                      <w:color w:val="auto"/>
                      <w:szCs w:val="21"/>
                    </w:rPr>
                    <w:t>00米范围内有环境空气保护目</w:t>
                  </w:r>
                  <w:r>
                    <w:rPr>
                      <w:rFonts w:hint="eastAsia" w:ascii="Times New Roman" w:hAnsi="Times New Roman" w:cs="Times New Roman"/>
                      <w:color w:val="auto"/>
                      <w:szCs w:val="21"/>
                      <w:vertAlign w:val="superscript"/>
                    </w:rPr>
                    <w:t>2</w:t>
                  </w:r>
                  <w:r>
                    <w:rPr>
                      <w:rFonts w:ascii="Times New Roman" w:hAnsi="Times New Roman" w:cs="Times New Roman"/>
                      <w:color w:val="auto"/>
                      <w:szCs w:val="21"/>
                    </w:rPr>
                    <w:t>标的建设项目</w:t>
                  </w:r>
                  <w:r>
                    <w:rPr>
                      <w:rFonts w:hint="eastAsia" w:ascii="Times New Roman" w:hAnsi="Times New Roman" w:cs="Times New Roman"/>
                      <w:color w:val="auto"/>
                      <w:szCs w:val="21"/>
                    </w:rPr>
                    <w:t>。</w:t>
                  </w:r>
                </w:p>
              </w:tc>
              <w:tc>
                <w:tcPr>
                  <w:tcW w:w="2236" w:type="dxa"/>
                  <w:vAlign w:val="center"/>
                </w:tcPr>
                <w:p w14:paraId="4624527C">
                  <w:pPr>
                    <w:jc w:val="center"/>
                    <w:rPr>
                      <w:rFonts w:ascii="Times New Roman" w:hAnsi="Times New Roman" w:cs="Times New Roman"/>
                      <w:color w:val="auto"/>
                      <w:szCs w:val="21"/>
                    </w:rPr>
                  </w:pPr>
                  <w:r>
                    <w:rPr>
                      <w:rFonts w:hint="eastAsia" w:ascii="Times New Roman" w:hAnsi="Times New Roman" w:cs="Times New Roman"/>
                      <w:color w:val="auto"/>
                      <w:szCs w:val="21"/>
                    </w:rPr>
                    <w:t>不涉及，无需设置</w:t>
                  </w:r>
                </w:p>
              </w:tc>
            </w:tr>
            <w:tr w14:paraId="76646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Align w:val="center"/>
                </w:tcPr>
                <w:p w14:paraId="5D7B5F3A">
                  <w:pPr>
                    <w:jc w:val="center"/>
                    <w:rPr>
                      <w:rFonts w:ascii="Times New Roman" w:hAnsi="Times New Roman" w:cs="Times New Roman"/>
                      <w:color w:val="auto"/>
                      <w:szCs w:val="21"/>
                    </w:rPr>
                  </w:pPr>
                  <w:r>
                    <w:rPr>
                      <w:rFonts w:hint="eastAsia" w:ascii="Times New Roman" w:hAnsi="Times New Roman" w:cs="Times New Roman"/>
                      <w:color w:val="auto"/>
                      <w:szCs w:val="21"/>
                    </w:rPr>
                    <w:t>地表水</w:t>
                  </w:r>
                </w:p>
              </w:tc>
              <w:tc>
                <w:tcPr>
                  <w:tcW w:w="4920" w:type="dxa"/>
                  <w:vAlign w:val="center"/>
                </w:tcPr>
                <w:p w14:paraId="299E60C9">
                  <w:pPr>
                    <w:ind w:firstLine="420" w:firstLineChars="200"/>
                    <w:jc w:val="center"/>
                    <w:rPr>
                      <w:rFonts w:ascii="Times New Roman" w:hAnsi="Times New Roman" w:cs="Times New Roman"/>
                      <w:color w:val="auto"/>
                      <w:szCs w:val="21"/>
                    </w:rPr>
                  </w:pPr>
                  <w:r>
                    <w:rPr>
                      <w:rFonts w:ascii="Times New Roman" w:hAnsi="Times New Roman" w:cs="Times New Roman"/>
                      <w:color w:val="auto"/>
                      <w:szCs w:val="21"/>
                    </w:rPr>
                    <w:t>新增工业废水直排建设项目（槽罐车外送污水处理厂的除外）；新增废水直排的污水集中处理厂</w:t>
                  </w:r>
                  <w:r>
                    <w:rPr>
                      <w:rFonts w:hint="eastAsia" w:ascii="Times New Roman" w:hAnsi="Times New Roman" w:cs="Times New Roman"/>
                      <w:color w:val="auto"/>
                      <w:szCs w:val="21"/>
                    </w:rPr>
                    <w:t>。</w:t>
                  </w:r>
                </w:p>
              </w:tc>
              <w:tc>
                <w:tcPr>
                  <w:tcW w:w="2236" w:type="dxa"/>
                  <w:vAlign w:val="center"/>
                </w:tcPr>
                <w:p w14:paraId="1723C3E2">
                  <w:pPr>
                    <w:jc w:val="center"/>
                    <w:rPr>
                      <w:rFonts w:ascii="Times New Roman" w:hAnsi="Times New Roman" w:cs="Times New Roman"/>
                      <w:color w:val="auto"/>
                      <w:szCs w:val="21"/>
                    </w:rPr>
                  </w:pPr>
                  <w:r>
                    <w:rPr>
                      <w:rFonts w:hint="eastAsia" w:ascii="Times New Roman" w:hAnsi="Times New Roman" w:cs="Times New Roman"/>
                      <w:color w:val="auto"/>
                      <w:szCs w:val="21"/>
                    </w:rPr>
                    <w:t>不涉及，无需设置</w:t>
                  </w:r>
                </w:p>
              </w:tc>
            </w:tr>
            <w:tr w14:paraId="5B1B7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Align w:val="center"/>
                </w:tcPr>
                <w:p w14:paraId="7BCEEF7E">
                  <w:pPr>
                    <w:jc w:val="center"/>
                    <w:rPr>
                      <w:rFonts w:ascii="Times New Roman" w:hAnsi="Times New Roman" w:cs="Times New Roman"/>
                      <w:color w:val="auto"/>
                      <w:szCs w:val="21"/>
                    </w:rPr>
                  </w:pPr>
                  <w:r>
                    <w:rPr>
                      <w:rFonts w:hint="eastAsia" w:ascii="Times New Roman" w:hAnsi="Times New Roman" w:cs="Times New Roman"/>
                      <w:color w:val="auto"/>
                      <w:szCs w:val="21"/>
                    </w:rPr>
                    <w:t>环境风险</w:t>
                  </w:r>
                </w:p>
              </w:tc>
              <w:tc>
                <w:tcPr>
                  <w:tcW w:w="4920" w:type="dxa"/>
                  <w:vAlign w:val="center"/>
                </w:tcPr>
                <w:p w14:paraId="4AAAB9B6">
                  <w:pPr>
                    <w:ind w:firstLine="420" w:firstLineChars="200"/>
                    <w:jc w:val="left"/>
                    <w:rPr>
                      <w:rFonts w:ascii="Times New Roman" w:hAnsi="Times New Roman" w:cs="Times New Roman"/>
                      <w:color w:val="auto"/>
                      <w:szCs w:val="21"/>
                    </w:rPr>
                  </w:pPr>
                  <w:r>
                    <w:rPr>
                      <w:rFonts w:ascii="Times New Roman" w:hAnsi="Times New Roman" w:cs="Times New Roman"/>
                      <w:color w:val="auto"/>
                      <w:szCs w:val="21"/>
                    </w:rPr>
                    <w:t>有毒有害和易燃易爆危险物质存储量超过临界量</w:t>
                  </w:r>
                  <w:r>
                    <w:rPr>
                      <w:rFonts w:ascii="Times New Roman" w:hAnsi="Times New Roman" w:cs="Times New Roman"/>
                      <w:color w:val="auto"/>
                      <w:szCs w:val="21"/>
                      <w:vertAlign w:val="superscript"/>
                    </w:rPr>
                    <w:t>3</w:t>
                  </w:r>
                  <w:r>
                    <w:rPr>
                      <w:rFonts w:ascii="Times New Roman" w:hAnsi="Times New Roman" w:cs="Times New Roman"/>
                      <w:color w:val="auto"/>
                      <w:szCs w:val="21"/>
                    </w:rPr>
                    <w:t>的建设项目</w:t>
                  </w:r>
                  <w:r>
                    <w:rPr>
                      <w:rFonts w:hint="eastAsia" w:ascii="Times New Roman" w:hAnsi="Times New Roman" w:cs="Times New Roman"/>
                      <w:color w:val="auto"/>
                      <w:szCs w:val="21"/>
                    </w:rPr>
                    <w:t>。</w:t>
                  </w:r>
                </w:p>
              </w:tc>
              <w:tc>
                <w:tcPr>
                  <w:tcW w:w="2236" w:type="dxa"/>
                  <w:vAlign w:val="center"/>
                </w:tcPr>
                <w:p w14:paraId="280A0A4B">
                  <w:pPr>
                    <w:jc w:val="center"/>
                    <w:rPr>
                      <w:rFonts w:ascii="Times New Roman" w:hAnsi="Times New Roman" w:cs="Times New Roman"/>
                      <w:color w:val="auto"/>
                      <w:szCs w:val="21"/>
                    </w:rPr>
                  </w:pPr>
                  <w:r>
                    <w:rPr>
                      <w:rFonts w:hint="eastAsia" w:ascii="Times New Roman" w:hAnsi="Times New Roman" w:cs="Times New Roman"/>
                      <w:color w:val="auto"/>
                      <w:szCs w:val="21"/>
                    </w:rPr>
                    <w:t>不涉及，无需设置</w:t>
                  </w:r>
                </w:p>
              </w:tc>
            </w:tr>
            <w:tr w14:paraId="7C36A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Align w:val="center"/>
                </w:tcPr>
                <w:p w14:paraId="61E5C023">
                  <w:pPr>
                    <w:jc w:val="center"/>
                    <w:rPr>
                      <w:rFonts w:ascii="Times New Roman" w:hAnsi="Times New Roman" w:cs="Times New Roman"/>
                      <w:color w:val="auto"/>
                      <w:szCs w:val="21"/>
                    </w:rPr>
                  </w:pPr>
                  <w:r>
                    <w:rPr>
                      <w:rFonts w:hint="eastAsia" w:ascii="Times New Roman" w:hAnsi="Times New Roman" w:cs="Times New Roman"/>
                      <w:color w:val="auto"/>
                      <w:szCs w:val="21"/>
                    </w:rPr>
                    <w:t>生态</w:t>
                  </w:r>
                </w:p>
              </w:tc>
              <w:tc>
                <w:tcPr>
                  <w:tcW w:w="4920" w:type="dxa"/>
                  <w:vAlign w:val="center"/>
                </w:tcPr>
                <w:p w14:paraId="2ABC81CC">
                  <w:pPr>
                    <w:ind w:firstLine="420" w:firstLineChars="200"/>
                    <w:jc w:val="left"/>
                    <w:rPr>
                      <w:rFonts w:ascii="Times New Roman" w:hAnsi="Times New Roman" w:cs="Times New Roman"/>
                      <w:color w:val="auto"/>
                      <w:szCs w:val="21"/>
                    </w:rPr>
                  </w:pPr>
                  <w:r>
                    <w:rPr>
                      <w:rFonts w:ascii="Times New Roman" w:hAnsi="Times New Roman" w:cs="Times New Roman"/>
                      <w:color w:val="auto"/>
                      <w:szCs w:val="21"/>
                    </w:rPr>
                    <w:t>取水口下游500米范围内有重要水生生物的自然产卵场、索饵场、越冬场和洄游通道的新增河道取水的污染类建设项目</w:t>
                  </w:r>
                  <w:r>
                    <w:rPr>
                      <w:rFonts w:hint="eastAsia" w:ascii="Times New Roman" w:hAnsi="Times New Roman" w:cs="Times New Roman"/>
                      <w:color w:val="auto"/>
                      <w:szCs w:val="21"/>
                    </w:rPr>
                    <w:t>。</w:t>
                  </w:r>
                </w:p>
              </w:tc>
              <w:tc>
                <w:tcPr>
                  <w:tcW w:w="2236" w:type="dxa"/>
                  <w:vAlign w:val="center"/>
                </w:tcPr>
                <w:p w14:paraId="0321D8ED">
                  <w:pPr>
                    <w:jc w:val="center"/>
                    <w:rPr>
                      <w:rFonts w:ascii="Times New Roman" w:hAnsi="Times New Roman" w:cs="Times New Roman"/>
                      <w:color w:val="auto"/>
                      <w:szCs w:val="21"/>
                    </w:rPr>
                  </w:pPr>
                  <w:r>
                    <w:rPr>
                      <w:rFonts w:hint="eastAsia" w:ascii="Times New Roman" w:hAnsi="Times New Roman" w:cs="Times New Roman"/>
                      <w:color w:val="auto"/>
                      <w:szCs w:val="21"/>
                    </w:rPr>
                    <w:t>不涉及，无需设置</w:t>
                  </w:r>
                </w:p>
              </w:tc>
            </w:tr>
            <w:tr w14:paraId="2E2E4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Align w:val="center"/>
                </w:tcPr>
                <w:p w14:paraId="3CEF71FF">
                  <w:pPr>
                    <w:jc w:val="center"/>
                    <w:rPr>
                      <w:rFonts w:ascii="Times New Roman" w:hAnsi="Times New Roman" w:cs="Times New Roman"/>
                      <w:color w:val="auto"/>
                      <w:szCs w:val="21"/>
                    </w:rPr>
                  </w:pPr>
                  <w:r>
                    <w:rPr>
                      <w:rFonts w:hint="eastAsia" w:ascii="Times New Roman" w:hAnsi="Times New Roman" w:cs="Times New Roman"/>
                      <w:color w:val="auto"/>
                      <w:szCs w:val="21"/>
                    </w:rPr>
                    <w:t>海洋</w:t>
                  </w:r>
                </w:p>
              </w:tc>
              <w:tc>
                <w:tcPr>
                  <w:tcW w:w="4920" w:type="dxa"/>
                  <w:vAlign w:val="center"/>
                </w:tcPr>
                <w:p w14:paraId="1C041A26">
                  <w:pPr>
                    <w:jc w:val="center"/>
                    <w:rPr>
                      <w:rFonts w:ascii="Times New Roman" w:hAnsi="Times New Roman" w:cs="Times New Roman"/>
                      <w:color w:val="auto"/>
                      <w:szCs w:val="21"/>
                    </w:rPr>
                  </w:pPr>
                  <w:r>
                    <w:rPr>
                      <w:rFonts w:ascii="Times New Roman" w:hAnsi="Times New Roman" w:cs="Times New Roman"/>
                      <w:color w:val="auto"/>
                      <w:szCs w:val="21"/>
                    </w:rPr>
                    <w:t>直接向海排放污染物的海洋工程建设项目</w:t>
                  </w:r>
                  <w:r>
                    <w:rPr>
                      <w:rFonts w:hint="eastAsia" w:ascii="Times New Roman" w:hAnsi="Times New Roman" w:cs="Times New Roman"/>
                      <w:color w:val="auto"/>
                      <w:szCs w:val="21"/>
                    </w:rPr>
                    <w:t>。</w:t>
                  </w:r>
                </w:p>
              </w:tc>
              <w:tc>
                <w:tcPr>
                  <w:tcW w:w="2236" w:type="dxa"/>
                  <w:vAlign w:val="center"/>
                </w:tcPr>
                <w:p w14:paraId="6ADD45C1">
                  <w:pPr>
                    <w:jc w:val="center"/>
                    <w:rPr>
                      <w:rFonts w:ascii="Times New Roman" w:hAnsi="Times New Roman" w:cs="Times New Roman"/>
                      <w:color w:val="auto"/>
                      <w:szCs w:val="21"/>
                    </w:rPr>
                  </w:pPr>
                  <w:r>
                    <w:rPr>
                      <w:rFonts w:hint="eastAsia" w:ascii="Times New Roman" w:hAnsi="Times New Roman" w:cs="Times New Roman"/>
                      <w:color w:val="auto"/>
                      <w:szCs w:val="21"/>
                    </w:rPr>
                    <w:t>不涉及，无需设置</w:t>
                  </w:r>
                </w:p>
              </w:tc>
            </w:tr>
            <w:tr w14:paraId="1957B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88" w:type="dxa"/>
                  <w:gridSpan w:val="3"/>
                  <w:vAlign w:val="center"/>
                </w:tcPr>
                <w:p w14:paraId="45DBC68D">
                  <w:pPr>
                    <w:ind w:firstLine="422" w:firstLineChars="200"/>
                    <w:jc w:val="left"/>
                    <w:rPr>
                      <w:rFonts w:ascii="Times New Roman" w:hAnsi="Times New Roman" w:cs="Times New Roman"/>
                      <w:color w:val="auto"/>
                      <w:szCs w:val="21"/>
                    </w:rPr>
                  </w:pPr>
                  <w:r>
                    <w:rPr>
                      <w:rFonts w:hint="eastAsia" w:ascii="Times New Roman" w:hAnsi="Times New Roman" w:cs="Times New Roman"/>
                      <w:b/>
                      <w:bCs/>
                      <w:color w:val="auto"/>
                      <w:szCs w:val="21"/>
                    </w:rPr>
                    <w:t>注：</w:t>
                  </w:r>
                  <w:r>
                    <w:rPr>
                      <w:rFonts w:hint="eastAsia" w:ascii="Times New Roman" w:hAnsi="Times New Roman" w:cs="Times New Roman"/>
                      <w:color w:val="auto"/>
                      <w:szCs w:val="21"/>
                    </w:rPr>
                    <w:t>1.废气中有毒有害污染物指纳入《有毒有害大气污染物名录》的污染物（不包括无排放标准的污染物）。</w:t>
                  </w:r>
                </w:p>
                <w:p w14:paraId="2FAC2F1D">
                  <w:pPr>
                    <w:ind w:firstLine="420" w:firstLineChars="200"/>
                    <w:jc w:val="left"/>
                    <w:rPr>
                      <w:rFonts w:ascii="Times New Roman" w:hAnsi="Times New Roman" w:cs="Times New Roman"/>
                      <w:color w:val="auto"/>
                      <w:szCs w:val="21"/>
                    </w:rPr>
                  </w:pPr>
                  <w:r>
                    <w:rPr>
                      <w:rFonts w:hint="eastAsia" w:ascii="Times New Roman" w:hAnsi="Times New Roman" w:cs="Times New Roman"/>
                      <w:color w:val="auto"/>
                      <w:szCs w:val="21"/>
                    </w:rPr>
                    <w:t>2.环境空气保护目标指自然保护区、风景名胜区、居住区、文化区和农村地区中人群较集中的区域。</w:t>
                  </w:r>
                </w:p>
                <w:p w14:paraId="35C4D644">
                  <w:pPr>
                    <w:ind w:firstLine="420" w:firstLineChars="200"/>
                    <w:jc w:val="left"/>
                    <w:rPr>
                      <w:rFonts w:ascii="Times New Roman" w:hAnsi="Times New Roman" w:cs="Times New Roman"/>
                      <w:color w:val="auto"/>
                      <w:szCs w:val="21"/>
                    </w:rPr>
                  </w:pPr>
                  <w:r>
                    <w:rPr>
                      <w:rFonts w:hint="eastAsia" w:ascii="Times New Roman" w:hAnsi="Times New Roman" w:cs="Times New Roman"/>
                      <w:color w:val="auto"/>
                      <w:szCs w:val="21"/>
                    </w:rPr>
                    <w:t>3.临界量及其计算方法可参考《建设项目环境风险评价技术导则》（HJ169-2018）附录B、附录C。</w:t>
                  </w:r>
                </w:p>
              </w:tc>
            </w:tr>
          </w:tbl>
          <w:p w14:paraId="433DB1EA">
            <w:pPr>
              <w:pStyle w:val="41"/>
              <w:ind w:firstLine="0" w:firstLineChars="0"/>
              <w:rPr>
                <w:color w:val="auto"/>
              </w:rPr>
            </w:pPr>
          </w:p>
        </w:tc>
      </w:tr>
      <w:tr w14:paraId="53256C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91" w:type="dxa"/>
            <w:vAlign w:val="center"/>
          </w:tcPr>
          <w:p w14:paraId="0576D041">
            <w:pPr>
              <w:spacing w:line="360" w:lineRule="auto"/>
              <w:jc w:val="center"/>
              <w:rPr>
                <w:rFonts w:ascii="Times New Roman" w:hAnsi="Times New Roman" w:cs="Times New Roman"/>
                <w:color w:val="auto"/>
                <w:sz w:val="24"/>
              </w:rPr>
            </w:pPr>
            <w:r>
              <w:rPr>
                <w:rFonts w:ascii="Times New Roman" w:hAnsi="Times New Roman" w:cs="Times New Roman"/>
                <w:color w:val="auto"/>
                <w:sz w:val="24"/>
              </w:rPr>
              <w:t>规划情况</w:t>
            </w:r>
          </w:p>
        </w:tc>
        <w:tc>
          <w:tcPr>
            <w:tcW w:w="8514" w:type="dxa"/>
            <w:gridSpan w:val="3"/>
            <w:vAlign w:val="center"/>
          </w:tcPr>
          <w:p w14:paraId="35E3B806">
            <w:pPr>
              <w:autoSpaceDE w:val="0"/>
              <w:autoSpaceDN w:val="0"/>
              <w:adjustRightInd w:val="0"/>
              <w:snapToGrid w:val="0"/>
              <w:spacing w:line="360" w:lineRule="auto"/>
              <w:rPr>
                <w:rFonts w:hint="default" w:ascii="Times New Roman" w:hAnsi="Times New Roman" w:eastAsia="宋体" w:cs="Times New Roman"/>
                <w:color w:val="auto"/>
                <w:kern w:val="0"/>
                <w:sz w:val="24"/>
              </w:rPr>
            </w:pPr>
            <w:r>
              <w:rPr>
                <w:rFonts w:hint="default" w:ascii="Times New Roman" w:hAnsi="Times New Roman" w:eastAsia="宋体" w:cs="Times New Roman"/>
                <w:b/>
                <w:bCs/>
                <w:color w:val="auto"/>
                <w:kern w:val="0"/>
                <w:sz w:val="24"/>
              </w:rPr>
              <w:t>规划名称：</w:t>
            </w:r>
            <w:r>
              <w:rPr>
                <w:rFonts w:hint="default" w:ascii="Times New Roman" w:hAnsi="Times New Roman" w:eastAsia="宋体" w:cs="Times New Roman"/>
                <w:color w:val="auto"/>
                <w:kern w:val="0"/>
                <w:sz w:val="24"/>
              </w:rPr>
              <w:t xml:space="preserve">《濉溪县国土空间总体规划（2021—2035年）》 </w:t>
            </w:r>
          </w:p>
          <w:p w14:paraId="0D47B9C1">
            <w:pPr>
              <w:autoSpaceDE w:val="0"/>
              <w:autoSpaceDN w:val="0"/>
              <w:adjustRightInd w:val="0"/>
              <w:snapToGrid w:val="0"/>
              <w:spacing w:line="360" w:lineRule="auto"/>
              <w:rPr>
                <w:rFonts w:hint="default" w:ascii="Times New Roman" w:hAnsi="Times New Roman" w:eastAsia="宋体" w:cs="Times New Roman"/>
                <w:color w:val="auto"/>
                <w:kern w:val="0"/>
                <w:sz w:val="24"/>
              </w:rPr>
            </w:pPr>
            <w:r>
              <w:rPr>
                <w:rFonts w:hint="default" w:ascii="Times New Roman" w:hAnsi="Times New Roman" w:eastAsia="宋体" w:cs="Times New Roman"/>
                <w:b/>
                <w:bCs/>
                <w:color w:val="auto"/>
                <w:kern w:val="0"/>
                <w:sz w:val="24"/>
              </w:rPr>
              <w:t>规划审批机关：</w:t>
            </w:r>
            <w:r>
              <w:rPr>
                <w:rFonts w:hint="default" w:ascii="Times New Roman" w:hAnsi="Times New Roman" w:eastAsia="宋体" w:cs="Times New Roman"/>
                <w:color w:val="auto"/>
                <w:kern w:val="0"/>
                <w:sz w:val="24"/>
              </w:rPr>
              <w:t xml:space="preserve">淮北市人民政府。 </w:t>
            </w:r>
          </w:p>
          <w:p w14:paraId="07FEC98F">
            <w:pPr>
              <w:autoSpaceDE w:val="0"/>
              <w:autoSpaceDN w:val="0"/>
              <w:adjustRightInd w:val="0"/>
              <w:snapToGrid w:val="0"/>
              <w:spacing w:line="360" w:lineRule="auto"/>
              <w:rPr>
                <w:rFonts w:hint="default" w:ascii="Times New Roman" w:hAnsi="Times New Roman" w:eastAsia="宋体" w:cs="Times New Roman"/>
                <w:color w:val="auto"/>
                <w:kern w:val="0"/>
                <w:sz w:val="24"/>
              </w:rPr>
            </w:pPr>
            <w:r>
              <w:rPr>
                <w:rFonts w:hint="default" w:ascii="Times New Roman" w:hAnsi="Times New Roman" w:eastAsia="宋体" w:cs="Times New Roman"/>
                <w:b/>
                <w:bCs/>
                <w:color w:val="auto"/>
                <w:kern w:val="0"/>
                <w:sz w:val="24"/>
              </w:rPr>
              <w:t>审批文件名称及文号：</w:t>
            </w:r>
            <w:r>
              <w:rPr>
                <w:rFonts w:hint="default" w:ascii="Times New Roman" w:hAnsi="Times New Roman" w:eastAsia="宋体" w:cs="Times New Roman"/>
                <w:color w:val="auto"/>
                <w:kern w:val="0"/>
                <w:sz w:val="24"/>
              </w:rPr>
              <w:t>淮北市人民政府批复同意《濉溪县国土空间总体 规划（2021—2035年）》（淮政秘〔2024〕37号）。</w:t>
            </w:r>
          </w:p>
          <w:p w14:paraId="6C599457">
            <w:pPr>
              <w:autoSpaceDE w:val="0"/>
              <w:autoSpaceDN w:val="0"/>
              <w:adjustRightInd w:val="0"/>
              <w:snapToGrid w:val="0"/>
              <w:spacing w:line="360" w:lineRule="auto"/>
              <w:rPr>
                <w:rFonts w:hint="default" w:ascii="Times New Roman" w:hAnsi="Times New Roman" w:eastAsia="宋体" w:cs="Times New Roman"/>
                <w:color w:val="auto"/>
                <w:kern w:val="0"/>
                <w:sz w:val="24"/>
              </w:rPr>
            </w:pPr>
            <w:r>
              <w:rPr>
                <w:rFonts w:hint="default" w:ascii="Times New Roman" w:hAnsi="Times New Roman" w:eastAsia="宋体" w:cs="Times New Roman"/>
                <w:b/>
                <w:bCs/>
                <w:color w:val="auto"/>
                <w:kern w:val="0"/>
                <w:sz w:val="24"/>
              </w:rPr>
              <w:t>审批时间：</w:t>
            </w:r>
            <w:r>
              <w:rPr>
                <w:rFonts w:hint="default" w:ascii="Times New Roman" w:hAnsi="Times New Roman" w:eastAsia="宋体" w:cs="Times New Roman"/>
                <w:color w:val="auto"/>
                <w:kern w:val="0"/>
                <w:sz w:val="24"/>
              </w:rPr>
              <w:t>2024年05月29日。</w:t>
            </w:r>
          </w:p>
          <w:p w14:paraId="06274345">
            <w:pPr>
              <w:autoSpaceDE w:val="0"/>
              <w:autoSpaceDN w:val="0"/>
              <w:adjustRightInd w:val="0"/>
              <w:snapToGrid w:val="0"/>
              <w:spacing w:line="360" w:lineRule="auto"/>
              <w:rPr>
                <w:rFonts w:hint="eastAsia" w:ascii="Times New Roman" w:hAnsi="Times New Roman" w:eastAsia="宋体" w:cs="Times New Roman"/>
                <w:color w:val="auto"/>
                <w:kern w:val="0"/>
                <w:sz w:val="24"/>
                <w:lang w:eastAsia="zh-CN"/>
              </w:rPr>
            </w:pPr>
            <w:r>
              <w:rPr>
                <w:rFonts w:hint="default" w:ascii="Times New Roman" w:hAnsi="Times New Roman" w:eastAsia="宋体" w:cs="Times New Roman"/>
                <w:b/>
                <w:bCs/>
                <w:color w:val="auto"/>
                <w:kern w:val="0"/>
                <w:sz w:val="24"/>
              </w:rPr>
              <w:t>规划名称</w:t>
            </w:r>
            <w:r>
              <w:rPr>
                <w:rFonts w:hint="default" w:ascii="Times New Roman" w:hAnsi="Times New Roman" w:eastAsia="宋体" w:cs="Times New Roman"/>
                <w:color w:val="auto"/>
                <w:kern w:val="0"/>
                <w:sz w:val="24"/>
              </w:rPr>
              <w:t>：《安徽淮北临涣工业园》</w:t>
            </w:r>
            <w:r>
              <w:rPr>
                <w:rFonts w:hint="eastAsia"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安徽濉溪经济开发区总体发展规划（2018-2030年）</w:t>
            </w:r>
            <w:r>
              <w:rPr>
                <w:rFonts w:hint="eastAsia" w:ascii="Times New Roman" w:hAnsi="Times New Roman" w:eastAsia="宋体" w:cs="Times New Roman"/>
                <w:color w:val="auto"/>
                <w:kern w:val="0"/>
                <w:sz w:val="24"/>
                <w:lang w:eastAsia="zh-CN"/>
              </w:rPr>
              <w:t>》</w:t>
            </w:r>
          </w:p>
          <w:p w14:paraId="7B7F2B78">
            <w:pPr>
              <w:autoSpaceDE w:val="0"/>
              <w:autoSpaceDN w:val="0"/>
              <w:adjustRightInd w:val="0"/>
              <w:snapToGrid w:val="0"/>
              <w:spacing w:line="360" w:lineRule="auto"/>
              <w:rPr>
                <w:rFonts w:hint="default" w:ascii="Times New Roman" w:hAnsi="Times New Roman" w:eastAsia="宋体" w:cs="Times New Roman"/>
                <w:color w:val="auto"/>
                <w:kern w:val="0"/>
                <w:sz w:val="24"/>
              </w:rPr>
            </w:pPr>
            <w:r>
              <w:rPr>
                <w:rFonts w:hint="default" w:ascii="Times New Roman" w:hAnsi="Times New Roman" w:eastAsia="宋体" w:cs="Times New Roman"/>
                <w:b/>
                <w:bCs/>
                <w:color w:val="auto"/>
                <w:kern w:val="0"/>
                <w:sz w:val="24"/>
              </w:rPr>
              <w:t>规划审批机关：</w:t>
            </w:r>
            <w:r>
              <w:rPr>
                <w:rFonts w:hint="default" w:ascii="Times New Roman" w:hAnsi="Times New Roman" w:eastAsia="宋体" w:cs="Times New Roman"/>
                <w:color w:val="auto"/>
                <w:kern w:val="0"/>
                <w:sz w:val="24"/>
              </w:rPr>
              <w:t>安徽省人民政府</w:t>
            </w:r>
          </w:p>
          <w:p w14:paraId="4B149BEA">
            <w:pPr>
              <w:autoSpaceDE w:val="0"/>
              <w:autoSpaceDN w:val="0"/>
              <w:adjustRightInd w:val="0"/>
              <w:snapToGrid w:val="0"/>
              <w:spacing w:line="360" w:lineRule="auto"/>
              <w:rPr>
                <w:rFonts w:hint="default"/>
                <w:lang w:val="en-US" w:eastAsia="zh-CN"/>
              </w:rPr>
            </w:pPr>
            <w:r>
              <w:rPr>
                <w:rFonts w:hint="default" w:ascii="Times New Roman" w:hAnsi="Times New Roman" w:eastAsia="宋体" w:cs="Times New Roman"/>
                <w:b/>
                <w:bCs/>
                <w:color w:val="auto"/>
                <w:kern w:val="0"/>
                <w:sz w:val="24"/>
              </w:rPr>
              <w:t>规划审批文件：</w:t>
            </w:r>
            <w:r>
              <w:rPr>
                <w:rFonts w:hint="default" w:ascii="Times New Roman" w:hAnsi="Times New Roman" w:eastAsia="宋体" w:cs="Times New Roman"/>
                <w:color w:val="auto"/>
                <w:kern w:val="0"/>
                <w:sz w:val="24"/>
              </w:rPr>
              <w:t>《关于同意筹建安徽淮北临涣工业园的批复》（皖政秘〔2010〕53号）</w:t>
            </w:r>
            <w:r>
              <w:rPr>
                <w:rFonts w:hint="eastAsia"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《关于淮北市省级以上开发区优化整合方案的批复》（皖政秘</w:t>
            </w: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lang w:val="en-US" w:eastAsia="zh-CN"/>
              </w:rPr>
              <w:t>2018</w:t>
            </w:r>
            <w:r>
              <w:rPr>
                <w:rFonts w:hint="eastAsia"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136号）</w:t>
            </w:r>
          </w:p>
        </w:tc>
      </w:tr>
      <w:tr w14:paraId="6940E5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91" w:type="dxa"/>
            <w:vAlign w:val="center"/>
          </w:tcPr>
          <w:p w14:paraId="24EABBBB">
            <w:pPr>
              <w:spacing w:line="360" w:lineRule="auto"/>
              <w:jc w:val="center"/>
              <w:rPr>
                <w:rFonts w:ascii="Times New Roman" w:hAnsi="Times New Roman" w:cs="Times New Roman"/>
                <w:color w:val="auto"/>
                <w:sz w:val="24"/>
              </w:rPr>
            </w:pPr>
            <w:r>
              <w:rPr>
                <w:rFonts w:ascii="Times New Roman" w:hAnsi="Times New Roman" w:cs="Times New Roman"/>
                <w:color w:val="auto"/>
                <w:sz w:val="24"/>
              </w:rPr>
              <w:t>规划环境影响评价情况</w:t>
            </w:r>
          </w:p>
        </w:tc>
        <w:tc>
          <w:tcPr>
            <w:tcW w:w="8514" w:type="dxa"/>
            <w:gridSpan w:val="3"/>
            <w:vAlign w:val="center"/>
          </w:tcPr>
          <w:p w14:paraId="33C27C47">
            <w:pPr>
              <w:autoSpaceDE w:val="0"/>
              <w:autoSpaceDN w:val="0"/>
              <w:adjustRightInd w:val="0"/>
              <w:snapToGrid w:val="0"/>
              <w:spacing w:line="360" w:lineRule="auto"/>
              <w:rPr>
                <w:rFonts w:hint="default" w:ascii="Times New Roman" w:hAnsi="Times New Roman" w:eastAsia="宋体" w:cs="Times New Roman"/>
                <w:b w:val="0"/>
                <w:bCs w:val="0"/>
                <w:color w:val="auto"/>
                <w:kern w:val="0"/>
                <w:sz w:val="24"/>
              </w:rPr>
            </w:pPr>
            <w:r>
              <w:rPr>
                <w:rFonts w:hint="default" w:ascii="Times New Roman" w:hAnsi="Times New Roman" w:eastAsia="宋体" w:cs="Times New Roman"/>
                <w:b/>
                <w:bCs/>
                <w:color w:val="auto"/>
                <w:kern w:val="0"/>
                <w:sz w:val="24"/>
              </w:rPr>
              <w:t>规划环境影响评价文件名称:</w:t>
            </w:r>
            <w:r>
              <w:rPr>
                <w:rFonts w:hint="default" w:ascii="Times New Roman" w:hAnsi="Times New Roman" w:eastAsia="宋体" w:cs="Times New Roman"/>
                <w:b w:val="0"/>
                <w:bCs w:val="0"/>
                <w:color w:val="auto"/>
                <w:kern w:val="0"/>
                <w:sz w:val="24"/>
              </w:rPr>
              <w:t>《淮北临涣化工园区总体发展规划(2022-2035年)环境影响报告书》</w:t>
            </w:r>
          </w:p>
          <w:p w14:paraId="644F6DEE">
            <w:pPr>
              <w:autoSpaceDE w:val="0"/>
              <w:autoSpaceDN w:val="0"/>
              <w:adjustRightInd w:val="0"/>
              <w:snapToGrid w:val="0"/>
              <w:spacing w:line="360" w:lineRule="auto"/>
              <w:rPr>
                <w:rFonts w:hint="default" w:ascii="Times New Roman" w:hAnsi="Times New Roman" w:eastAsia="宋体" w:cs="Times New Roman"/>
                <w:b w:val="0"/>
                <w:bCs w:val="0"/>
                <w:color w:val="auto"/>
                <w:kern w:val="0"/>
                <w:sz w:val="24"/>
              </w:rPr>
            </w:pPr>
            <w:r>
              <w:rPr>
                <w:rFonts w:hint="default" w:ascii="Times New Roman" w:hAnsi="Times New Roman" w:eastAsia="宋体" w:cs="Times New Roman"/>
                <w:b/>
                <w:bCs/>
                <w:color w:val="auto"/>
                <w:kern w:val="0"/>
                <w:sz w:val="24"/>
              </w:rPr>
              <w:t>召集审查机关:</w:t>
            </w:r>
            <w:r>
              <w:rPr>
                <w:rFonts w:hint="default" w:ascii="Times New Roman" w:hAnsi="Times New Roman" w:eastAsia="宋体" w:cs="Times New Roman"/>
                <w:b w:val="0"/>
                <w:bCs w:val="0"/>
                <w:color w:val="auto"/>
                <w:kern w:val="0"/>
                <w:sz w:val="24"/>
              </w:rPr>
              <w:t>淮北市生态环境局</w:t>
            </w:r>
          </w:p>
          <w:p w14:paraId="561EB270">
            <w:pPr>
              <w:autoSpaceDE w:val="0"/>
              <w:autoSpaceDN w:val="0"/>
              <w:adjustRightInd w:val="0"/>
              <w:snapToGrid w:val="0"/>
              <w:spacing w:line="360" w:lineRule="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b/>
                <w:bCs/>
                <w:color w:val="auto"/>
                <w:kern w:val="0"/>
                <w:sz w:val="24"/>
              </w:rPr>
              <w:t>审查文件名称及文号:</w:t>
            </w:r>
            <w:r>
              <w:rPr>
                <w:rFonts w:hint="default" w:ascii="Times New Roman" w:hAnsi="Times New Roman" w:eastAsia="宋体" w:cs="Times New Roman"/>
                <w:b w:val="0"/>
                <w:bCs w:val="0"/>
                <w:color w:val="auto"/>
                <w:kern w:val="0"/>
                <w:sz w:val="24"/>
              </w:rPr>
              <w:t>《淮北市生态环境局关于印送&lt;淮北临涣化工园区总体发展规划(2022-2035年)环境影响报告书审查意见&gt;的函》(淮环函(2023)50号)，2023年04月12日</w:t>
            </w:r>
          </w:p>
        </w:tc>
      </w:tr>
      <w:tr w14:paraId="26D284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91" w:type="dxa"/>
            <w:vAlign w:val="center"/>
          </w:tcPr>
          <w:p w14:paraId="1E309C95">
            <w:pPr>
              <w:spacing w:line="360" w:lineRule="auto"/>
              <w:jc w:val="center"/>
              <w:rPr>
                <w:rFonts w:ascii="Times New Roman" w:hAnsi="Times New Roman" w:cs="Times New Roman"/>
                <w:color w:val="auto"/>
                <w:sz w:val="24"/>
              </w:rPr>
            </w:pPr>
            <w:r>
              <w:rPr>
                <w:rFonts w:ascii="Times New Roman" w:hAnsi="Times New Roman" w:cs="Times New Roman"/>
                <w:color w:val="auto"/>
                <w:sz w:val="24"/>
              </w:rPr>
              <w:t>规划及规划环境影响评价符合性分析</w:t>
            </w:r>
          </w:p>
        </w:tc>
        <w:tc>
          <w:tcPr>
            <w:tcW w:w="8514" w:type="dxa"/>
            <w:gridSpan w:val="3"/>
            <w:vAlign w:val="center"/>
          </w:tcPr>
          <w:p w14:paraId="47C50B85">
            <w:pPr>
              <w:pStyle w:val="74"/>
              <w:spacing w:line="500" w:lineRule="exact"/>
              <w:ind w:left="0" w:leftChars="0" w:firstLine="0" w:firstLineChars="0"/>
              <w:rPr>
                <w:rFonts w:hint="eastAsia" w:ascii="Times New Roman" w:hAnsi="Times New Roman" w:cs="Times New Roman"/>
                <w:b/>
                <w:bCs w:val="0"/>
                <w:color w:val="auto"/>
                <w:sz w:val="24"/>
                <w:szCs w:val="24"/>
                <w:lang w:eastAsia="zh-CN"/>
              </w:rPr>
            </w:pPr>
            <w:r>
              <w:rPr>
                <w:rFonts w:hint="eastAsia" w:ascii="Times New Roman" w:hAnsi="Times New Roman" w:cs="Times New Roman"/>
                <w:b/>
                <w:bCs w:val="0"/>
                <w:color w:val="auto"/>
                <w:sz w:val="24"/>
                <w:szCs w:val="24"/>
                <w:lang w:val="en-US" w:eastAsia="zh-CN"/>
              </w:rPr>
              <w:t>1、</w:t>
            </w:r>
            <w:r>
              <w:rPr>
                <w:rFonts w:hint="eastAsia" w:ascii="Times New Roman" w:hAnsi="Times New Roman" w:cs="Times New Roman"/>
                <w:b/>
                <w:bCs w:val="0"/>
                <w:color w:val="auto"/>
                <w:sz w:val="24"/>
                <w:szCs w:val="24"/>
                <w:lang w:eastAsia="zh-CN"/>
              </w:rPr>
              <w:t>规划符合性分析</w:t>
            </w:r>
          </w:p>
          <w:p w14:paraId="786AB2F5">
            <w:pPr>
              <w:pStyle w:val="74"/>
              <w:spacing w:line="500" w:lineRule="exact"/>
              <w:ind w:left="0" w:leftChars="0" w:firstLine="0" w:firstLineChars="0"/>
              <w:rPr>
                <w:rFonts w:hint="eastAsia" w:ascii="Times New Roman" w:hAnsi="Times New Roman" w:cs="Times New Roman"/>
                <w:b/>
                <w:bCs w:val="0"/>
                <w:color w:val="auto"/>
                <w:sz w:val="24"/>
                <w:szCs w:val="24"/>
                <w:lang w:val="en-US" w:eastAsia="zh-CN"/>
              </w:rPr>
            </w:pPr>
            <w:r>
              <w:rPr>
                <w:rFonts w:hint="eastAsia" w:ascii="Times New Roman" w:hAnsi="Times New Roman" w:cs="Times New Roman"/>
                <w:b/>
                <w:bCs w:val="0"/>
                <w:color w:val="auto"/>
                <w:sz w:val="24"/>
                <w:szCs w:val="24"/>
                <w:lang w:val="en-US" w:eastAsia="zh-CN"/>
              </w:rPr>
              <w:t>（1）与</w:t>
            </w:r>
            <w:r>
              <w:rPr>
                <w:rFonts w:hint="eastAsia" w:ascii="Times New Roman" w:hAnsi="Times New Roman" w:cs="Times New Roman"/>
                <w:b/>
                <w:bCs w:val="0"/>
                <w:color w:val="auto"/>
                <w:sz w:val="24"/>
                <w:szCs w:val="24"/>
                <w:lang w:eastAsia="zh-CN"/>
              </w:rPr>
              <w:t>《濉溪县国土空间总体规划（2021—2035年）》规划符合性分析</w:t>
            </w:r>
          </w:p>
          <w:p w14:paraId="5459F3DD">
            <w:pPr>
              <w:pStyle w:val="74"/>
              <w:spacing w:line="500" w:lineRule="exact"/>
              <w:ind w:firstLine="480"/>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根据《濉溪县国土空间总体规划（2021—2035年）》，重点保障安徽</w:t>
            </w:r>
            <w:r>
              <w:rPr>
                <w:rFonts w:hint="eastAsia" w:ascii="Times New Roman" w:hAnsi="Times New Roman" w:cs="Times New Roman"/>
                <w:b w:val="0"/>
                <w:bCs/>
                <w:color w:val="auto"/>
                <w:sz w:val="24"/>
                <w:szCs w:val="24"/>
                <w:lang w:val="en-US" w:eastAsia="zh-CN"/>
              </w:rPr>
              <w:t>濉溪</w:t>
            </w:r>
            <w:r>
              <w:rPr>
                <w:rFonts w:hint="default" w:ascii="Times New Roman" w:hAnsi="Times New Roman" w:cs="Times New Roman"/>
                <w:b w:val="0"/>
                <w:bCs/>
                <w:color w:val="auto"/>
                <w:sz w:val="24"/>
                <w:szCs w:val="24"/>
                <w:lang w:val="en-US" w:eastAsia="zh-CN"/>
              </w:rPr>
              <w:t>经济开发区和安徽淮北新型煤化工合成材料基地等产业园区用地需求；推进安徽</w:t>
            </w:r>
            <w:r>
              <w:rPr>
                <w:rFonts w:hint="eastAsia" w:ascii="Times New Roman" w:hAnsi="Times New Roman" w:cs="Times New Roman"/>
                <w:b w:val="0"/>
                <w:bCs/>
                <w:color w:val="auto"/>
                <w:sz w:val="24"/>
                <w:szCs w:val="24"/>
                <w:lang w:val="en-US" w:eastAsia="zh-CN"/>
              </w:rPr>
              <w:t>濉溪</w:t>
            </w:r>
            <w:r>
              <w:rPr>
                <w:rFonts w:hint="default" w:ascii="Times New Roman" w:hAnsi="Times New Roman" w:cs="Times New Roman"/>
                <w:b w:val="0"/>
                <w:bCs/>
                <w:color w:val="auto"/>
                <w:sz w:val="24"/>
                <w:szCs w:val="24"/>
                <w:lang w:val="en-US" w:eastAsia="zh-CN"/>
              </w:rPr>
              <w:t>经济开发区和安徽淮北新型煤化工合成材料基地产城融合发展， 促进要素高效集聚，建设用地节约集约利用。 本项目厂区改扩建工程在</w:t>
            </w:r>
            <w:r>
              <w:rPr>
                <w:rFonts w:hint="eastAsia" w:ascii="Times New Roman" w:hAnsi="Times New Roman" w:cs="Times New Roman"/>
                <w:b w:val="0"/>
                <w:bCs/>
                <w:color w:val="auto"/>
                <w:sz w:val="24"/>
                <w:szCs w:val="24"/>
                <w:lang w:val="en-US" w:eastAsia="zh-CN"/>
              </w:rPr>
              <w:t>安徽长淮新材料有限公司</w:t>
            </w:r>
            <w:r>
              <w:rPr>
                <w:rFonts w:hint="default" w:ascii="Times New Roman" w:hAnsi="Times New Roman" w:cs="Times New Roman"/>
                <w:b w:val="0"/>
                <w:bCs/>
                <w:color w:val="auto"/>
                <w:sz w:val="24"/>
                <w:szCs w:val="24"/>
                <w:lang w:val="en-US" w:eastAsia="zh-CN"/>
              </w:rPr>
              <w:t>，不新增用地；且根据</w:t>
            </w:r>
            <w:r>
              <w:rPr>
                <w:rFonts w:hint="eastAsia" w:ascii="Times New Roman" w:hAnsi="Times New Roman" w:cs="Times New Roman"/>
                <w:b w:val="0"/>
                <w:bCs/>
                <w:color w:val="auto"/>
                <w:sz w:val="24"/>
                <w:szCs w:val="24"/>
                <w:lang w:val="en-US" w:eastAsia="zh-CN"/>
              </w:rPr>
              <w:t>安徽长淮新材料有限公司</w:t>
            </w:r>
            <w:r>
              <w:rPr>
                <w:rFonts w:hint="default" w:ascii="Times New Roman" w:hAnsi="Times New Roman" w:cs="Times New Roman"/>
                <w:b w:val="0"/>
                <w:bCs/>
                <w:color w:val="auto"/>
                <w:sz w:val="24"/>
                <w:szCs w:val="24"/>
                <w:lang w:val="en-US" w:eastAsia="zh-CN"/>
              </w:rPr>
              <w:t>不动产权证书，厂区用地为工业用地。故本项目建设与《濉溪县国土空间总体规划（2021—2035年）》相符。</w:t>
            </w:r>
          </w:p>
          <w:p w14:paraId="5A39E157">
            <w:pPr>
              <w:pStyle w:val="74"/>
              <w:spacing w:line="500" w:lineRule="exact"/>
              <w:ind w:left="0" w:leftChars="0" w:firstLine="0" w:firstLineChars="0"/>
              <w:rPr>
                <w:rFonts w:hint="default" w:ascii="Times New Roman" w:hAnsi="Times New Roman" w:cs="Times New Roman"/>
                <w:b/>
                <w:bCs w:val="0"/>
                <w:color w:val="auto"/>
                <w:sz w:val="24"/>
                <w:szCs w:val="24"/>
              </w:rPr>
            </w:pPr>
            <w:r>
              <w:rPr>
                <w:rFonts w:hint="eastAsia" w:ascii="Times New Roman" w:hAnsi="Times New Roman" w:cs="Times New Roman"/>
                <w:b/>
                <w:bCs w:val="0"/>
                <w:color w:val="auto"/>
                <w:sz w:val="24"/>
                <w:szCs w:val="24"/>
                <w:lang w:val="en-US" w:eastAsia="zh-CN"/>
              </w:rPr>
              <w:t>（2）</w:t>
            </w:r>
            <w:r>
              <w:rPr>
                <w:rFonts w:hint="default" w:ascii="Times New Roman" w:hAnsi="Times New Roman" w:cs="Times New Roman"/>
                <w:b/>
                <w:bCs w:val="0"/>
                <w:color w:val="auto"/>
                <w:sz w:val="24"/>
                <w:szCs w:val="24"/>
              </w:rPr>
              <w:t>与《淮北临涣化工园区总体发展规划（2022-2035年）》相符性分析</w:t>
            </w:r>
          </w:p>
          <w:p w14:paraId="5ED1BA57">
            <w:pPr>
              <w:pStyle w:val="74"/>
              <w:spacing w:line="500" w:lineRule="exact"/>
              <w:ind w:firstLine="480"/>
              <w:rPr>
                <w:rFonts w:hint="eastAsia" w:ascii="Times New Roman" w:hAnsi="Times New Roman" w:cs="Times New Roman"/>
                <w:b w:val="0"/>
                <w:bCs/>
                <w:color w:val="auto"/>
                <w:sz w:val="24"/>
                <w:szCs w:val="24"/>
                <w:lang w:eastAsia="zh-CN"/>
              </w:rPr>
            </w:pPr>
            <w:r>
              <w:rPr>
                <w:rFonts w:hint="default" w:ascii="Times New Roman" w:hAnsi="Times New Roman" w:cs="Times New Roman"/>
                <w:b w:val="0"/>
                <w:bCs/>
                <w:color w:val="auto"/>
                <w:sz w:val="24"/>
                <w:szCs w:val="24"/>
                <w:lang w:val="en-US" w:eastAsia="zh-CN"/>
              </w:rPr>
              <w:t>根据《淮北临涣化工园区总体发展规划（2022-2035年）》等相关规划</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b w:val="0"/>
                <w:bCs/>
                <w:color w:val="auto"/>
                <w:sz w:val="24"/>
                <w:szCs w:val="24"/>
                <w:lang w:eastAsia="zh-CN"/>
              </w:rPr>
              <w:t>主导产业为化工。</w:t>
            </w:r>
          </w:p>
          <w:p w14:paraId="1C24306D">
            <w:pPr>
              <w:pStyle w:val="74"/>
              <w:spacing w:line="500" w:lineRule="exact"/>
              <w:ind w:firstLine="480"/>
              <w:rPr>
                <w:rFonts w:hint="eastAsia" w:ascii="Times New Roman" w:hAnsi="Times New Roman" w:cs="Times New Roman"/>
                <w:b w:val="0"/>
                <w:bCs/>
                <w:color w:val="auto"/>
                <w:sz w:val="24"/>
                <w:szCs w:val="24"/>
                <w:lang w:eastAsia="zh-CN"/>
              </w:rPr>
            </w:pPr>
            <w:r>
              <w:rPr>
                <w:rFonts w:hint="eastAsia" w:ascii="Times New Roman" w:hAnsi="Times New Roman" w:cs="Times New Roman"/>
                <w:b w:val="0"/>
                <w:bCs/>
                <w:color w:val="auto"/>
                <w:sz w:val="24"/>
                <w:szCs w:val="24"/>
                <w:lang w:eastAsia="zh-CN"/>
              </w:rPr>
              <w:t>项目厂址位于安徽淮北新型煤化工合成材料基地安徽</w:t>
            </w:r>
            <w:r>
              <w:rPr>
                <w:rFonts w:hint="eastAsia" w:ascii="Times New Roman" w:hAnsi="Times New Roman" w:cs="Times New Roman"/>
                <w:b w:val="0"/>
                <w:bCs/>
                <w:color w:val="auto"/>
                <w:sz w:val="24"/>
                <w:szCs w:val="24"/>
                <w:lang w:val="en-US" w:eastAsia="zh-CN"/>
              </w:rPr>
              <w:t>长淮</w:t>
            </w:r>
            <w:r>
              <w:rPr>
                <w:rFonts w:hint="eastAsia" w:ascii="Times New Roman" w:hAnsi="Times New Roman" w:cs="Times New Roman"/>
                <w:b w:val="0"/>
                <w:bCs/>
                <w:color w:val="auto"/>
                <w:sz w:val="24"/>
                <w:szCs w:val="24"/>
                <w:lang w:eastAsia="zh-CN"/>
              </w:rPr>
              <w:t>现有厂区内，根据</w:t>
            </w:r>
            <w:r>
              <w:rPr>
                <w:rFonts w:hint="default" w:ascii="Times New Roman" w:hAnsi="Times New Roman" w:cs="Times New Roman"/>
                <w:b w:val="0"/>
                <w:bCs/>
                <w:color w:val="auto"/>
                <w:sz w:val="24"/>
                <w:szCs w:val="24"/>
                <w:lang w:val="en-US" w:eastAsia="zh-CN"/>
              </w:rPr>
              <w:t>《淮北临涣化工园区总体发展规划（2022-2035年）》</w:t>
            </w:r>
            <w:r>
              <w:rPr>
                <w:rFonts w:hint="eastAsia" w:ascii="Times New Roman" w:hAnsi="Times New Roman" w:cs="Times New Roman"/>
                <w:b w:val="0"/>
                <w:bCs/>
                <w:color w:val="auto"/>
                <w:sz w:val="24"/>
                <w:szCs w:val="24"/>
                <w:lang w:eastAsia="zh-CN"/>
              </w:rPr>
              <w:t>用地布局规划，项目用地性质为</w:t>
            </w:r>
            <w:r>
              <w:rPr>
                <w:rFonts w:hint="eastAsia" w:ascii="Times New Roman" w:hAnsi="Times New Roman" w:cs="Times New Roman"/>
                <w:b w:val="0"/>
                <w:bCs/>
                <w:color w:val="auto"/>
                <w:sz w:val="24"/>
                <w:szCs w:val="24"/>
                <w:lang w:val="en-US" w:eastAsia="zh-CN"/>
              </w:rPr>
              <w:t>三</w:t>
            </w:r>
            <w:r>
              <w:rPr>
                <w:rFonts w:hint="eastAsia" w:ascii="Times New Roman" w:hAnsi="Times New Roman" w:cs="Times New Roman"/>
                <w:b w:val="0"/>
                <w:bCs/>
                <w:color w:val="auto"/>
                <w:sz w:val="24"/>
                <w:szCs w:val="24"/>
                <w:lang w:eastAsia="zh-CN"/>
              </w:rPr>
              <w:t>类工业用地，项目选址符合开发区土地利用规划的要求。</w:t>
            </w:r>
          </w:p>
          <w:p w14:paraId="74BE9A62">
            <w:pPr>
              <w:pStyle w:val="74"/>
              <w:spacing w:line="500" w:lineRule="exact"/>
              <w:ind w:firstLine="480"/>
              <w:rPr>
                <w:rFonts w:hint="default" w:ascii="Times New Roman" w:hAnsi="Times New Roman" w:eastAsia="宋体" w:cs="Times New Roman"/>
                <w:b/>
                <w:bCs/>
                <w:color w:val="auto"/>
                <w:kern w:val="0"/>
                <w:sz w:val="24"/>
              </w:rPr>
            </w:pPr>
            <w:r>
              <w:rPr>
                <w:rFonts w:hint="default" w:ascii="Times New Roman" w:hAnsi="Times New Roman" w:cs="Times New Roman"/>
                <w:b w:val="0"/>
                <w:bCs/>
                <w:color w:val="auto"/>
                <w:sz w:val="24"/>
                <w:szCs w:val="24"/>
              </w:rPr>
              <w:t>本项目</w:t>
            </w:r>
            <w:r>
              <w:rPr>
                <w:rFonts w:hint="eastAsia" w:ascii="Times New Roman" w:hAnsi="Times New Roman" w:cs="Times New Roman"/>
                <w:b w:val="0"/>
                <w:bCs/>
                <w:color w:val="auto"/>
                <w:sz w:val="24"/>
                <w:szCs w:val="24"/>
                <w:lang w:eastAsia="zh-CN"/>
              </w:rPr>
              <w:t>主要实施</w:t>
            </w:r>
            <w:r>
              <w:rPr>
                <w:rFonts w:hint="eastAsia" w:ascii="Times New Roman" w:hAnsi="Times New Roman" w:cs="Times New Roman"/>
                <w:b w:val="0"/>
                <w:bCs/>
                <w:color w:val="auto"/>
                <w:sz w:val="24"/>
                <w:szCs w:val="24"/>
                <w:lang w:val="en-US" w:eastAsia="zh-CN"/>
              </w:rPr>
              <w:t>本公司产品过程检测及原料材料检测、新产品研发、调整配方、小试实验检测检验服务，</w:t>
            </w:r>
            <w:r>
              <w:rPr>
                <w:rFonts w:hint="eastAsia" w:ascii="Times New Roman" w:hAnsi="Times New Roman" w:cs="Times New Roman"/>
                <w:b w:val="0"/>
                <w:bCs/>
                <w:color w:val="auto"/>
                <w:sz w:val="24"/>
                <w:szCs w:val="24"/>
                <w:lang w:eastAsia="zh-CN"/>
              </w:rPr>
              <w:t>属于检测服务</w:t>
            </w:r>
            <w:r>
              <w:rPr>
                <w:rFonts w:ascii="Times New Roman" w:hAnsi="Times New Roman" w:cs="Times New Roman"/>
                <w:b w:val="0"/>
                <w:bCs/>
                <w:color w:val="auto"/>
                <w:sz w:val="24"/>
                <w:szCs w:val="24"/>
              </w:rPr>
              <w:t>【</w:t>
            </w:r>
            <w:r>
              <w:rPr>
                <w:rFonts w:hint="eastAsia" w:ascii="Times New Roman" w:hAnsi="Times New Roman" w:cs="Times New Roman"/>
                <w:b w:val="0"/>
                <w:bCs/>
                <w:color w:val="auto"/>
                <w:sz w:val="24"/>
                <w:szCs w:val="24"/>
                <w:lang w:val="en-US" w:eastAsia="zh-CN"/>
              </w:rPr>
              <w:t>M7452</w:t>
            </w:r>
            <w:r>
              <w:rPr>
                <w:rFonts w:ascii="Times New Roman" w:hAnsi="Times New Roman" w:cs="Times New Roman"/>
                <w:b w:val="0"/>
                <w:bCs/>
                <w:color w:val="auto"/>
                <w:sz w:val="24"/>
                <w:szCs w:val="24"/>
              </w:rPr>
              <w:t>】</w:t>
            </w:r>
            <w:r>
              <w:rPr>
                <w:rFonts w:hint="eastAsia" w:ascii="Times New Roman" w:hAnsi="Times New Roman" w:cs="Times New Roman"/>
                <w:color w:val="auto"/>
                <w:sz w:val="24"/>
                <w:szCs w:val="24"/>
                <w:lang w:val="en-US" w:eastAsia="zh-CN"/>
              </w:rPr>
              <w:t>，</w:t>
            </w:r>
            <w:r>
              <w:rPr>
                <w:rFonts w:hint="eastAsia" w:ascii="Times New Roman" w:hAnsi="Times New Roman" w:eastAsia="宋体" w:cs="Times New Roman"/>
                <w:color w:val="auto"/>
                <w:sz w:val="24"/>
                <w:szCs w:val="24"/>
              </w:rPr>
              <w:t>不属于</w:t>
            </w:r>
            <w:r>
              <w:rPr>
                <w:rFonts w:hint="eastAsia" w:ascii="Times New Roman" w:hAnsi="Times New Roman" w:cs="Times New Roman"/>
                <w:b w:val="0"/>
                <w:bCs/>
                <w:color w:val="auto"/>
                <w:sz w:val="24"/>
                <w:szCs w:val="24"/>
                <w:lang w:eastAsia="zh-CN"/>
              </w:rPr>
              <w:t>安徽淮北新型煤化工合成材料基地</w:t>
            </w:r>
            <w:r>
              <w:rPr>
                <w:rFonts w:hint="eastAsia" w:ascii="Times New Roman" w:hAnsi="Times New Roman" w:eastAsia="宋体" w:cs="Times New Roman"/>
                <w:color w:val="auto"/>
                <w:sz w:val="24"/>
                <w:szCs w:val="24"/>
              </w:rPr>
              <w:t>主导产业，不在</w:t>
            </w:r>
            <w:r>
              <w:rPr>
                <w:rFonts w:hint="eastAsia" w:ascii="Times New Roman" w:hAnsi="Times New Roman" w:eastAsia="宋体" w:cs="Times New Roman"/>
                <w:color w:val="auto"/>
                <w:kern w:val="0"/>
                <w:sz w:val="24"/>
                <w:szCs w:val="24"/>
                <w:lang w:eastAsia="zh-CN"/>
              </w:rPr>
              <w:t>安徽淮北新型煤化工合成材料基地</w:t>
            </w:r>
            <w:r>
              <w:rPr>
                <w:rFonts w:hint="eastAsia" w:ascii="Times New Roman" w:hAnsi="Times New Roman" w:cs="Times New Roman"/>
                <w:color w:val="auto"/>
                <w:kern w:val="0"/>
                <w:sz w:val="24"/>
                <w:szCs w:val="24"/>
                <w:lang w:eastAsia="zh-CN"/>
              </w:rPr>
              <w:t>环境准入清单“禁止类”及“限制类”中</w:t>
            </w:r>
            <w:r>
              <w:rPr>
                <w:rFonts w:hint="eastAsia" w:ascii="Times New Roman" w:hAnsi="Times New Roman" w:eastAsia="宋体" w:cs="Times New Roman"/>
                <w:color w:val="auto"/>
                <w:sz w:val="24"/>
                <w:szCs w:val="24"/>
              </w:rPr>
              <w:t>，与</w:t>
            </w:r>
            <w:r>
              <w:rPr>
                <w:rFonts w:hint="eastAsia" w:ascii="Times New Roman" w:hAnsi="Times New Roman" w:cs="Times New Roman"/>
                <w:b w:val="0"/>
                <w:bCs/>
                <w:color w:val="auto"/>
                <w:sz w:val="24"/>
                <w:szCs w:val="24"/>
                <w:lang w:eastAsia="zh-CN"/>
              </w:rPr>
              <w:t>安徽淮北新型煤化工合成材料基地</w:t>
            </w:r>
            <w:r>
              <w:rPr>
                <w:rFonts w:hint="eastAsia" w:ascii="Times New Roman" w:hAnsi="Times New Roman" w:eastAsia="宋体" w:cs="Times New Roman"/>
                <w:color w:val="auto"/>
                <w:sz w:val="24"/>
                <w:szCs w:val="24"/>
                <w:lang w:val="en-US" w:eastAsia="zh-CN"/>
              </w:rPr>
              <w:t>总体规划</w:t>
            </w:r>
            <w:r>
              <w:rPr>
                <w:rFonts w:hint="eastAsia" w:ascii="Times New Roman" w:hAnsi="Times New Roman" w:eastAsia="宋体" w:cs="Times New Roman"/>
                <w:color w:val="auto"/>
                <w:sz w:val="24"/>
                <w:szCs w:val="24"/>
              </w:rPr>
              <w:t>不冲突</w:t>
            </w:r>
            <w:r>
              <w:rPr>
                <w:rFonts w:hint="default" w:ascii="Times New Roman" w:hAnsi="Times New Roman" w:cs="Times New Roman"/>
                <w:color w:val="auto"/>
                <w:sz w:val="24"/>
                <w:szCs w:val="24"/>
                <w:lang w:val="en-US" w:eastAsia="zh-CN"/>
              </w:rPr>
              <w:t>。</w:t>
            </w:r>
          </w:p>
        </w:tc>
      </w:tr>
      <w:tr w14:paraId="4A579C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35" w:hRule="atLeast"/>
          <w:jc w:val="center"/>
        </w:trPr>
        <w:tc>
          <w:tcPr>
            <w:tcW w:w="1691" w:type="dxa"/>
            <w:vAlign w:val="center"/>
          </w:tcPr>
          <w:p w14:paraId="0BF2C89A">
            <w:pPr>
              <w:jc w:val="center"/>
              <w:rPr>
                <w:rFonts w:ascii="Times New Roman" w:hAnsi="Times New Roman" w:cs="Times New Roman"/>
                <w:color w:val="auto"/>
                <w:sz w:val="24"/>
              </w:rPr>
            </w:pPr>
            <w:r>
              <w:rPr>
                <w:rFonts w:ascii="Times New Roman" w:hAnsi="Times New Roman" w:cs="Times New Roman"/>
                <w:color w:val="auto"/>
                <w:sz w:val="24"/>
              </w:rPr>
              <w:t>规划及规划环境影响评价符合性分析</w:t>
            </w:r>
          </w:p>
        </w:tc>
        <w:tc>
          <w:tcPr>
            <w:tcW w:w="8514" w:type="dxa"/>
            <w:gridSpan w:val="3"/>
            <w:vAlign w:val="center"/>
          </w:tcPr>
          <w:p w14:paraId="5F7194DE">
            <w:pPr>
              <w:spacing w:line="500" w:lineRule="exact"/>
              <w:ind w:firstLine="482" w:firstLineChars="200"/>
              <w:jc w:val="left"/>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lang w:val="en-US" w:eastAsia="zh-CN"/>
              </w:rPr>
              <w:t>3</w:t>
            </w:r>
            <w:r>
              <w:rPr>
                <w:rFonts w:hint="default" w:ascii="Times New Roman" w:hAnsi="Times New Roman" w:cs="Times New Roman"/>
                <w:b/>
                <w:bCs/>
                <w:color w:val="auto"/>
                <w:sz w:val="24"/>
                <w:szCs w:val="24"/>
              </w:rPr>
              <w:t>、规划环评符合性分析</w:t>
            </w:r>
          </w:p>
          <w:p w14:paraId="30F1808E">
            <w:pPr>
              <w:pStyle w:val="74"/>
              <w:spacing w:line="500" w:lineRule="exact"/>
              <w:ind w:firstLine="480"/>
              <w:rPr>
                <w:rFonts w:ascii="宋体" w:hAnsi="宋体" w:eastAsia="宋体" w:cs="宋体"/>
                <w:sz w:val="24"/>
                <w:szCs w:val="24"/>
              </w:rPr>
            </w:pPr>
            <w:r>
              <w:rPr>
                <w:rFonts w:ascii="宋体" w:hAnsi="宋体" w:eastAsia="宋体" w:cs="宋体"/>
                <w:sz w:val="24"/>
                <w:szCs w:val="24"/>
              </w:rPr>
              <w:t>（1）与《淮北临涣化工园区总体发展规划（2022-2035年）环境影响报告书》及其审查意见的符合性分析</w:t>
            </w:r>
          </w:p>
          <w:p w14:paraId="1CD13CF4">
            <w:pPr>
              <w:pStyle w:val="74"/>
              <w:spacing w:line="500" w:lineRule="exact"/>
              <w:ind w:firstLine="480"/>
              <w:rPr>
                <w:rFonts w:ascii="宋体" w:hAnsi="宋体" w:eastAsia="宋体" w:cs="宋体"/>
                <w:sz w:val="24"/>
                <w:szCs w:val="24"/>
              </w:rPr>
            </w:pPr>
            <w:r>
              <w:rPr>
                <w:rFonts w:ascii="宋体" w:hAnsi="宋体" w:eastAsia="宋体" w:cs="宋体"/>
                <w:sz w:val="24"/>
                <w:szCs w:val="24"/>
              </w:rPr>
              <w:t xml:space="preserve">由《淮北临涣化工园区总体发展规划（2022-2035年）环境影响报告书》 可知，园区主要发展传统煤化工、新型煤化工合成材料、高端精细化工、专用化学品等，重点发展先进合成材料，加快发展新型精细化学品、碳基材料、 医药农药染料中间体。 </w:t>
            </w:r>
          </w:p>
          <w:p w14:paraId="5001F9F8">
            <w:pPr>
              <w:pStyle w:val="74"/>
              <w:spacing w:line="500" w:lineRule="exact"/>
              <w:ind w:firstLine="480"/>
              <w:rPr>
                <w:rFonts w:hint="eastAsia" w:ascii="宋体" w:hAnsi="宋体" w:eastAsia="宋体" w:cs="宋体"/>
                <w:sz w:val="24"/>
                <w:szCs w:val="24"/>
              </w:rPr>
            </w:pPr>
            <w:r>
              <w:rPr>
                <w:rFonts w:ascii="宋体" w:hAnsi="宋体" w:eastAsia="宋体" w:cs="宋体"/>
                <w:sz w:val="24"/>
                <w:szCs w:val="24"/>
              </w:rPr>
              <w:t>本项目位于淮北临涣化工园区精细化工产业发展区，本项目属于精细化工配套项目，符合规划环评中临涣化工园区功能分区要求。本项目</w:t>
            </w:r>
            <w:r>
              <w:rPr>
                <w:rFonts w:hint="eastAsia" w:ascii="宋体" w:hAnsi="宋体" w:eastAsia="宋体" w:cs="宋体"/>
                <w:sz w:val="24"/>
                <w:szCs w:val="24"/>
                <w:lang w:val="en-US" w:eastAsia="zh-CN"/>
              </w:rPr>
              <w:t>产品过程检测及原料材料检测、新产品研发、调整配方、小试实验检测检验服务，</w:t>
            </w:r>
            <w:r>
              <w:rPr>
                <w:rFonts w:hint="eastAsia" w:ascii="宋体" w:hAnsi="宋体" w:eastAsia="宋体" w:cs="宋体"/>
                <w:sz w:val="24"/>
                <w:szCs w:val="24"/>
                <w:lang w:eastAsia="zh-CN"/>
              </w:rPr>
              <w:t>属于检测服务</w:t>
            </w:r>
            <w:r>
              <w:rPr>
                <w:rFonts w:ascii="宋体" w:hAnsi="宋体" w:eastAsia="宋体" w:cs="宋体"/>
                <w:sz w:val="24"/>
                <w:szCs w:val="24"/>
              </w:rPr>
              <w:t>【</w:t>
            </w:r>
            <w:r>
              <w:rPr>
                <w:rFonts w:hint="eastAsia" w:ascii="宋体" w:hAnsi="宋体" w:eastAsia="宋体" w:cs="宋体"/>
                <w:sz w:val="24"/>
                <w:szCs w:val="24"/>
                <w:lang w:val="en-US" w:eastAsia="zh-CN"/>
              </w:rPr>
              <w:t>M7452</w:t>
            </w:r>
            <w:r>
              <w:rPr>
                <w:rFonts w:ascii="宋体" w:hAnsi="宋体" w:eastAsia="宋体" w:cs="宋体"/>
                <w:sz w:val="24"/>
                <w:szCs w:val="24"/>
              </w:rPr>
              <w:t>】</w:t>
            </w:r>
            <w:r>
              <w:rPr>
                <w:rFonts w:hint="eastAsia" w:ascii="宋体" w:hAnsi="宋体" w:eastAsia="宋体" w:cs="宋体"/>
                <w:sz w:val="24"/>
                <w:szCs w:val="24"/>
                <w:lang w:val="en-US" w:eastAsia="zh-CN"/>
              </w:rPr>
              <w:t>，</w:t>
            </w:r>
            <w:r>
              <w:rPr>
                <w:rFonts w:ascii="宋体" w:hAnsi="宋体" w:eastAsia="宋体" w:cs="宋体"/>
                <w:sz w:val="24"/>
                <w:szCs w:val="24"/>
              </w:rPr>
              <w:t>本项目建设属于</w:t>
            </w:r>
            <w:r>
              <w:rPr>
                <w:rFonts w:hint="eastAsia" w:ascii="宋体" w:hAnsi="宋体" w:eastAsia="宋体" w:cs="宋体"/>
                <w:sz w:val="24"/>
                <w:szCs w:val="24"/>
                <w:lang w:val="en-US" w:eastAsia="zh-CN"/>
              </w:rPr>
              <w:t>企业</w:t>
            </w:r>
            <w:r>
              <w:rPr>
                <w:rFonts w:ascii="宋体" w:hAnsi="宋体" w:eastAsia="宋体" w:cs="宋体"/>
                <w:sz w:val="24"/>
                <w:szCs w:val="24"/>
              </w:rPr>
              <w:t>配套</w:t>
            </w:r>
            <w:r>
              <w:rPr>
                <w:rFonts w:hint="eastAsia" w:ascii="宋体" w:hAnsi="宋体" w:eastAsia="宋体" w:cs="宋体"/>
                <w:sz w:val="24"/>
                <w:szCs w:val="24"/>
                <w:lang w:val="en-US" w:eastAsia="zh-CN"/>
              </w:rPr>
              <w:t>服务</w:t>
            </w:r>
            <w:r>
              <w:rPr>
                <w:rFonts w:ascii="宋体" w:hAnsi="宋体" w:eastAsia="宋体" w:cs="宋体"/>
                <w:sz w:val="24"/>
                <w:szCs w:val="24"/>
              </w:rPr>
              <w:t>建设，符合淮北临涣化工园区发展要求。故本项目符合淮北临涣化工园区产业规划，符合《淮北临涣化工园区总体发展规划（2022-2035年）环境影响报告书》及其审查意见的相关内容。</w:t>
            </w:r>
            <w:r>
              <w:rPr>
                <w:rFonts w:hint="eastAsia" w:ascii="宋体" w:hAnsi="宋体" w:eastAsia="宋体" w:cs="宋体"/>
                <w:sz w:val="24"/>
                <w:szCs w:val="24"/>
              </w:rPr>
              <w:t>项目与规划环评及其审查意见符合性分析如下表所示。</w:t>
            </w:r>
          </w:p>
          <w:p w14:paraId="34854697">
            <w:pPr>
              <w:pStyle w:val="74"/>
              <w:spacing w:line="500" w:lineRule="exact"/>
              <w:ind w:firstLine="480"/>
              <w:rPr>
                <w:rFonts w:hint="eastAsia" w:ascii="Times New Roman" w:hAnsi="Times New Roman" w:eastAsia="宋体" w:cs="Times New Roman"/>
                <w:color w:val="auto"/>
                <w:sz w:val="24"/>
                <w:szCs w:val="24"/>
              </w:rPr>
            </w:pPr>
          </w:p>
          <w:p w14:paraId="1C71F04D">
            <w:pPr>
              <w:pStyle w:val="74"/>
              <w:spacing w:line="500" w:lineRule="exact"/>
              <w:ind w:firstLine="480"/>
              <w:rPr>
                <w:rFonts w:hint="eastAsia" w:ascii="Times New Roman" w:hAnsi="Times New Roman" w:eastAsia="宋体" w:cs="Times New Roman"/>
                <w:color w:val="auto"/>
                <w:sz w:val="24"/>
                <w:szCs w:val="24"/>
              </w:rPr>
            </w:pPr>
          </w:p>
          <w:p w14:paraId="3B916FA0">
            <w:pPr>
              <w:pStyle w:val="74"/>
              <w:spacing w:line="500" w:lineRule="exact"/>
              <w:ind w:firstLine="480"/>
              <w:rPr>
                <w:rFonts w:hint="eastAsia" w:ascii="Times New Roman" w:hAnsi="Times New Roman" w:eastAsia="宋体" w:cs="Times New Roman"/>
                <w:color w:val="auto"/>
                <w:sz w:val="24"/>
                <w:szCs w:val="24"/>
              </w:rPr>
            </w:pPr>
          </w:p>
          <w:p w14:paraId="4DCF8DE5">
            <w:pPr>
              <w:widowControl/>
              <w:adjustRightInd/>
              <w:snapToGrid/>
              <w:spacing w:line="240" w:lineRule="auto"/>
              <w:ind w:firstLine="0" w:firstLineChars="0"/>
              <w:jc w:val="center"/>
              <w:rPr>
                <w:rFonts w:eastAsia="黑体" w:cs="Times New Roman"/>
                <w:color w:val="000000" w:themeColor="text1"/>
                <w:kern w:val="0"/>
                <w:szCs w:val="24"/>
                <w14:textFill>
                  <w14:solidFill>
                    <w14:schemeClr w14:val="tx1"/>
                  </w14:solidFill>
                </w14:textFill>
              </w:rPr>
            </w:pPr>
          </w:p>
          <w:p w14:paraId="6C42BBE3">
            <w:pPr>
              <w:widowControl/>
              <w:adjustRightInd/>
              <w:snapToGrid/>
              <w:spacing w:line="240" w:lineRule="auto"/>
              <w:ind w:firstLine="0" w:firstLineChars="0"/>
              <w:jc w:val="center"/>
              <w:rPr>
                <w:rFonts w:eastAsia="黑体" w:cs="Times New Roman"/>
                <w:color w:val="000000" w:themeColor="text1"/>
                <w:kern w:val="0"/>
                <w:szCs w:val="24"/>
                <w14:textFill>
                  <w14:solidFill>
                    <w14:schemeClr w14:val="tx1"/>
                  </w14:solidFill>
                </w14:textFill>
              </w:rPr>
            </w:pPr>
            <w:r>
              <w:rPr>
                <w:rFonts w:eastAsia="黑体" w:cs="Times New Roman"/>
                <w:color w:val="000000" w:themeColor="text1"/>
                <w:kern w:val="0"/>
                <w:szCs w:val="24"/>
                <w14:textFill>
                  <w14:solidFill>
                    <w14:schemeClr w14:val="tx1"/>
                  </w14:solidFill>
                </w14:textFill>
              </w:rPr>
              <w:t>表1-1  项目与园区规划环评及其审查意见符合性分析</w:t>
            </w:r>
          </w:p>
          <w:tbl>
            <w:tblPr>
              <w:tblStyle w:val="2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9"/>
              <w:gridCol w:w="4789"/>
              <w:gridCol w:w="2460"/>
              <w:gridCol w:w="702"/>
            </w:tblGrid>
            <w:tr w14:paraId="630FA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single" w:color="000000" w:sz="4" w:space="0"/>
                  </w:tcBorders>
                  <w:vAlign w:val="center"/>
                </w:tcPr>
                <w:p w14:paraId="7BA8DC12">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2832" w:type="pct"/>
                  <w:vAlign w:val="center"/>
                </w:tcPr>
                <w:p w14:paraId="21C42BD5">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规划环评审查意见要求</w:t>
                  </w:r>
                </w:p>
              </w:tc>
              <w:tc>
                <w:tcPr>
                  <w:tcW w:w="1455" w:type="pct"/>
                  <w:vAlign w:val="center"/>
                </w:tcPr>
                <w:p w14:paraId="511087F8">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本项目情况</w:t>
                  </w:r>
                </w:p>
              </w:tc>
              <w:tc>
                <w:tcPr>
                  <w:tcW w:w="415" w:type="pct"/>
                  <w:vAlign w:val="center"/>
                </w:tcPr>
                <w:p w14:paraId="72888B26">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符合性</w:t>
                  </w:r>
                </w:p>
              </w:tc>
            </w:tr>
            <w:tr w14:paraId="69A985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540EF22C">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2832" w:type="pct"/>
                  <w:vAlign w:val="center"/>
                </w:tcPr>
                <w:p w14:paraId="0CA859D0">
                  <w:pPr>
                    <w:ind w:firstLine="0" w:firstLineChars="0"/>
                    <w:jc w:val="left"/>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加强《规划》引领，坚持绿色协调发展。园区位于淮河流域，涉及化工行业，应坚持生态保护优先、高效集约发展，以生态环境质量改善、防范环境风险为核心，明确园区存在的制约因素；加强《规划》与国土空间规划、污染防治攻坚战规划及升级版规划等相关环境保护政策要求、省市</w:t>
                  </w:r>
                  <w:r>
                    <w:rPr>
                      <w:rFonts w:cs="Times New Roman"/>
                      <w:color w:val="000000" w:themeColor="text1"/>
                      <w:sz w:val="18"/>
                      <w:szCs w:val="18"/>
                      <w14:textFill>
                        <w14:solidFill>
                          <w14:schemeClr w14:val="tx1"/>
                        </w14:solidFill>
                      </w14:textFill>
                    </w:rPr>
                    <w:t>“</w:t>
                  </w:r>
                  <w:r>
                    <w:rPr>
                      <w:rFonts w:hint="eastAsia" w:cs="Times New Roman"/>
                      <w:color w:val="000000" w:themeColor="text1"/>
                      <w:sz w:val="18"/>
                      <w:szCs w:val="18"/>
                      <w14:textFill>
                        <w14:solidFill>
                          <w14:schemeClr w14:val="tx1"/>
                        </w14:solidFill>
                      </w14:textFill>
                    </w:rPr>
                    <w:t>三线一单</w:t>
                  </w:r>
                  <w:r>
                    <w:rPr>
                      <w:rFonts w:cs="Times New Roman"/>
                      <w:color w:val="000000" w:themeColor="text1"/>
                      <w:sz w:val="18"/>
                      <w:szCs w:val="18"/>
                      <w14:textFill>
                        <w14:solidFill>
                          <w14:schemeClr w14:val="tx1"/>
                        </w14:solidFill>
                      </w14:textFill>
                    </w:rPr>
                    <w:t>”</w:t>
                  </w:r>
                  <w:r>
                    <w:rPr>
                      <w:rFonts w:hint="eastAsia" w:cs="Times New Roman"/>
                      <w:color w:val="000000" w:themeColor="text1"/>
                      <w:sz w:val="18"/>
                      <w:szCs w:val="18"/>
                      <w14:textFill>
                        <w14:solidFill>
                          <w14:schemeClr w14:val="tx1"/>
                        </w14:solidFill>
                      </w14:textFill>
                    </w:rPr>
                    <w:t>成果的协调衔接；按照最新的生态环境管理要求，统筹推进园区整体发展和生态建设，合理控制开发利用强度。现有不符合开发区发展定位、国土空间规划和生态环境保护要求的企业应逐步升级改造或搬迁、淘汰，确保产业发展与区域生态环境保护、人居环境质量保障相协调</w:t>
                  </w:r>
                  <w:r>
                    <w:rPr>
                      <w:rFonts w:cs="Times New Roman"/>
                      <w:color w:val="000000" w:themeColor="text1"/>
                      <w:sz w:val="18"/>
                      <w:szCs w:val="18"/>
                      <w14:textFill>
                        <w14:solidFill>
                          <w14:schemeClr w14:val="tx1"/>
                        </w14:solidFill>
                      </w14:textFill>
                    </w:rPr>
                    <w:t>。</w:t>
                  </w:r>
                </w:p>
              </w:tc>
              <w:tc>
                <w:tcPr>
                  <w:tcW w:w="1455" w:type="pct"/>
                  <w:vAlign w:val="center"/>
                </w:tcPr>
                <w:p w14:paraId="242DE92D">
                  <w:pPr>
                    <w:ind w:firstLine="0" w:firstLineChars="0"/>
                    <w:jc w:val="left"/>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本</w:t>
                  </w:r>
                  <w:r>
                    <w:rPr>
                      <w:rFonts w:cs="Times New Roman"/>
                      <w:color w:val="000000" w:themeColor="text1"/>
                      <w:sz w:val="18"/>
                      <w:szCs w:val="18"/>
                      <w14:textFill>
                        <w14:solidFill>
                          <w14:schemeClr w14:val="tx1"/>
                        </w14:solidFill>
                      </w14:textFill>
                    </w:rPr>
                    <w:t>项目符合“</w:t>
                  </w:r>
                  <w:r>
                    <w:rPr>
                      <w:rFonts w:hint="eastAsia" w:cs="Times New Roman"/>
                      <w:color w:val="000000" w:themeColor="text1"/>
                      <w:sz w:val="18"/>
                      <w:szCs w:val="18"/>
                      <w14:textFill>
                        <w14:solidFill>
                          <w14:schemeClr w14:val="tx1"/>
                        </w14:solidFill>
                      </w14:textFill>
                    </w:rPr>
                    <w:t>三线一单</w:t>
                  </w:r>
                  <w:r>
                    <w:rPr>
                      <w:rFonts w:cs="Times New Roman"/>
                      <w:color w:val="000000" w:themeColor="text1"/>
                      <w:sz w:val="18"/>
                      <w:szCs w:val="18"/>
                      <w14:textFill>
                        <w14:solidFill>
                          <w14:schemeClr w14:val="tx1"/>
                        </w14:solidFill>
                      </w14:textFill>
                    </w:rPr>
                    <w:t>”</w:t>
                  </w:r>
                  <w:r>
                    <w:rPr>
                      <w:rFonts w:hint="eastAsia" w:cs="Times New Roman"/>
                      <w:color w:val="000000" w:themeColor="text1"/>
                      <w:sz w:val="18"/>
                      <w:szCs w:val="18"/>
                      <w14:textFill>
                        <w14:solidFill>
                          <w14:schemeClr w14:val="tx1"/>
                        </w14:solidFill>
                      </w14:textFill>
                    </w:rPr>
                    <w:t>要求</w:t>
                  </w:r>
                  <w:r>
                    <w:rPr>
                      <w:rFonts w:cs="Times New Roman"/>
                      <w:color w:val="000000" w:themeColor="text1"/>
                      <w:sz w:val="18"/>
                      <w:szCs w:val="18"/>
                      <w14:textFill>
                        <w14:solidFill>
                          <w14:schemeClr w14:val="tx1"/>
                        </w14:solidFill>
                      </w14:textFill>
                    </w:rPr>
                    <w:t>，符合</w:t>
                  </w:r>
                  <w:r>
                    <w:rPr>
                      <w:rFonts w:hint="eastAsia" w:cs="Times New Roman"/>
                      <w:color w:val="000000" w:themeColor="text1"/>
                      <w:sz w:val="18"/>
                      <w:szCs w:val="18"/>
                      <w14:textFill>
                        <w14:solidFill>
                          <w14:schemeClr w14:val="tx1"/>
                        </w14:solidFill>
                      </w14:textFill>
                    </w:rPr>
                    <w:t>开发区发展定位、国土空间规划和生态环境保护要求。</w:t>
                  </w:r>
                </w:p>
              </w:tc>
              <w:tc>
                <w:tcPr>
                  <w:tcW w:w="415" w:type="pct"/>
                  <w:vAlign w:val="center"/>
                </w:tcPr>
                <w:p w14:paraId="73FA68BA">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w:t>
                  </w:r>
                </w:p>
              </w:tc>
            </w:tr>
            <w:tr w14:paraId="69A722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688BA0E7">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2832" w:type="pct"/>
                  <w:vAlign w:val="center"/>
                </w:tcPr>
                <w:p w14:paraId="46DF4E3F">
                  <w:pPr>
                    <w:ind w:firstLine="0" w:firstLineChars="0"/>
                    <w:jc w:val="left"/>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严守环境质量底线，落实区域环境质量管控措施。鉴于园区所在区域为大气不达标区，应加快制定区域大气达标计划，严格执行我省《关于进一步加强建设项目新增大气主要污染物总量指标管理工作的通知》（皖环发〔</w:t>
                  </w:r>
                  <w:r>
                    <w:rPr>
                      <w:rFonts w:cs="Times New Roman"/>
                      <w:color w:val="000000" w:themeColor="text1"/>
                      <w:sz w:val="18"/>
                      <w:szCs w:val="18"/>
                      <w14:textFill>
                        <w14:solidFill>
                          <w14:schemeClr w14:val="tx1"/>
                        </w14:solidFill>
                      </w14:textFill>
                    </w:rPr>
                    <w:t>20</w:t>
                  </w:r>
                  <w:r>
                    <w:rPr>
                      <w:rFonts w:hint="eastAsia" w:cs="Times New Roman"/>
                      <w:color w:val="000000" w:themeColor="text1"/>
                      <w:sz w:val="18"/>
                      <w:szCs w:val="18"/>
                      <w14:textFill>
                        <w14:solidFill>
                          <w14:schemeClr w14:val="tx1"/>
                        </w14:solidFill>
                      </w14:textFill>
                    </w:rPr>
                    <w:t>17〕</w:t>
                  </w:r>
                  <w:r>
                    <w:rPr>
                      <w:rFonts w:cs="Times New Roman"/>
                      <w:color w:val="000000" w:themeColor="text1"/>
                      <w:sz w:val="18"/>
                      <w:szCs w:val="18"/>
                      <w14:textFill>
                        <w14:solidFill>
                          <w14:schemeClr w14:val="tx1"/>
                        </w14:solidFill>
                      </w14:textFill>
                    </w:rPr>
                    <w:t>19</w:t>
                  </w:r>
                  <w:r>
                    <w:rPr>
                      <w:rFonts w:hint="eastAsia" w:cs="Times New Roman"/>
                      <w:color w:val="000000" w:themeColor="text1"/>
                      <w:sz w:val="18"/>
                      <w:szCs w:val="18"/>
                      <w14:textFill>
                        <w14:solidFill>
                          <w14:schemeClr w14:val="tx1"/>
                        </w14:solidFill>
                      </w14:textFill>
                    </w:rPr>
                    <w:t>号），在区域大气环境质量稳定达标前，严格限制主要大气污染物排放量大的项目入园。同时，应根据国家和我省水、土壤、声环境、固体废物污染防治相关要求，制定污染防控方案和污染物总量管控要求，切实保障区域内入驻项目达标排放，区域环境质量持续改善，区域环境问题得到妥善解决</w:t>
                  </w:r>
                  <w:r>
                    <w:rPr>
                      <w:rFonts w:cs="Times New Roman"/>
                      <w:color w:val="000000" w:themeColor="text1"/>
                      <w:sz w:val="18"/>
                      <w:szCs w:val="18"/>
                      <w14:textFill>
                        <w14:solidFill>
                          <w14:schemeClr w14:val="tx1"/>
                        </w14:solidFill>
                      </w14:textFill>
                    </w:rPr>
                    <w:t>。</w:t>
                  </w:r>
                </w:p>
              </w:tc>
              <w:tc>
                <w:tcPr>
                  <w:tcW w:w="1455" w:type="pct"/>
                  <w:vAlign w:val="center"/>
                </w:tcPr>
                <w:p w14:paraId="0AB38D91">
                  <w:pPr>
                    <w:ind w:firstLine="0" w:firstLineChars="0"/>
                    <w:jc w:val="left"/>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本项目</w:t>
                  </w:r>
                  <w:r>
                    <w:rPr>
                      <w:rFonts w:cs="Times New Roman"/>
                      <w:color w:val="000000" w:themeColor="text1"/>
                      <w:sz w:val="18"/>
                      <w:szCs w:val="18"/>
                      <w14:textFill>
                        <w14:solidFill>
                          <w14:schemeClr w14:val="tx1"/>
                        </w14:solidFill>
                      </w14:textFill>
                    </w:rPr>
                    <w:t>排放大气主要污染物总量</w:t>
                  </w:r>
                  <w:r>
                    <w:rPr>
                      <w:rFonts w:hint="eastAsia" w:cs="Times New Roman"/>
                      <w:color w:val="000000" w:themeColor="text1"/>
                      <w:sz w:val="18"/>
                      <w:szCs w:val="18"/>
                      <w14:textFill>
                        <w14:solidFill>
                          <w14:schemeClr w14:val="tx1"/>
                        </w14:solidFill>
                      </w14:textFill>
                    </w:rPr>
                    <w:t>需</w:t>
                  </w:r>
                  <w:r>
                    <w:rPr>
                      <w:rFonts w:cs="Times New Roman"/>
                      <w:color w:val="000000" w:themeColor="text1"/>
                      <w:sz w:val="18"/>
                      <w:szCs w:val="18"/>
                      <w14:textFill>
                        <w14:solidFill>
                          <w14:schemeClr w14:val="tx1"/>
                        </w14:solidFill>
                      </w14:textFill>
                    </w:rPr>
                    <w:t>满足总量指标要求</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项目水、土壤、声环境、固体废物污染</w:t>
                  </w:r>
                  <w:r>
                    <w:rPr>
                      <w:rFonts w:hint="eastAsia" w:cs="Times New Roman"/>
                      <w:color w:val="000000" w:themeColor="text1"/>
                      <w:sz w:val="18"/>
                      <w:szCs w:val="18"/>
                      <w14:textFill>
                        <w14:solidFill>
                          <w14:schemeClr w14:val="tx1"/>
                        </w14:solidFill>
                      </w14:textFill>
                    </w:rPr>
                    <w:t>均采取合理</w:t>
                  </w:r>
                  <w:r>
                    <w:rPr>
                      <w:rFonts w:cs="Times New Roman"/>
                      <w:color w:val="000000" w:themeColor="text1"/>
                      <w:sz w:val="18"/>
                      <w:szCs w:val="18"/>
                      <w14:textFill>
                        <w14:solidFill>
                          <w14:schemeClr w14:val="tx1"/>
                        </w14:solidFill>
                      </w14:textFill>
                    </w:rPr>
                    <w:t>的污染防治措施</w:t>
                  </w:r>
                  <w:r>
                    <w:rPr>
                      <w:rFonts w:hint="eastAsia" w:cs="Times New Roman"/>
                      <w:color w:val="000000" w:themeColor="text1"/>
                      <w:sz w:val="18"/>
                      <w:szCs w:val="18"/>
                      <w14:textFill>
                        <w14:solidFill>
                          <w14:schemeClr w14:val="tx1"/>
                        </w14:solidFill>
                      </w14:textFill>
                    </w:rPr>
                    <w:t>，废气、</w:t>
                  </w:r>
                  <w:r>
                    <w:rPr>
                      <w:rFonts w:cs="Times New Roman"/>
                      <w:color w:val="000000" w:themeColor="text1"/>
                      <w:sz w:val="18"/>
                      <w:szCs w:val="18"/>
                      <w14:textFill>
                        <w14:solidFill>
                          <w14:schemeClr w14:val="tx1"/>
                        </w14:solidFill>
                      </w14:textFill>
                    </w:rPr>
                    <w:t>废水、声环境均能达标排放，</w:t>
                  </w:r>
                  <w:r>
                    <w:rPr>
                      <w:rFonts w:hint="eastAsia" w:cs="Times New Roman"/>
                      <w:color w:val="000000" w:themeColor="text1"/>
                      <w:sz w:val="18"/>
                      <w:szCs w:val="18"/>
                      <w14:textFill>
                        <w14:solidFill>
                          <w14:schemeClr w14:val="tx1"/>
                        </w14:solidFill>
                      </w14:textFill>
                    </w:rPr>
                    <w:t>已</w:t>
                  </w:r>
                  <w:r>
                    <w:rPr>
                      <w:rFonts w:cs="Times New Roman"/>
                      <w:color w:val="000000" w:themeColor="text1"/>
                      <w:sz w:val="18"/>
                      <w:szCs w:val="18"/>
                      <w14:textFill>
                        <w14:solidFill>
                          <w14:schemeClr w14:val="tx1"/>
                        </w14:solidFill>
                      </w14:textFill>
                    </w:rPr>
                    <w:t>制定相关的污染物总量</w:t>
                  </w:r>
                  <w:r>
                    <w:rPr>
                      <w:rFonts w:hint="eastAsia" w:cs="Times New Roman"/>
                      <w:color w:val="000000" w:themeColor="text1"/>
                      <w:sz w:val="18"/>
                      <w:szCs w:val="18"/>
                      <w14:textFill>
                        <w14:solidFill>
                          <w14:schemeClr w14:val="tx1"/>
                        </w14:solidFill>
                      </w14:textFill>
                    </w:rPr>
                    <w:t>指标。</w:t>
                  </w:r>
                </w:p>
              </w:tc>
              <w:tc>
                <w:tcPr>
                  <w:tcW w:w="415" w:type="pct"/>
                  <w:vAlign w:val="center"/>
                </w:tcPr>
                <w:p w14:paraId="3D3F9380">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w:t>
                  </w:r>
                </w:p>
              </w:tc>
            </w:tr>
            <w:tr w14:paraId="6D950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5AD886F9">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2832" w:type="pct"/>
                  <w:vAlign w:val="center"/>
                </w:tcPr>
                <w:p w14:paraId="7582D2F7">
                  <w:pPr>
                    <w:ind w:firstLine="0" w:firstLineChars="0"/>
                    <w:jc w:val="left"/>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优化产业布局，加强生态空间保护。结合园区产业定位和区域主导风向，合理规划不同功能区的环境保护空间。加强临近的王引河清水通道等生态空间保护，化工片区周边应设置必要的防护带，做好园区建设生产、生活和商业服务空间之间及周边环境敏感目标的隔离和管控，严禁不符合管控要求的各类开发建设活动，实现产业发展与区域生态环境保护相协调</w:t>
                  </w:r>
                  <w:r>
                    <w:rPr>
                      <w:rFonts w:cs="Times New Roman"/>
                      <w:color w:val="000000" w:themeColor="text1"/>
                      <w:sz w:val="18"/>
                      <w:szCs w:val="18"/>
                      <w14:textFill>
                        <w14:solidFill>
                          <w14:schemeClr w14:val="tx1"/>
                        </w14:solidFill>
                      </w14:textFill>
                    </w:rPr>
                    <w:t>。</w:t>
                  </w:r>
                </w:p>
              </w:tc>
              <w:tc>
                <w:tcPr>
                  <w:tcW w:w="1455" w:type="pct"/>
                  <w:vAlign w:val="center"/>
                </w:tcPr>
                <w:p w14:paraId="4E4ED47F">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本项目仍维持原环评设置的300m环境防护距离，防护距离内无敏感点。</w:t>
                  </w:r>
                </w:p>
              </w:tc>
              <w:tc>
                <w:tcPr>
                  <w:tcW w:w="415" w:type="pct"/>
                  <w:vAlign w:val="center"/>
                </w:tcPr>
                <w:p w14:paraId="43BBEFC6">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w:t>
                  </w:r>
                </w:p>
              </w:tc>
            </w:tr>
            <w:tr w14:paraId="0FE4E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363CBC60">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2832" w:type="pct"/>
                  <w:vAlign w:val="center"/>
                </w:tcPr>
                <w:p w14:paraId="7C0A258A">
                  <w:pPr>
                    <w:ind w:firstLine="0" w:firstLineChars="0"/>
                    <w:jc w:val="left"/>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完善环保基础设施建设，强化环境污染防控。加快园区污水处理厂及配套管网和中水回用工程建设，有效提升中水回用水平。结合区域供水、排水和供气（供热）等规划，合理确定开发规模、强度和时序，按计划关闭公共供水管网覆盖范围内地下水自备井，严格落实地下水开采相关管控要求。结合区域环境质量现状，细化污染防治基础设施建设和区域大气环境防护要求</w:t>
                  </w:r>
                  <w:r>
                    <w:rPr>
                      <w:rFonts w:cs="Times New Roman"/>
                      <w:color w:val="000000" w:themeColor="text1"/>
                      <w:sz w:val="18"/>
                      <w:szCs w:val="18"/>
                      <w14:textFill>
                        <w14:solidFill>
                          <w14:schemeClr w14:val="tx1"/>
                        </w14:solidFill>
                      </w14:textFill>
                    </w:rPr>
                    <w:t>。</w:t>
                  </w:r>
                </w:p>
                <w:p w14:paraId="5CB1BFE5">
                  <w:pPr>
                    <w:ind w:firstLine="0" w:firstLineChars="0"/>
                    <w:jc w:val="left"/>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加快集中供热方案、燃气规划实施进度，全面落实《安徽省大气污染防治行动计划实施方案》各项要求。禁止新建小型燃煤锅炉，限期淘汰现有小型燃煤锅炉。环境保护规划中环境空气质量标准采用《环境空气质量标准》（GB3095-2012）。做好园区建设中的水土保持工作。</w:t>
                  </w:r>
                </w:p>
              </w:tc>
              <w:tc>
                <w:tcPr>
                  <w:tcW w:w="1455" w:type="pct"/>
                  <w:vAlign w:val="center"/>
                </w:tcPr>
                <w:p w14:paraId="63ED4B2F">
                  <w:pPr>
                    <w:ind w:firstLine="0" w:firstLineChars="0"/>
                    <w:jc w:val="left"/>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本项目用水不采用地下水，为市政管网供水；不属于国家明令禁止的高耗水、高耗能和污水排放量大的建设项目；项目排水可达到园区污水厂接管标准，园区污水处理厂经深度处理达标后回用于其他用水企业，不外排。项目按照分区防渗原则进行地下水防治，对装置区和污水处理设施等进行重点防渗。本项目</w:t>
                  </w:r>
                  <w:r>
                    <w:rPr>
                      <w:rFonts w:hint="eastAsia" w:cs="Times New Roman"/>
                      <w:color w:val="000000" w:themeColor="text1"/>
                      <w:sz w:val="18"/>
                      <w:szCs w:val="18"/>
                      <w14:textFill>
                        <w14:solidFill>
                          <w14:schemeClr w14:val="tx1"/>
                        </w14:solidFill>
                      </w14:textFill>
                    </w:rPr>
                    <w:t>不新建</w:t>
                  </w:r>
                  <w:r>
                    <w:rPr>
                      <w:rFonts w:cs="Times New Roman"/>
                      <w:color w:val="000000" w:themeColor="text1"/>
                      <w:sz w:val="18"/>
                      <w:szCs w:val="18"/>
                      <w14:textFill>
                        <w14:solidFill>
                          <w14:schemeClr w14:val="tx1"/>
                        </w14:solidFill>
                      </w14:textFill>
                    </w:rPr>
                    <w:t>燃煤锅炉，用热为园区供应的蒸汽。</w:t>
                  </w:r>
                </w:p>
              </w:tc>
              <w:tc>
                <w:tcPr>
                  <w:tcW w:w="415" w:type="pct"/>
                  <w:vAlign w:val="center"/>
                </w:tcPr>
                <w:p w14:paraId="7F4097D5">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w:t>
                  </w:r>
                </w:p>
              </w:tc>
            </w:tr>
            <w:tr w14:paraId="0F42B5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315FC974">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2832" w:type="pct"/>
                  <w:vAlign w:val="center"/>
                </w:tcPr>
                <w:p w14:paraId="0CBAA74F">
                  <w:pPr>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细化生态环境准入清单，推动高质量发展。根据国家和区域发展战略，结合区域生态环境质量现状、省市“三线一单”成果，严格落实《报告书》生态环境准入要求，限制与规划主导产业不相关且污染物排放量大的项目入区，引进项目的生产工艺、设备、自动化水平，以及单位产品能耗、污染物排放等均需达到国内同行业先进水平</w:t>
                  </w:r>
                  <w:r>
                    <w:rPr>
                      <w:rFonts w:cs="Times New Roman"/>
                      <w:color w:val="000000" w:themeColor="text1"/>
                      <w:sz w:val="18"/>
                      <w:szCs w:val="18"/>
                      <w14:textFill>
                        <w14:solidFill>
                          <w14:schemeClr w14:val="tx1"/>
                        </w14:solidFill>
                      </w14:textFill>
                    </w:rPr>
                    <w:t>。</w:t>
                  </w:r>
                </w:p>
              </w:tc>
              <w:tc>
                <w:tcPr>
                  <w:tcW w:w="1455" w:type="pct"/>
                  <w:vAlign w:val="center"/>
                </w:tcPr>
                <w:p w14:paraId="6F702529">
                  <w:pPr>
                    <w:ind w:firstLine="0" w:firstLineChars="0"/>
                    <w:jc w:val="left"/>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本</w:t>
                  </w:r>
                  <w:r>
                    <w:rPr>
                      <w:rFonts w:cs="Times New Roman"/>
                      <w:color w:val="000000" w:themeColor="text1"/>
                      <w:sz w:val="18"/>
                      <w:szCs w:val="18"/>
                      <w14:textFill>
                        <w14:solidFill>
                          <w14:schemeClr w14:val="tx1"/>
                        </w14:solidFill>
                      </w14:textFill>
                    </w:rPr>
                    <w:t>项目</w:t>
                  </w:r>
                  <w:r>
                    <w:rPr>
                      <w:rFonts w:hint="eastAsia" w:cs="Times New Roman"/>
                      <w:color w:val="000000" w:themeColor="text1"/>
                      <w:sz w:val="18"/>
                      <w:szCs w:val="18"/>
                      <w14:textFill>
                        <w14:solidFill>
                          <w14:schemeClr w14:val="tx1"/>
                        </w14:solidFill>
                      </w14:textFill>
                    </w:rPr>
                    <w:t>属于</w:t>
                  </w:r>
                  <w:r>
                    <w:rPr>
                      <w:rFonts w:hint="eastAsia" w:cs="Times New Roman"/>
                      <w:color w:val="000000" w:themeColor="text1"/>
                      <w:sz w:val="18"/>
                      <w:szCs w:val="18"/>
                      <w:lang w:val="en-US" w:eastAsia="zh-CN"/>
                      <w14:textFill>
                        <w14:solidFill>
                          <w14:schemeClr w14:val="tx1"/>
                        </w14:solidFill>
                      </w14:textFill>
                    </w:rPr>
                    <w:t>企业配套检测服务</w:t>
                  </w:r>
                  <w:r>
                    <w:rPr>
                      <w:rFonts w:cs="Times New Roman"/>
                      <w:color w:val="000000" w:themeColor="text1"/>
                      <w:sz w:val="18"/>
                      <w:szCs w:val="18"/>
                      <w14:textFill>
                        <w14:solidFill>
                          <w14:schemeClr w14:val="tx1"/>
                        </w14:solidFill>
                      </w14:textFill>
                    </w:rPr>
                    <w:t>，位于</w:t>
                  </w:r>
                  <w:r>
                    <w:rPr>
                      <w:rFonts w:hint="eastAsia" w:cs="Times New Roman"/>
                      <w:color w:val="000000" w:themeColor="text1"/>
                      <w:sz w:val="18"/>
                      <w:szCs w:val="18"/>
                      <w14:textFill>
                        <w14:solidFill>
                          <w14:schemeClr w14:val="tx1"/>
                        </w14:solidFill>
                      </w14:textFill>
                    </w:rPr>
                    <w:t>主导</w:t>
                  </w:r>
                  <w:r>
                    <w:rPr>
                      <w:rFonts w:cs="Times New Roman"/>
                      <w:color w:val="000000" w:themeColor="text1"/>
                      <w:sz w:val="18"/>
                      <w:szCs w:val="18"/>
                      <w14:textFill>
                        <w14:solidFill>
                          <w14:schemeClr w14:val="tx1"/>
                        </w14:solidFill>
                      </w14:textFill>
                    </w:rPr>
                    <w:t>产业为化工的</w:t>
                  </w:r>
                  <w:r>
                    <w:rPr>
                      <w:rFonts w:hint="eastAsia" w:cs="Times New Roman"/>
                      <w:color w:val="000000" w:themeColor="text1"/>
                      <w:sz w:val="18"/>
                      <w:szCs w:val="18"/>
                      <w:lang w:val="en-US" w:eastAsia="zh-CN"/>
                      <w14:textFill>
                        <w14:solidFill>
                          <w14:schemeClr w14:val="tx1"/>
                        </w14:solidFill>
                      </w14:textFill>
                    </w:rPr>
                    <w:t>园区内</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建设完善的环境保护、安全生产和事故防范系统，强化节能、节水等各项环保措施。项目污染防治及清洁生产水平达到国内先进水平。</w:t>
                  </w:r>
                </w:p>
              </w:tc>
              <w:tc>
                <w:tcPr>
                  <w:tcW w:w="415" w:type="pct"/>
                  <w:vAlign w:val="center"/>
                </w:tcPr>
                <w:p w14:paraId="72283B83">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w:t>
                  </w:r>
                </w:p>
              </w:tc>
            </w:tr>
            <w:tr w14:paraId="046EF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088C989F">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2832" w:type="pct"/>
                  <w:vAlign w:val="center"/>
                </w:tcPr>
                <w:p w14:paraId="204FE3AA">
                  <w:pPr>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完善环境监测体系，强化环境风险防控。统筹考虑各片区内污染物排放、水环境保护、环境风险防范、环境管理、化工片区防护带规划管控等，健全区域风险防范体系，强化园区环境监测与预警能力建设、环境风险应急与防范措施、突发环境事件响应与管理等，加强开发区内重大环境风险源的管控，定期开展环境应急演练</w:t>
                  </w:r>
                  <w:r>
                    <w:rPr>
                      <w:rFonts w:cs="Times New Roman"/>
                      <w:color w:val="000000" w:themeColor="text1"/>
                      <w:sz w:val="18"/>
                      <w:szCs w:val="18"/>
                      <w14:textFill>
                        <w14:solidFill>
                          <w14:schemeClr w14:val="tx1"/>
                        </w14:solidFill>
                      </w14:textFill>
                    </w:rPr>
                    <w:t>。</w:t>
                  </w:r>
                </w:p>
              </w:tc>
              <w:tc>
                <w:tcPr>
                  <w:tcW w:w="1455" w:type="pct"/>
                  <w:vAlign w:val="center"/>
                </w:tcPr>
                <w:p w14:paraId="351BCE20">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本</w:t>
                  </w:r>
                  <w:r>
                    <w:rPr>
                      <w:rFonts w:hint="eastAsia" w:cs="Times New Roman"/>
                      <w:color w:val="000000" w:themeColor="text1"/>
                      <w:sz w:val="18"/>
                      <w:szCs w:val="18"/>
                      <w:lang w:val="en-US" w:eastAsia="zh-CN"/>
                      <w14:textFill>
                        <w14:solidFill>
                          <w14:schemeClr w14:val="tx1"/>
                        </w14:solidFill>
                      </w14:textFill>
                    </w:rPr>
                    <w:t>企业</w:t>
                  </w:r>
                  <w:r>
                    <w:rPr>
                      <w:rFonts w:cs="Times New Roman"/>
                      <w:color w:val="000000" w:themeColor="text1"/>
                      <w:sz w:val="18"/>
                      <w:szCs w:val="18"/>
                      <w14:textFill>
                        <w14:solidFill>
                          <w14:schemeClr w14:val="tx1"/>
                        </w14:solidFill>
                      </w14:textFill>
                    </w:rPr>
                    <w:t>运营</w:t>
                  </w:r>
                  <w:r>
                    <w:rPr>
                      <w:rFonts w:hint="eastAsia" w:cs="Times New Roman"/>
                      <w:color w:val="000000" w:themeColor="text1"/>
                      <w:sz w:val="18"/>
                      <w:szCs w:val="18"/>
                      <w14:textFill>
                        <w14:solidFill>
                          <w14:schemeClr w14:val="tx1"/>
                        </w14:solidFill>
                      </w14:textFill>
                    </w:rPr>
                    <w:t>期已</w:t>
                  </w:r>
                  <w:r>
                    <w:rPr>
                      <w:rFonts w:cs="Times New Roman"/>
                      <w:color w:val="000000" w:themeColor="text1"/>
                      <w:sz w:val="18"/>
                      <w:szCs w:val="18"/>
                      <w14:textFill>
                        <w14:solidFill>
                          <w14:schemeClr w14:val="tx1"/>
                        </w14:solidFill>
                      </w14:textFill>
                    </w:rPr>
                    <w:t>按应按环评或《排污单位自行监测技术指南》要求，实施环境监测计划工作，企业内部设置在线监控装置、视频监控系统及自控阀门。企业</w:t>
                  </w:r>
                  <w:r>
                    <w:rPr>
                      <w:rFonts w:hint="eastAsia" w:cs="Times New Roman"/>
                      <w:color w:val="000000" w:themeColor="text1"/>
                      <w:sz w:val="18"/>
                      <w:szCs w:val="18"/>
                      <w14:textFill>
                        <w14:solidFill>
                          <w14:schemeClr w14:val="tx1"/>
                        </w14:solidFill>
                      </w14:textFill>
                    </w:rPr>
                    <w:t>已</w:t>
                  </w:r>
                  <w:r>
                    <w:rPr>
                      <w:rFonts w:cs="Times New Roman"/>
                      <w:color w:val="000000" w:themeColor="text1"/>
                      <w:sz w:val="18"/>
                      <w:szCs w:val="18"/>
                      <w14:textFill>
                        <w14:solidFill>
                          <w14:schemeClr w14:val="tx1"/>
                        </w14:solidFill>
                      </w14:textFill>
                    </w:rPr>
                    <w:t>编制应急预案，</w:t>
                  </w:r>
                  <w:r>
                    <w:rPr>
                      <w:rFonts w:hint="eastAsia" w:cs="Times New Roman"/>
                      <w:color w:val="000000" w:themeColor="text1"/>
                      <w:sz w:val="18"/>
                      <w:szCs w:val="18"/>
                      <w14:textFill>
                        <w14:solidFill>
                          <w14:schemeClr w14:val="tx1"/>
                        </w14:solidFill>
                      </w14:textFill>
                    </w:rPr>
                    <w:t>且</w:t>
                  </w:r>
                  <w:r>
                    <w:rPr>
                      <w:rFonts w:cs="Times New Roman"/>
                      <w:color w:val="000000" w:themeColor="text1"/>
                      <w:sz w:val="18"/>
                      <w:szCs w:val="18"/>
                      <w14:textFill>
                        <w14:solidFill>
                          <w14:schemeClr w14:val="tx1"/>
                        </w14:solidFill>
                      </w14:textFill>
                    </w:rPr>
                    <w:t>已备案。</w:t>
                  </w:r>
                </w:p>
              </w:tc>
              <w:tc>
                <w:tcPr>
                  <w:tcW w:w="415" w:type="pct"/>
                  <w:vAlign w:val="center"/>
                </w:tcPr>
                <w:p w14:paraId="3639F75E">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w:t>
                  </w:r>
                </w:p>
              </w:tc>
            </w:tr>
            <w:tr w14:paraId="03F273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704AC665">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2832" w:type="pct"/>
                  <w:vAlign w:val="center"/>
                </w:tcPr>
                <w:p w14:paraId="18C8427B">
                  <w:pPr>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加强日常环境监管，落实区域环境管理要求。统一并强化园区环境管理队伍建设，严格落实环境影响评价和排污许可制度，督促现有入园企业及时完成竣工环境保护验收。适时开展规划环境影响跟踪评价和区域评估</w:t>
                  </w:r>
                  <w:r>
                    <w:rPr>
                      <w:rFonts w:cs="Times New Roman"/>
                      <w:color w:val="000000" w:themeColor="text1"/>
                      <w:sz w:val="18"/>
                      <w:szCs w:val="18"/>
                      <w14:textFill>
                        <w14:solidFill>
                          <w14:schemeClr w14:val="tx1"/>
                        </w14:solidFill>
                      </w14:textFill>
                    </w:rPr>
                    <w:t>。</w:t>
                  </w:r>
                </w:p>
              </w:tc>
              <w:tc>
                <w:tcPr>
                  <w:tcW w:w="1455" w:type="pct"/>
                  <w:vAlign w:val="center"/>
                </w:tcPr>
                <w:p w14:paraId="0F4A3314">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企业</w:t>
                  </w:r>
                  <w:r>
                    <w:rPr>
                      <w:rFonts w:hint="eastAsia" w:cs="Times New Roman"/>
                      <w:color w:val="000000" w:themeColor="text1"/>
                      <w:sz w:val="18"/>
                      <w:szCs w:val="18"/>
                      <w14:textFill>
                        <w14:solidFill>
                          <w14:schemeClr w14:val="tx1"/>
                        </w14:solidFill>
                      </w14:textFill>
                    </w:rPr>
                    <w:t>已取得</w:t>
                  </w:r>
                  <w:r>
                    <w:rPr>
                      <w:rFonts w:cs="Times New Roman"/>
                      <w:color w:val="000000" w:themeColor="text1"/>
                      <w:sz w:val="18"/>
                      <w:szCs w:val="18"/>
                      <w14:textFill>
                        <w14:solidFill>
                          <w14:schemeClr w14:val="tx1"/>
                        </w14:solidFill>
                      </w14:textFill>
                    </w:rPr>
                    <w:t>排污许可证。本项目需严格执行“三同时”制度和污染物排放总量控制要求。</w:t>
                  </w:r>
                </w:p>
              </w:tc>
              <w:tc>
                <w:tcPr>
                  <w:tcW w:w="415" w:type="pct"/>
                  <w:vAlign w:val="center"/>
                </w:tcPr>
                <w:p w14:paraId="15198B8A">
                  <w:pPr>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符合</w:t>
                  </w:r>
                </w:p>
              </w:tc>
            </w:tr>
          </w:tbl>
          <w:p w14:paraId="66628B6D">
            <w:pPr>
              <w:widowControl/>
              <w:adjustRightInd/>
              <w:snapToGrid/>
              <w:ind w:firstLine="480"/>
              <w:jc w:val="left"/>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由上表可知，</w:t>
            </w:r>
            <w:r>
              <w:rPr>
                <w:rFonts w:cs="Times New Roman"/>
                <w:color w:val="000000" w:themeColor="text1"/>
                <w:kern w:val="0"/>
                <w:szCs w:val="24"/>
                <w14:textFill>
                  <w14:solidFill>
                    <w14:schemeClr w14:val="tx1"/>
                  </w14:solidFill>
                </w14:textFill>
              </w:rPr>
              <w:t>项目符合淮北临涣化工园区总体发展规划（2022-2035年）、规划环评、审批意见中相关要求。</w:t>
            </w:r>
          </w:p>
          <w:p w14:paraId="0FB5659B">
            <w:pPr>
              <w:widowControl/>
              <w:adjustRightInd/>
              <w:snapToGrid/>
              <w:spacing w:line="240" w:lineRule="auto"/>
              <w:ind w:firstLine="0" w:firstLineChars="0"/>
              <w:jc w:val="center"/>
              <w:rPr>
                <w:rFonts w:eastAsia="黑体" w:cs="Times New Roman"/>
                <w:color w:val="000000" w:themeColor="text1"/>
                <w:kern w:val="0"/>
                <w:szCs w:val="24"/>
                <w14:textFill>
                  <w14:solidFill>
                    <w14:schemeClr w14:val="tx1"/>
                  </w14:solidFill>
                </w14:textFill>
              </w:rPr>
            </w:pPr>
            <w:r>
              <w:rPr>
                <w:rFonts w:eastAsia="黑体" w:cs="Times New Roman"/>
                <w:color w:val="000000" w:themeColor="text1"/>
                <w:kern w:val="0"/>
                <w:szCs w:val="24"/>
                <w14:textFill>
                  <w14:solidFill>
                    <w14:schemeClr w14:val="tx1"/>
                  </w14:solidFill>
                </w14:textFill>
              </w:rPr>
              <w:t>表1-2  项目与规划环评负面清单对比分析表</w:t>
            </w:r>
          </w:p>
          <w:tbl>
            <w:tblPr>
              <w:tblStyle w:val="2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859"/>
              <w:gridCol w:w="921"/>
              <w:gridCol w:w="2786"/>
              <w:gridCol w:w="1565"/>
              <w:gridCol w:w="2321"/>
            </w:tblGrid>
            <w:tr w14:paraId="62F2C5C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08" w:type="pct"/>
                  <w:vAlign w:val="center"/>
                </w:tcPr>
                <w:p w14:paraId="699B20D1">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行业门类</w:t>
                  </w:r>
                </w:p>
              </w:tc>
              <w:tc>
                <w:tcPr>
                  <w:tcW w:w="545" w:type="pct"/>
                  <w:vAlign w:val="center"/>
                </w:tcPr>
                <w:p w14:paraId="0E5E7AE6">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优先进入行业类别</w:t>
                  </w:r>
                </w:p>
              </w:tc>
              <w:tc>
                <w:tcPr>
                  <w:tcW w:w="1648" w:type="pct"/>
                  <w:vAlign w:val="center"/>
                </w:tcPr>
                <w:p w14:paraId="364E6AD6">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允许入园行业类别</w:t>
                  </w:r>
                </w:p>
              </w:tc>
              <w:tc>
                <w:tcPr>
                  <w:tcW w:w="926" w:type="pct"/>
                  <w:vAlign w:val="center"/>
                </w:tcPr>
                <w:p w14:paraId="1201D31F">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禁止入园行业类别（环境负面清单）</w:t>
                  </w:r>
                </w:p>
              </w:tc>
              <w:tc>
                <w:tcPr>
                  <w:tcW w:w="1373" w:type="pct"/>
                  <w:vAlign w:val="center"/>
                </w:tcPr>
                <w:p w14:paraId="4966E358">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符合性</w:t>
                  </w:r>
                </w:p>
              </w:tc>
            </w:tr>
            <w:tr w14:paraId="06FD364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08" w:type="pct"/>
                  <w:vAlign w:val="center"/>
                </w:tcPr>
                <w:p w14:paraId="517DCEC6">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区块五</w:t>
                  </w:r>
                </w:p>
              </w:tc>
              <w:tc>
                <w:tcPr>
                  <w:tcW w:w="545" w:type="pct"/>
                  <w:vAlign w:val="center"/>
                </w:tcPr>
                <w:p w14:paraId="110A2EE2">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高端装备</w:t>
                  </w:r>
                </w:p>
                <w:p w14:paraId="1D5E7FE9">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制造</w:t>
                  </w:r>
                </w:p>
              </w:tc>
              <w:tc>
                <w:tcPr>
                  <w:tcW w:w="1648" w:type="pct"/>
                  <w:vAlign w:val="center"/>
                </w:tcPr>
                <w:p w14:paraId="2CBAB573">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铝基新材料产业、先进装备制造业及现代服务业、园区基础设施、与主导产业相关的上下游产业</w:t>
                  </w:r>
                </w:p>
              </w:tc>
              <w:tc>
                <w:tcPr>
                  <w:tcW w:w="926" w:type="pct"/>
                  <w:vMerge w:val="restart"/>
                  <w:vAlign w:val="center"/>
                </w:tcPr>
                <w:p w14:paraId="3BD107B5">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新建化学制浆造纸企业和印染、制革、化工、电镀、酿造等污染严重的小型企业；《产业发展指导目录》（2019年本）中限制类等。禁止“两高（高污染、高能耗）类项目”</w:t>
                  </w:r>
                </w:p>
              </w:tc>
              <w:tc>
                <w:tcPr>
                  <w:tcW w:w="1373" w:type="pct"/>
                  <w:vMerge w:val="restart"/>
                  <w:vAlign w:val="center"/>
                </w:tcPr>
                <w:p w14:paraId="2A120F12">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本项目</w:t>
                  </w:r>
                  <w:r>
                    <w:rPr>
                      <w:rFonts w:hint="eastAsia" w:cs="Times New Roman"/>
                      <w:color w:val="000000" w:themeColor="text1"/>
                      <w:kern w:val="0"/>
                      <w:sz w:val="18"/>
                      <w:szCs w:val="18"/>
                      <w:lang w:val="en-US" w:eastAsia="zh-CN"/>
                      <w14:textFill>
                        <w14:solidFill>
                          <w14:schemeClr w14:val="tx1"/>
                        </w14:solidFill>
                      </w14:textFill>
                    </w:rPr>
                    <w:t>属于</w:t>
                  </w:r>
                  <w:r>
                    <w:rPr>
                      <w:rFonts w:cs="Times New Roman"/>
                      <w:color w:val="000000" w:themeColor="text1"/>
                      <w:kern w:val="0"/>
                      <w:sz w:val="18"/>
                      <w:szCs w:val="18"/>
                      <w14:textFill>
                        <w14:solidFill>
                          <w14:schemeClr w14:val="tx1"/>
                        </w14:solidFill>
                      </w14:textFill>
                    </w:rPr>
                    <w:t>主导产业</w:t>
                  </w:r>
                  <w:r>
                    <w:rPr>
                      <w:rFonts w:hint="eastAsia" w:cs="Times New Roman"/>
                      <w:color w:val="000000" w:themeColor="text1"/>
                      <w:kern w:val="0"/>
                      <w:sz w:val="18"/>
                      <w:szCs w:val="18"/>
                      <w:lang w:val="en-US" w:eastAsia="zh-CN"/>
                      <w14:textFill>
                        <w14:solidFill>
                          <w14:schemeClr w14:val="tx1"/>
                        </w14:solidFill>
                      </w14:textFill>
                    </w:rPr>
                    <w:t>配套项目</w:t>
                  </w:r>
                  <w:r>
                    <w:rPr>
                      <w:rFonts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14:textFill>
                        <w14:solidFill>
                          <w14:schemeClr w14:val="tx1"/>
                        </w14:solidFill>
                      </w14:textFill>
                    </w:rPr>
                    <w:t>本</w:t>
                  </w:r>
                  <w:r>
                    <w:rPr>
                      <w:rFonts w:cs="Times New Roman"/>
                      <w:color w:val="000000" w:themeColor="text1"/>
                      <w:kern w:val="0"/>
                      <w:sz w:val="18"/>
                      <w:szCs w:val="18"/>
                      <w14:textFill>
                        <w14:solidFill>
                          <w14:schemeClr w14:val="tx1"/>
                        </w14:solidFill>
                      </w14:textFill>
                    </w:rPr>
                    <w:t>项目</w:t>
                  </w:r>
                  <w:r>
                    <w:rPr>
                      <w:rFonts w:hint="eastAsia" w:cs="Times New Roman"/>
                      <w:color w:val="000000" w:themeColor="text1"/>
                      <w:kern w:val="0"/>
                      <w:sz w:val="18"/>
                      <w:szCs w:val="18"/>
                      <w14:textFill>
                        <w14:solidFill>
                          <w14:schemeClr w14:val="tx1"/>
                        </w14:solidFill>
                      </w14:textFill>
                    </w:rPr>
                    <w:t>不属于污染严重的企业；</w:t>
                  </w:r>
                  <w:r>
                    <w:rPr>
                      <w:rFonts w:cs="Times New Roman"/>
                      <w:color w:val="000000" w:themeColor="text1"/>
                      <w:kern w:val="0"/>
                      <w:sz w:val="18"/>
                      <w:szCs w:val="18"/>
                      <w14:textFill>
                        <w14:solidFill>
                          <w14:schemeClr w14:val="tx1"/>
                        </w14:solidFill>
                      </w14:textFill>
                    </w:rPr>
                    <w:t>对照</w:t>
                  </w:r>
                  <w:r>
                    <w:rPr>
                      <w:rFonts w:hint="eastAsia" w:cs="Times New Roman"/>
                      <w:color w:val="000000" w:themeColor="text1"/>
                      <w:kern w:val="0"/>
                      <w:sz w:val="18"/>
                      <w:szCs w:val="18"/>
                      <w14:textFill>
                        <w14:solidFill>
                          <w14:schemeClr w14:val="tx1"/>
                        </w14:solidFill>
                      </w14:textFill>
                    </w:rPr>
                    <w:t>《产业结构调整指导目录（20</w:t>
                  </w:r>
                  <w:r>
                    <w:rPr>
                      <w:rFonts w:cs="Times New Roman"/>
                      <w:color w:val="000000" w:themeColor="text1"/>
                      <w:kern w:val="0"/>
                      <w:sz w:val="18"/>
                      <w:szCs w:val="18"/>
                      <w14:textFill>
                        <w14:solidFill>
                          <w14:schemeClr w14:val="tx1"/>
                        </w14:solidFill>
                      </w14:textFill>
                    </w:rPr>
                    <w:t>24</w:t>
                  </w:r>
                  <w:r>
                    <w:rPr>
                      <w:rFonts w:hint="eastAsia" w:cs="Times New Roman"/>
                      <w:color w:val="000000" w:themeColor="text1"/>
                      <w:kern w:val="0"/>
                      <w:sz w:val="18"/>
                      <w:szCs w:val="18"/>
                      <w14:textFill>
                        <w14:solidFill>
                          <w14:schemeClr w14:val="tx1"/>
                        </w14:solidFill>
                      </w14:textFill>
                    </w:rPr>
                    <w:t>本）》</w:t>
                  </w:r>
                  <w:r>
                    <w:rPr>
                      <w:rFonts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14:textFill>
                        <w14:solidFill>
                          <w14:schemeClr w14:val="tx1"/>
                        </w14:solidFill>
                      </w14:textFill>
                    </w:rPr>
                    <w:t>本项目不属于限制类和淘汰类，可视为允许类项目，</w:t>
                  </w:r>
                  <w:r>
                    <w:rPr>
                      <w:rFonts w:cs="Times New Roman"/>
                      <w:color w:val="000000" w:themeColor="text1"/>
                      <w:kern w:val="0"/>
                      <w:sz w:val="18"/>
                      <w:szCs w:val="18"/>
                      <w14:textFill>
                        <w14:solidFill>
                          <w14:schemeClr w14:val="tx1"/>
                        </w14:solidFill>
                      </w14:textFill>
                    </w:rPr>
                    <w:t>生产过程中未使用国家明令禁止的淘汰类和限制类的设备和工艺</w:t>
                  </w:r>
                  <w:r>
                    <w:rPr>
                      <w:rFonts w:hint="eastAsia" w:cs="Times New Roman"/>
                      <w:color w:val="000000" w:themeColor="text1"/>
                      <w:kern w:val="0"/>
                      <w:sz w:val="18"/>
                      <w:szCs w:val="18"/>
                      <w14:textFill>
                        <w14:solidFill>
                          <w14:schemeClr w14:val="tx1"/>
                        </w14:solidFill>
                      </w14:textFill>
                    </w:rPr>
                    <w:t>，符合国家产业政策要求。本</w:t>
                  </w:r>
                  <w:r>
                    <w:rPr>
                      <w:rFonts w:cs="Times New Roman"/>
                      <w:color w:val="000000" w:themeColor="text1"/>
                      <w:kern w:val="0"/>
                      <w:sz w:val="18"/>
                      <w:szCs w:val="18"/>
                      <w14:textFill>
                        <w14:solidFill>
                          <w14:schemeClr w14:val="tx1"/>
                        </w14:solidFill>
                      </w14:textFill>
                    </w:rPr>
                    <w:t>项目不属于《安徽省“两高”项目管理目录（试行）》中规定的“两高”项目</w:t>
                  </w:r>
                </w:p>
              </w:tc>
            </w:tr>
            <w:tr w14:paraId="14DDE14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08" w:type="pct"/>
                  <w:vAlign w:val="center"/>
                </w:tcPr>
                <w:p w14:paraId="706F5355">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区块一、区块六</w:t>
                  </w:r>
                </w:p>
              </w:tc>
              <w:tc>
                <w:tcPr>
                  <w:tcW w:w="545" w:type="pct"/>
                  <w:vAlign w:val="center"/>
                </w:tcPr>
                <w:p w14:paraId="4F687A3C">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化工</w:t>
                  </w:r>
                </w:p>
              </w:tc>
              <w:tc>
                <w:tcPr>
                  <w:tcW w:w="1648" w:type="pct"/>
                  <w:vAlign w:val="center"/>
                </w:tcPr>
                <w:p w14:paraId="69F8F002">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煤化工合成材料产业、能源化工以及延伸产业及现代服务业、园区基础设施、与主导产业相关的上下游产业</w:t>
                  </w:r>
                </w:p>
              </w:tc>
              <w:tc>
                <w:tcPr>
                  <w:tcW w:w="926" w:type="pct"/>
                  <w:vMerge w:val="continue"/>
                  <w:vAlign w:val="center"/>
                </w:tcPr>
                <w:p w14:paraId="2C31F39D">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p>
              </w:tc>
              <w:tc>
                <w:tcPr>
                  <w:tcW w:w="1373" w:type="pct"/>
                  <w:vMerge w:val="continue"/>
                  <w:vAlign w:val="center"/>
                </w:tcPr>
                <w:p w14:paraId="2F3F5A8B">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p>
              </w:tc>
            </w:tr>
            <w:tr w14:paraId="37C0571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08" w:type="pct"/>
                  <w:vAlign w:val="center"/>
                </w:tcPr>
                <w:p w14:paraId="34376587">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区块二、区块三、区块四</w:t>
                  </w:r>
                </w:p>
              </w:tc>
              <w:tc>
                <w:tcPr>
                  <w:tcW w:w="545" w:type="pct"/>
                  <w:vAlign w:val="center"/>
                </w:tcPr>
                <w:p w14:paraId="25051761">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新材料</w:t>
                  </w:r>
                </w:p>
              </w:tc>
              <w:tc>
                <w:tcPr>
                  <w:tcW w:w="1648" w:type="pct"/>
                  <w:vAlign w:val="center"/>
                </w:tcPr>
                <w:p w14:paraId="410618FC">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新材料、节能环保、电子信息新材料及现代服务业、园区基础设施、与主导产业相关的上下游产业</w:t>
                  </w:r>
                </w:p>
              </w:tc>
              <w:tc>
                <w:tcPr>
                  <w:tcW w:w="926" w:type="pct"/>
                  <w:vMerge w:val="continue"/>
                  <w:vAlign w:val="center"/>
                </w:tcPr>
                <w:p w14:paraId="3F759C76">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p>
              </w:tc>
              <w:tc>
                <w:tcPr>
                  <w:tcW w:w="1373" w:type="pct"/>
                  <w:vMerge w:val="continue"/>
                  <w:vAlign w:val="center"/>
                </w:tcPr>
                <w:p w14:paraId="165FAA54">
                  <w:pPr>
                    <w:widowControl/>
                    <w:adjustRightInd/>
                    <w:snapToGrid/>
                    <w:spacing w:line="240" w:lineRule="exact"/>
                    <w:ind w:firstLine="0" w:firstLineChars="0"/>
                    <w:jc w:val="center"/>
                    <w:rPr>
                      <w:rFonts w:cs="Times New Roman"/>
                      <w:color w:val="000000" w:themeColor="text1"/>
                      <w:kern w:val="0"/>
                      <w:sz w:val="18"/>
                      <w:szCs w:val="18"/>
                      <w14:textFill>
                        <w14:solidFill>
                          <w14:schemeClr w14:val="tx1"/>
                        </w14:solidFill>
                      </w14:textFill>
                    </w:rPr>
                  </w:pPr>
                </w:p>
              </w:tc>
            </w:tr>
          </w:tbl>
          <w:p w14:paraId="1C790E0B">
            <w:pPr>
              <w:widowControl/>
              <w:adjustRightInd/>
              <w:snapToGrid/>
              <w:ind w:firstLine="480"/>
              <w:jc w:val="left"/>
              <w:rPr>
                <w:rFonts w:cs="Times New Roman"/>
                <w:color w:val="000000" w:themeColor="text1"/>
                <w:kern w:val="0"/>
                <w:szCs w:val="24"/>
                <w14:textFill>
                  <w14:solidFill>
                    <w14:schemeClr w14:val="tx1"/>
                  </w14:solidFill>
                </w14:textFill>
              </w:rPr>
            </w:pPr>
            <w:r>
              <w:rPr>
                <w:rFonts w:cs="Times New Roman"/>
                <w:color w:val="000000" w:themeColor="text1"/>
                <w:kern w:val="0"/>
                <w:szCs w:val="24"/>
                <w14:textFill>
                  <w14:solidFill>
                    <w14:schemeClr w14:val="tx1"/>
                  </w14:solidFill>
                </w14:textFill>
              </w:rPr>
              <w:t>由上表可知，</w:t>
            </w:r>
            <w:r>
              <w:rPr>
                <w:rFonts w:cs="Times New Roman"/>
                <w:color w:val="000000" w:themeColor="text1"/>
                <w:kern w:val="0"/>
                <w:szCs w:val="24"/>
                <w14:textFill>
                  <w14:solidFill>
                    <w14:schemeClr w14:val="tx1"/>
                  </w14:solidFill>
                </w14:textFill>
              </w:rPr>
              <w:t>项目符合淮北临涣化工园区总体发展规划（2022-2035年）环评负面清单中相关要求。</w:t>
            </w:r>
          </w:p>
          <w:p w14:paraId="14B99BD6">
            <w:pPr>
              <w:widowControl/>
              <w:adjustRightInd/>
              <w:snapToGrid/>
              <w:ind w:firstLine="480"/>
              <w:jc w:val="left"/>
              <w:rPr>
                <w:rFonts w:cs="Times New Roman"/>
                <w:color w:val="000000" w:themeColor="text1"/>
                <w:kern w:val="0"/>
                <w:szCs w:val="24"/>
                <w14:textFill>
                  <w14:solidFill>
                    <w14:schemeClr w14:val="tx1"/>
                  </w14:solidFill>
                </w14:textFill>
              </w:rPr>
            </w:pPr>
          </w:p>
          <w:p w14:paraId="3BF095BD">
            <w:pPr>
              <w:pStyle w:val="40"/>
              <w:spacing w:line="240" w:lineRule="auto"/>
              <w:ind w:firstLine="0" w:firstLineChars="0"/>
              <w:rPr>
                <w:rFonts w:ascii="Times New Roman" w:hAnsi="Times New Roman" w:cs="Times New Roman"/>
                <w:b/>
                <w:bCs/>
                <w:color w:val="auto"/>
              </w:rPr>
            </w:pPr>
          </w:p>
          <w:p w14:paraId="2FE01743">
            <w:pPr>
              <w:pStyle w:val="40"/>
              <w:spacing w:line="240" w:lineRule="auto"/>
              <w:ind w:firstLine="0" w:firstLineChars="0"/>
              <w:rPr>
                <w:rFonts w:ascii="Times New Roman" w:hAnsi="Times New Roman" w:cs="Times New Roman"/>
                <w:b/>
                <w:bCs/>
                <w:color w:val="auto"/>
              </w:rPr>
            </w:pPr>
          </w:p>
          <w:p w14:paraId="1FA1238D">
            <w:pPr>
              <w:pStyle w:val="40"/>
              <w:spacing w:line="240" w:lineRule="auto"/>
              <w:ind w:firstLine="0" w:firstLineChars="0"/>
              <w:rPr>
                <w:rFonts w:ascii="Times New Roman" w:hAnsi="Times New Roman" w:cs="Times New Roman"/>
                <w:b/>
                <w:bCs/>
                <w:color w:val="auto"/>
              </w:rPr>
            </w:pPr>
          </w:p>
          <w:p w14:paraId="7011CBF8">
            <w:pPr>
              <w:pStyle w:val="40"/>
              <w:spacing w:line="240" w:lineRule="auto"/>
              <w:ind w:firstLine="0" w:firstLineChars="0"/>
              <w:rPr>
                <w:rFonts w:ascii="Times New Roman" w:hAnsi="Times New Roman" w:cs="Times New Roman"/>
                <w:b/>
                <w:bCs/>
                <w:color w:val="auto"/>
              </w:rPr>
            </w:pPr>
          </w:p>
          <w:p w14:paraId="403A293E">
            <w:pPr>
              <w:pStyle w:val="40"/>
              <w:spacing w:line="240" w:lineRule="auto"/>
              <w:ind w:firstLine="0" w:firstLineChars="0"/>
              <w:rPr>
                <w:rFonts w:ascii="Times New Roman" w:hAnsi="Times New Roman" w:cs="Times New Roman"/>
                <w:b/>
                <w:bCs/>
                <w:color w:val="auto"/>
              </w:rPr>
            </w:pPr>
          </w:p>
        </w:tc>
      </w:tr>
      <w:tr w14:paraId="6822F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794" w:hRule="atLeast"/>
          <w:jc w:val="center"/>
        </w:trPr>
        <w:tc>
          <w:tcPr>
            <w:tcW w:w="1691" w:type="dxa"/>
            <w:vAlign w:val="center"/>
          </w:tcPr>
          <w:p w14:paraId="43AC83AA">
            <w:pPr>
              <w:spacing w:line="360" w:lineRule="auto"/>
              <w:jc w:val="center"/>
              <w:rPr>
                <w:rFonts w:ascii="Times New Roman" w:hAnsi="Times New Roman" w:cs="Times New Roman"/>
                <w:color w:val="auto"/>
                <w:sz w:val="24"/>
              </w:rPr>
            </w:pPr>
            <w:r>
              <w:rPr>
                <w:rFonts w:ascii="Times New Roman" w:hAnsi="Times New Roman" w:cs="Times New Roman"/>
                <w:color w:val="auto"/>
                <w:sz w:val="24"/>
              </w:rPr>
              <w:t>其他符合性</w:t>
            </w:r>
          </w:p>
          <w:p w14:paraId="0D950358">
            <w:pPr>
              <w:spacing w:line="360" w:lineRule="auto"/>
              <w:jc w:val="center"/>
              <w:rPr>
                <w:rFonts w:ascii="Times New Roman" w:hAnsi="Times New Roman" w:cs="Times New Roman"/>
                <w:color w:val="auto"/>
                <w:sz w:val="24"/>
              </w:rPr>
            </w:pPr>
            <w:r>
              <w:rPr>
                <w:rFonts w:ascii="Times New Roman" w:hAnsi="Times New Roman" w:cs="Times New Roman"/>
                <w:color w:val="auto"/>
                <w:sz w:val="24"/>
              </w:rPr>
              <w:t>分析</w:t>
            </w:r>
          </w:p>
        </w:tc>
        <w:tc>
          <w:tcPr>
            <w:tcW w:w="8514" w:type="dxa"/>
            <w:gridSpan w:val="3"/>
            <w:vAlign w:val="center"/>
          </w:tcPr>
          <w:p w14:paraId="72304C7F">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1、产业政策符合性分析</w:t>
            </w:r>
          </w:p>
          <w:p w14:paraId="2CC2A117">
            <w:pPr>
              <w:pStyle w:val="51"/>
              <w:ind w:firstLine="480"/>
              <w:rPr>
                <w:color w:val="auto"/>
              </w:rPr>
            </w:pPr>
            <w:r>
              <w:rPr>
                <w:color w:val="auto"/>
              </w:rPr>
              <w:t>对照</w:t>
            </w:r>
            <w:r>
              <w:rPr>
                <w:rFonts w:ascii="Times New Roman" w:hAnsi="Times New Roman" w:cs="Times New Roman"/>
                <w:color w:val="auto"/>
              </w:rPr>
              <w:t>《产业结构调整指导目录》（20</w:t>
            </w:r>
            <w:r>
              <w:rPr>
                <w:rFonts w:hint="eastAsia" w:ascii="Times New Roman" w:hAnsi="Times New Roman" w:cs="Times New Roman"/>
                <w:color w:val="auto"/>
                <w:lang w:val="en-US" w:eastAsia="zh-CN"/>
              </w:rPr>
              <w:t>24</w:t>
            </w:r>
            <w:r>
              <w:rPr>
                <w:rFonts w:ascii="Times New Roman" w:hAnsi="Times New Roman" w:cs="Times New Roman"/>
                <w:color w:val="auto"/>
              </w:rPr>
              <w:t>年本）</w:t>
            </w:r>
            <w:r>
              <w:rPr>
                <w:color w:val="auto"/>
              </w:rPr>
              <w:t>，本项目不属</w:t>
            </w:r>
            <w:r>
              <w:rPr>
                <w:rFonts w:hint="eastAsia"/>
                <w:color w:val="auto"/>
              </w:rPr>
              <w:t>于“鼓励类”、“限制类”和“淘汰类”，属于“允许类”项目。因此，本项目的建设符合国家的相关产业政策。</w:t>
            </w:r>
          </w:p>
          <w:p w14:paraId="054867C3">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lang w:val="en-US" w:eastAsia="zh-CN"/>
              </w:rPr>
              <w:t>2</w:t>
            </w:r>
            <w:r>
              <w:rPr>
                <w:rFonts w:ascii="Times New Roman" w:hAnsi="Times New Roman" w:cs="Times New Roman"/>
                <w:b/>
                <w:bCs/>
                <w:color w:val="auto"/>
                <w:sz w:val="24"/>
              </w:rPr>
              <w:t>、与《挥发性有机物污染防治技术政策》符合性分析</w:t>
            </w:r>
          </w:p>
          <w:p w14:paraId="6542F773">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本项目与《挥发性有机物污染防治技术政策》（环境保护部，公告2013年第31号）符合性分析见表1</w:t>
            </w:r>
            <w:r>
              <w:rPr>
                <w:rFonts w:hint="eastAsia" w:ascii="Times New Roman" w:hAnsi="Times New Roman" w:cs="Times New Roman"/>
                <w:color w:val="auto"/>
                <w:sz w:val="24"/>
              </w:rPr>
              <w:t>.</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w:t>
            </w:r>
          </w:p>
          <w:p w14:paraId="655D7564">
            <w:pPr>
              <w:pStyle w:val="42"/>
              <w:spacing w:line="240" w:lineRule="auto"/>
              <w:ind w:firstLine="0"/>
              <w:jc w:val="center"/>
              <w:rPr>
                <w:rFonts w:ascii="Times New Roman" w:hAnsi="Times New Roman" w:cs="Times New Roman"/>
                <w:b/>
                <w:bCs/>
                <w:color w:val="auto"/>
              </w:rPr>
            </w:pPr>
            <w:r>
              <w:rPr>
                <w:rFonts w:ascii="Times New Roman" w:hAnsi="Times New Roman" w:cs="Times New Roman"/>
                <w:b/>
                <w:bCs/>
                <w:color w:val="auto"/>
              </w:rPr>
              <w:t>表1.</w:t>
            </w:r>
            <w:r>
              <w:rPr>
                <w:rFonts w:hint="eastAsia" w:ascii="Times New Roman" w:hAnsi="Times New Roman" w:cs="Times New Roman"/>
                <w:b/>
                <w:bCs/>
                <w:color w:val="auto"/>
                <w:lang w:val="en-US" w:eastAsia="zh-CN"/>
              </w:rPr>
              <w:t>3</w:t>
            </w:r>
            <w:r>
              <w:rPr>
                <w:rFonts w:ascii="Times New Roman" w:hAnsi="Times New Roman" w:cs="Times New Roman"/>
                <w:b/>
                <w:bCs/>
                <w:color w:val="auto"/>
              </w:rPr>
              <w:t xml:space="preserve">  与《挥发性有机物污染防治技术政策》符合性分析</w:t>
            </w:r>
          </w:p>
          <w:tbl>
            <w:tblPr>
              <w:tblStyle w:val="28"/>
              <w:tblW w:w="8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3854"/>
              <w:gridCol w:w="2777"/>
              <w:gridCol w:w="944"/>
            </w:tblGrid>
            <w:tr w14:paraId="4D412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vAlign w:val="center"/>
                </w:tcPr>
                <w:p w14:paraId="7C980D2D">
                  <w:pPr>
                    <w:pStyle w:val="43"/>
                    <w:rPr>
                      <w:color w:val="auto"/>
                    </w:rPr>
                  </w:pPr>
                  <w:r>
                    <w:rPr>
                      <w:rFonts w:hint="eastAsia"/>
                      <w:color w:val="auto"/>
                    </w:rPr>
                    <w:t>序号</w:t>
                  </w:r>
                </w:p>
              </w:tc>
              <w:tc>
                <w:tcPr>
                  <w:tcW w:w="3807" w:type="dxa"/>
                  <w:tcBorders>
                    <w:left w:val="nil"/>
                  </w:tcBorders>
                  <w:vAlign w:val="center"/>
                </w:tcPr>
                <w:p w14:paraId="7D05321A">
                  <w:pPr>
                    <w:pStyle w:val="43"/>
                    <w:rPr>
                      <w:color w:val="auto"/>
                    </w:rPr>
                  </w:pPr>
                  <w:r>
                    <w:rPr>
                      <w:color w:val="auto"/>
                    </w:rPr>
                    <w:t>挥发性有机物污染防治技术政策</w:t>
                  </w:r>
                  <w:r>
                    <w:rPr>
                      <w:rFonts w:hint="eastAsia"/>
                      <w:color w:val="auto"/>
                    </w:rPr>
                    <w:t>内容</w:t>
                  </w:r>
                </w:p>
              </w:tc>
              <w:tc>
                <w:tcPr>
                  <w:tcW w:w="2743" w:type="dxa"/>
                  <w:vAlign w:val="center"/>
                </w:tcPr>
                <w:p w14:paraId="4AFCE0C4">
                  <w:pPr>
                    <w:pStyle w:val="43"/>
                    <w:rPr>
                      <w:color w:val="auto"/>
                    </w:rPr>
                  </w:pPr>
                  <w:r>
                    <w:rPr>
                      <w:color w:val="auto"/>
                    </w:rPr>
                    <w:t>本项目</w:t>
                  </w:r>
                  <w:r>
                    <w:rPr>
                      <w:rFonts w:hint="eastAsia"/>
                      <w:color w:val="auto"/>
                    </w:rPr>
                    <w:t>情况</w:t>
                  </w:r>
                </w:p>
              </w:tc>
              <w:tc>
                <w:tcPr>
                  <w:tcW w:w="933" w:type="dxa"/>
                  <w:vAlign w:val="center"/>
                </w:tcPr>
                <w:p w14:paraId="2D9C1225">
                  <w:pPr>
                    <w:pStyle w:val="43"/>
                    <w:rPr>
                      <w:color w:val="auto"/>
                    </w:rPr>
                  </w:pPr>
                  <w:r>
                    <w:rPr>
                      <w:rFonts w:hint="eastAsia"/>
                      <w:color w:val="auto"/>
                    </w:rPr>
                    <w:t>符合性</w:t>
                  </w:r>
                </w:p>
              </w:tc>
            </w:tr>
            <w:tr w14:paraId="0A1BB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vMerge w:val="restart"/>
                  <w:vAlign w:val="center"/>
                </w:tcPr>
                <w:p w14:paraId="3A36F990">
                  <w:pPr>
                    <w:pStyle w:val="43"/>
                    <w:rPr>
                      <w:color w:val="auto"/>
                    </w:rPr>
                  </w:pPr>
                  <w:r>
                    <w:rPr>
                      <w:rFonts w:hint="eastAsia"/>
                      <w:color w:val="auto"/>
                    </w:rPr>
                    <w:t>三、末端治理与综合利用</w:t>
                  </w:r>
                </w:p>
              </w:tc>
              <w:tc>
                <w:tcPr>
                  <w:tcW w:w="3807" w:type="dxa"/>
                  <w:tcBorders>
                    <w:left w:val="nil"/>
                  </w:tcBorders>
                  <w:vAlign w:val="center"/>
                </w:tcPr>
                <w:p w14:paraId="29A49FD1">
                  <w:pPr>
                    <w:pStyle w:val="43"/>
                    <w:jc w:val="left"/>
                    <w:rPr>
                      <w:color w:val="auto"/>
                    </w:rPr>
                  </w:pPr>
                  <w:r>
                    <w:rPr>
                      <w:rFonts w:hint="eastAsia"/>
                      <w:color w:val="auto"/>
                    </w:rPr>
                    <w:t>对于含低浓度VOCs的废气，有回收价值时可采用吸附技术、吸收技术对有机溶剂回收后达标排放；不宜回收时，可采用吸附浓缩燃烧技术、生物技术、吸收技术、等离子体技术或紫外光高级氧化技术等净化后达标排放</w:t>
                  </w:r>
                  <w:r>
                    <w:rPr>
                      <w:color w:val="auto"/>
                    </w:rPr>
                    <w:t>。</w:t>
                  </w:r>
                </w:p>
              </w:tc>
              <w:tc>
                <w:tcPr>
                  <w:tcW w:w="2743" w:type="dxa"/>
                  <w:vAlign w:val="center"/>
                </w:tcPr>
                <w:p w14:paraId="7C2AF5E6">
                  <w:pPr>
                    <w:pStyle w:val="43"/>
                    <w:jc w:val="left"/>
                    <w:rPr>
                      <w:color w:val="auto"/>
                    </w:rPr>
                  </w:pPr>
                  <w:r>
                    <w:rPr>
                      <w:rFonts w:hint="eastAsia"/>
                      <w:color w:val="auto"/>
                    </w:rPr>
                    <w:t>本项目</w:t>
                  </w:r>
                  <w:r>
                    <w:rPr>
                      <w:rFonts w:hint="eastAsia"/>
                      <w:color w:val="auto"/>
                      <w:lang w:eastAsia="zh-CN"/>
                    </w:rPr>
                    <w:t>试样燃烧</w:t>
                  </w:r>
                  <w:r>
                    <w:rPr>
                      <w:rFonts w:hint="eastAsia"/>
                      <w:color w:val="auto"/>
                    </w:rPr>
                    <w:t>工序产生的低浓度VOCs</w:t>
                  </w:r>
                  <w:r>
                    <w:rPr>
                      <w:rFonts w:hint="eastAsia"/>
                      <w:color w:val="auto"/>
                      <w:lang w:val="en-US" w:eastAsia="zh-CN"/>
                    </w:rPr>
                    <w:t>废气</w:t>
                  </w:r>
                  <w:r>
                    <w:rPr>
                      <w:rFonts w:hint="eastAsia"/>
                      <w:color w:val="auto"/>
                    </w:rPr>
                    <w:t>，采用</w:t>
                  </w:r>
                  <w:r>
                    <w:rPr>
                      <w:rFonts w:hint="eastAsia"/>
                      <w:color w:val="auto"/>
                      <w:lang w:eastAsia="zh-CN"/>
                    </w:rPr>
                    <w:t>“</w:t>
                  </w:r>
                  <w:r>
                    <w:rPr>
                      <w:rFonts w:hint="default" w:ascii="Times New Roman" w:hAnsi="Times New Roman" w:cs="Times New Roman"/>
                      <w:color w:val="auto"/>
                      <w:lang w:eastAsia="zh-CN"/>
                    </w:rPr>
                    <w:t>通风橱</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水喷淋+脱水除雾器+</w:t>
                  </w:r>
                  <w:r>
                    <w:rPr>
                      <w:rFonts w:hint="default" w:ascii="Times New Roman" w:hAnsi="Times New Roman" w:cs="Times New Roman"/>
                      <w:color w:val="auto"/>
                      <w:lang w:val="en-US" w:eastAsia="zh-CN"/>
                    </w:rPr>
                    <w:t>两级活性炭</w:t>
                  </w:r>
                  <w:r>
                    <w:rPr>
                      <w:rFonts w:hint="eastAsia" w:ascii="Times New Roman" w:hAnsi="Times New Roman" w:cs="Times New Roman"/>
                      <w:color w:val="auto"/>
                      <w:lang w:val="en-US" w:eastAsia="zh-CN"/>
                    </w:rPr>
                    <w:t>”</w:t>
                  </w:r>
                  <w:r>
                    <w:rPr>
                      <w:rFonts w:hint="eastAsia"/>
                      <w:color w:val="auto"/>
                    </w:rPr>
                    <w:t>吸附技术净化后达标排放。</w:t>
                  </w:r>
                </w:p>
              </w:tc>
              <w:tc>
                <w:tcPr>
                  <w:tcW w:w="933" w:type="dxa"/>
                  <w:vAlign w:val="center"/>
                </w:tcPr>
                <w:p w14:paraId="368ACF95">
                  <w:pPr>
                    <w:pStyle w:val="43"/>
                    <w:rPr>
                      <w:color w:val="auto"/>
                    </w:rPr>
                  </w:pPr>
                  <w:r>
                    <w:rPr>
                      <w:rFonts w:hint="eastAsia"/>
                      <w:color w:val="auto"/>
                    </w:rPr>
                    <w:t>符合</w:t>
                  </w:r>
                </w:p>
              </w:tc>
            </w:tr>
            <w:tr w14:paraId="724B7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vMerge w:val="continue"/>
                  <w:vAlign w:val="center"/>
                </w:tcPr>
                <w:p w14:paraId="4EB6504E">
                  <w:pPr>
                    <w:pStyle w:val="43"/>
                    <w:rPr>
                      <w:color w:val="auto"/>
                    </w:rPr>
                  </w:pPr>
                </w:p>
              </w:tc>
              <w:tc>
                <w:tcPr>
                  <w:tcW w:w="3807" w:type="dxa"/>
                  <w:tcBorders>
                    <w:left w:val="nil"/>
                  </w:tcBorders>
                  <w:vAlign w:val="center"/>
                </w:tcPr>
                <w:p w14:paraId="18FCE9DA">
                  <w:pPr>
                    <w:pStyle w:val="43"/>
                    <w:jc w:val="left"/>
                    <w:rPr>
                      <w:color w:val="auto"/>
                    </w:rPr>
                  </w:pPr>
                  <w:r>
                    <w:rPr>
                      <w:color w:val="auto"/>
                    </w:rPr>
                    <w:t>对于不能再生的过滤材料、吸附剂及催化剂等净化材料，应按照国家固体废物管理的相关规定处理处置。</w:t>
                  </w:r>
                </w:p>
              </w:tc>
              <w:tc>
                <w:tcPr>
                  <w:tcW w:w="2743" w:type="dxa"/>
                  <w:vAlign w:val="center"/>
                </w:tcPr>
                <w:p w14:paraId="1025E925">
                  <w:pPr>
                    <w:pStyle w:val="43"/>
                    <w:jc w:val="left"/>
                    <w:rPr>
                      <w:color w:val="auto"/>
                    </w:rPr>
                  </w:pPr>
                  <w:r>
                    <w:rPr>
                      <w:rFonts w:hint="eastAsia"/>
                      <w:color w:val="auto"/>
                    </w:rPr>
                    <w:t>企业拟对废过滤材料等净化材料，按照</w:t>
                  </w:r>
                  <w:r>
                    <w:rPr>
                      <w:color w:val="auto"/>
                    </w:rPr>
                    <w:t>《危险废物贮存污染控制标准》（GB18597-20</w:t>
                  </w:r>
                  <w:r>
                    <w:rPr>
                      <w:rFonts w:hint="eastAsia"/>
                      <w:color w:val="auto"/>
                      <w:lang w:val="en-US" w:eastAsia="zh-CN"/>
                    </w:rPr>
                    <w:t>23</w:t>
                  </w:r>
                  <w:r>
                    <w:rPr>
                      <w:color w:val="auto"/>
                    </w:rPr>
                    <w:t>）</w:t>
                  </w:r>
                  <w:r>
                    <w:rPr>
                      <w:rFonts w:hint="eastAsia"/>
                      <w:color w:val="auto"/>
                    </w:rPr>
                    <w:t>中相关规定进行收集、储存及转运，集中收集后定期委托有资质单位处置。</w:t>
                  </w:r>
                </w:p>
              </w:tc>
              <w:tc>
                <w:tcPr>
                  <w:tcW w:w="933" w:type="dxa"/>
                  <w:vAlign w:val="center"/>
                </w:tcPr>
                <w:p w14:paraId="38239DC1">
                  <w:pPr>
                    <w:pStyle w:val="43"/>
                    <w:rPr>
                      <w:color w:val="auto"/>
                    </w:rPr>
                  </w:pPr>
                  <w:r>
                    <w:rPr>
                      <w:rFonts w:hint="eastAsia"/>
                      <w:color w:val="auto"/>
                    </w:rPr>
                    <w:t>符合</w:t>
                  </w:r>
                </w:p>
              </w:tc>
            </w:tr>
            <w:tr w14:paraId="028C0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vMerge w:val="restart"/>
                  <w:vAlign w:val="center"/>
                </w:tcPr>
                <w:p w14:paraId="01D9F42B">
                  <w:pPr>
                    <w:pStyle w:val="43"/>
                    <w:rPr>
                      <w:color w:val="auto"/>
                    </w:rPr>
                  </w:pPr>
                  <w:r>
                    <w:rPr>
                      <w:rFonts w:hint="eastAsia"/>
                      <w:color w:val="auto"/>
                    </w:rPr>
                    <w:t>四、运行与检测</w:t>
                  </w:r>
                </w:p>
              </w:tc>
              <w:tc>
                <w:tcPr>
                  <w:tcW w:w="3807" w:type="dxa"/>
                  <w:tcBorders>
                    <w:left w:val="nil"/>
                  </w:tcBorders>
                  <w:vAlign w:val="center"/>
                </w:tcPr>
                <w:p w14:paraId="4C9F92BE">
                  <w:pPr>
                    <w:pStyle w:val="43"/>
                    <w:jc w:val="both"/>
                    <w:rPr>
                      <w:color w:val="auto"/>
                    </w:rPr>
                  </w:pPr>
                  <w:r>
                    <w:rPr>
                      <w:color w:val="auto"/>
                    </w:rPr>
                    <w:t>鼓励企业自行开展VOCs</w:t>
                  </w:r>
                  <w:r>
                    <w:rPr>
                      <w:rFonts w:hint="eastAsia"/>
                      <w:color w:val="auto"/>
                    </w:rPr>
                    <w:t>检测</w:t>
                  </w:r>
                  <w:r>
                    <w:rPr>
                      <w:color w:val="auto"/>
                    </w:rPr>
                    <w:t>，并及时主动向当地环保行政主管部门报送</w:t>
                  </w:r>
                  <w:r>
                    <w:rPr>
                      <w:rFonts w:hint="eastAsia"/>
                      <w:color w:val="auto"/>
                    </w:rPr>
                    <w:t>检测</w:t>
                  </w:r>
                  <w:r>
                    <w:rPr>
                      <w:color w:val="auto"/>
                    </w:rPr>
                    <w:t>结果。</w:t>
                  </w:r>
                </w:p>
              </w:tc>
              <w:tc>
                <w:tcPr>
                  <w:tcW w:w="2743" w:type="dxa"/>
                  <w:vAlign w:val="center"/>
                </w:tcPr>
                <w:p w14:paraId="16A940F9">
                  <w:pPr>
                    <w:pStyle w:val="43"/>
                    <w:jc w:val="left"/>
                    <w:rPr>
                      <w:color w:val="auto"/>
                    </w:rPr>
                  </w:pPr>
                  <w:r>
                    <w:rPr>
                      <w:rFonts w:hint="eastAsia"/>
                      <w:color w:val="auto"/>
                    </w:rPr>
                    <w:t>企业拟开展VOCs检测，并及时主动向当地环保行政主管部门报送检测果。</w:t>
                  </w:r>
                </w:p>
              </w:tc>
              <w:tc>
                <w:tcPr>
                  <w:tcW w:w="933" w:type="dxa"/>
                  <w:vAlign w:val="center"/>
                </w:tcPr>
                <w:p w14:paraId="0B1D3FDE">
                  <w:pPr>
                    <w:pStyle w:val="43"/>
                    <w:rPr>
                      <w:color w:val="auto"/>
                    </w:rPr>
                  </w:pPr>
                  <w:r>
                    <w:rPr>
                      <w:rFonts w:hint="eastAsia"/>
                      <w:color w:val="auto"/>
                    </w:rPr>
                    <w:t>符合</w:t>
                  </w:r>
                </w:p>
              </w:tc>
            </w:tr>
            <w:tr w14:paraId="47D8D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vMerge w:val="continue"/>
                  <w:vAlign w:val="center"/>
                </w:tcPr>
                <w:p w14:paraId="76B9C2D1">
                  <w:pPr>
                    <w:pStyle w:val="43"/>
                    <w:rPr>
                      <w:color w:val="auto"/>
                    </w:rPr>
                  </w:pPr>
                </w:p>
              </w:tc>
              <w:tc>
                <w:tcPr>
                  <w:tcW w:w="3807" w:type="dxa"/>
                  <w:tcBorders>
                    <w:left w:val="nil"/>
                  </w:tcBorders>
                  <w:vAlign w:val="center"/>
                </w:tcPr>
                <w:p w14:paraId="319DB5B8">
                  <w:pPr>
                    <w:pStyle w:val="43"/>
                    <w:jc w:val="both"/>
                    <w:rPr>
                      <w:color w:val="auto"/>
                    </w:rPr>
                  </w:pPr>
                  <w:r>
                    <w:rPr>
                      <w:color w:val="auto"/>
                    </w:rPr>
                    <w:t>企业应建立健全VOCs治理设施的运行维护规程和台帐等日常管理制度，并根据工艺要求定期对各类设备、电气、自控仪表等进行检修维护，确保设施的稳定运行。</w:t>
                  </w:r>
                </w:p>
              </w:tc>
              <w:tc>
                <w:tcPr>
                  <w:tcW w:w="2743" w:type="dxa"/>
                  <w:vAlign w:val="center"/>
                </w:tcPr>
                <w:p w14:paraId="30849E00">
                  <w:pPr>
                    <w:pStyle w:val="43"/>
                    <w:jc w:val="left"/>
                    <w:rPr>
                      <w:color w:val="auto"/>
                    </w:rPr>
                  </w:pPr>
                  <w:r>
                    <w:rPr>
                      <w:color w:val="auto"/>
                    </w:rPr>
                    <w:t>企业</w:t>
                  </w:r>
                  <w:r>
                    <w:rPr>
                      <w:rFonts w:hint="eastAsia"/>
                      <w:color w:val="auto"/>
                    </w:rPr>
                    <w:t>拟</w:t>
                  </w:r>
                  <w:r>
                    <w:rPr>
                      <w:color w:val="auto"/>
                    </w:rPr>
                    <w:t>建立健全VOCs治理设施的运行维护规程和台帐等日常管理制度，并根据工艺要求定期对各类设备、电气、自控仪表等进行检修维护，确保设施的稳定运行。</w:t>
                  </w:r>
                </w:p>
              </w:tc>
              <w:tc>
                <w:tcPr>
                  <w:tcW w:w="933" w:type="dxa"/>
                  <w:vAlign w:val="center"/>
                </w:tcPr>
                <w:p w14:paraId="5C200A18">
                  <w:pPr>
                    <w:pStyle w:val="43"/>
                    <w:rPr>
                      <w:color w:val="auto"/>
                    </w:rPr>
                  </w:pPr>
                  <w:r>
                    <w:rPr>
                      <w:rFonts w:hint="eastAsia"/>
                      <w:color w:val="auto"/>
                    </w:rPr>
                    <w:t>符合</w:t>
                  </w:r>
                </w:p>
              </w:tc>
            </w:tr>
          </w:tbl>
          <w:p w14:paraId="01120060">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lang w:val="en-US" w:eastAsia="zh-CN"/>
              </w:rPr>
              <w:t>3</w:t>
            </w:r>
            <w:r>
              <w:rPr>
                <w:rFonts w:ascii="Times New Roman" w:hAnsi="Times New Roman" w:cs="Times New Roman"/>
                <w:b/>
                <w:bCs/>
                <w:color w:val="auto"/>
                <w:sz w:val="24"/>
              </w:rPr>
              <w:t>、与《</w:t>
            </w:r>
            <w:r>
              <w:rPr>
                <w:rFonts w:hint="eastAsia" w:ascii="Times New Roman" w:hAnsi="Times New Roman" w:cs="Times New Roman"/>
                <w:b/>
                <w:bCs/>
                <w:color w:val="auto"/>
                <w:sz w:val="24"/>
              </w:rPr>
              <w:t>关于印发&lt;2021-2022年秋冬季大气污染综合治理攻坚方案&gt;的通知</w:t>
            </w:r>
            <w:r>
              <w:rPr>
                <w:rFonts w:ascii="Times New Roman" w:hAnsi="Times New Roman" w:cs="Times New Roman"/>
                <w:b/>
                <w:bCs/>
                <w:color w:val="auto"/>
                <w:sz w:val="24"/>
              </w:rPr>
              <w:t>》</w:t>
            </w:r>
            <w:r>
              <w:rPr>
                <w:rFonts w:hint="eastAsia" w:ascii="Times New Roman" w:hAnsi="Times New Roman" w:cs="Times New Roman"/>
                <w:b/>
                <w:bCs/>
                <w:color w:val="auto"/>
                <w:sz w:val="24"/>
              </w:rPr>
              <w:t>（环大气【2021】104号）</w:t>
            </w:r>
            <w:r>
              <w:rPr>
                <w:rFonts w:ascii="Times New Roman" w:hAnsi="Times New Roman" w:cs="Times New Roman"/>
                <w:b/>
                <w:bCs/>
                <w:color w:val="auto"/>
                <w:sz w:val="24"/>
              </w:rPr>
              <w:t>相符性分析</w:t>
            </w:r>
          </w:p>
          <w:p w14:paraId="7A4AA5A8">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本项目与《</w:t>
            </w:r>
            <w:r>
              <w:rPr>
                <w:rFonts w:hint="eastAsia" w:ascii="Times New Roman" w:hAnsi="Times New Roman" w:cs="Times New Roman"/>
                <w:color w:val="auto"/>
                <w:sz w:val="24"/>
              </w:rPr>
              <w:t>关于印发&lt;2021-2022年秋冬季大气污染综合治理攻坚方案&gt;的通知</w:t>
            </w:r>
            <w:r>
              <w:rPr>
                <w:rFonts w:ascii="Times New Roman" w:hAnsi="Times New Roman" w:cs="Times New Roman"/>
                <w:color w:val="auto"/>
                <w:sz w:val="24"/>
              </w:rPr>
              <w:t>》</w:t>
            </w:r>
            <w:r>
              <w:rPr>
                <w:rFonts w:hint="eastAsia" w:ascii="Times New Roman" w:hAnsi="Times New Roman" w:cs="Times New Roman"/>
                <w:color w:val="auto"/>
                <w:sz w:val="24"/>
              </w:rPr>
              <w:t>（环大气【2021】104号）</w:t>
            </w:r>
            <w:r>
              <w:rPr>
                <w:rFonts w:ascii="Times New Roman" w:hAnsi="Times New Roman" w:cs="Times New Roman"/>
                <w:color w:val="auto"/>
                <w:sz w:val="24"/>
              </w:rPr>
              <w:t>符合性分析见表1.</w:t>
            </w:r>
            <w:r>
              <w:rPr>
                <w:rFonts w:hint="eastAsia" w:ascii="Times New Roman" w:hAnsi="Times New Roman" w:cs="Times New Roman"/>
                <w:color w:val="auto"/>
                <w:sz w:val="24"/>
                <w:lang w:val="en-US" w:eastAsia="zh-CN"/>
              </w:rPr>
              <w:t>4</w:t>
            </w:r>
            <w:r>
              <w:rPr>
                <w:rFonts w:ascii="Times New Roman" w:hAnsi="Times New Roman" w:cs="Times New Roman"/>
                <w:color w:val="auto"/>
                <w:sz w:val="24"/>
              </w:rPr>
              <w:t>。</w:t>
            </w:r>
          </w:p>
          <w:p w14:paraId="298B3094">
            <w:pPr>
              <w:jc w:val="center"/>
              <w:rPr>
                <w:rFonts w:ascii="Times New Roman" w:hAnsi="Times New Roman" w:cs="Times New Roman"/>
                <w:b/>
                <w:bCs/>
                <w:color w:val="auto"/>
                <w:szCs w:val="21"/>
              </w:rPr>
            </w:pPr>
          </w:p>
          <w:p w14:paraId="2BB27FD4">
            <w:pPr>
              <w:jc w:val="center"/>
              <w:rPr>
                <w:rFonts w:ascii="Times New Roman" w:hAnsi="Times New Roman" w:cs="Times New Roman"/>
                <w:b/>
                <w:bCs/>
                <w:color w:val="auto"/>
                <w:szCs w:val="21"/>
              </w:rPr>
            </w:pPr>
          </w:p>
          <w:p w14:paraId="6F3FB07C">
            <w:pPr>
              <w:jc w:val="center"/>
              <w:rPr>
                <w:rFonts w:ascii="Times New Roman" w:hAnsi="Times New Roman" w:cs="Times New Roman"/>
                <w:b/>
                <w:bCs/>
                <w:color w:val="auto"/>
                <w:szCs w:val="21"/>
              </w:rPr>
            </w:pPr>
            <w:r>
              <w:rPr>
                <w:rFonts w:ascii="Times New Roman" w:hAnsi="Times New Roman" w:cs="Times New Roman"/>
                <w:b/>
                <w:bCs/>
                <w:color w:val="auto"/>
                <w:szCs w:val="21"/>
              </w:rPr>
              <w:t>表1.</w:t>
            </w:r>
            <w:r>
              <w:rPr>
                <w:rFonts w:hint="eastAsia" w:ascii="Times New Roman" w:hAnsi="Times New Roman" w:cs="Times New Roman"/>
                <w:b/>
                <w:bCs/>
                <w:color w:val="auto"/>
                <w:szCs w:val="21"/>
                <w:lang w:val="en-US" w:eastAsia="zh-CN"/>
              </w:rPr>
              <w:t>4</w:t>
            </w:r>
            <w:r>
              <w:rPr>
                <w:rFonts w:ascii="Times New Roman" w:hAnsi="Times New Roman" w:cs="Times New Roman"/>
                <w:b/>
                <w:bCs/>
                <w:color w:val="auto"/>
                <w:szCs w:val="21"/>
              </w:rPr>
              <w:t>与《</w:t>
            </w:r>
            <w:r>
              <w:rPr>
                <w:rFonts w:hint="eastAsia" w:ascii="Times New Roman" w:hAnsi="Times New Roman" w:cs="Times New Roman"/>
                <w:b/>
                <w:bCs/>
                <w:color w:val="auto"/>
                <w:szCs w:val="21"/>
              </w:rPr>
              <w:t>关于印发&lt;2021-2022年秋冬季大气污染综合治理攻坚方案&gt;的通知</w:t>
            </w:r>
            <w:r>
              <w:rPr>
                <w:rFonts w:ascii="Times New Roman" w:hAnsi="Times New Roman" w:cs="Times New Roman"/>
                <w:b/>
                <w:bCs/>
                <w:color w:val="auto"/>
                <w:szCs w:val="21"/>
              </w:rPr>
              <w:t>》符合性分析</w:t>
            </w:r>
          </w:p>
          <w:tbl>
            <w:tblPr>
              <w:tblStyle w:val="28"/>
              <w:tblW w:w="8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0"/>
              <w:gridCol w:w="4598"/>
              <w:gridCol w:w="2095"/>
              <w:gridCol w:w="867"/>
            </w:tblGrid>
            <w:tr w14:paraId="792F4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362" w:type="dxa"/>
                  <w:gridSpan w:val="2"/>
                  <w:vAlign w:val="center"/>
                </w:tcPr>
                <w:p w14:paraId="6A910FBB">
                  <w:pPr>
                    <w:jc w:val="center"/>
                    <w:rPr>
                      <w:rFonts w:ascii="Times New Roman" w:hAnsi="Times New Roman" w:cs="Times New Roman"/>
                      <w:color w:val="auto"/>
                    </w:rPr>
                  </w:pPr>
                  <w:r>
                    <w:rPr>
                      <w:rFonts w:ascii="Times New Roman" w:hAnsi="Times New Roman" w:cs="Times New Roman"/>
                      <w:color w:val="auto"/>
                      <w:szCs w:val="21"/>
                    </w:rPr>
                    <w:t>《</w:t>
                  </w:r>
                  <w:r>
                    <w:rPr>
                      <w:rFonts w:hint="eastAsia" w:ascii="Times New Roman" w:hAnsi="Times New Roman" w:cs="Times New Roman"/>
                      <w:color w:val="auto"/>
                      <w:szCs w:val="21"/>
                    </w:rPr>
                    <w:t>关于印发&lt;2021-2022年秋冬季大气污染综合治理攻坚方案&gt;的通知</w:t>
                  </w:r>
                  <w:r>
                    <w:rPr>
                      <w:rFonts w:ascii="Times New Roman" w:hAnsi="Times New Roman" w:cs="Times New Roman"/>
                      <w:color w:val="auto"/>
                      <w:szCs w:val="21"/>
                    </w:rPr>
                    <w:t>》内容</w:t>
                  </w:r>
                </w:p>
              </w:tc>
              <w:tc>
                <w:tcPr>
                  <w:tcW w:w="2070" w:type="dxa"/>
                  <w:vAlign w:val="center"/>
                </w:tcPr>
                <w:p w14:paraId="2E47D679">
                  <w:pPr>
                    <w:jc w:val="center"/>
                    <w:rPr>
                      <w:rFonts w:ascii="Times New Roman" w:hAnsi="Times New Roman" w:cs="Times New Roman"/>
                      <w:color w:val="auto"/>
                    </w:rPr>
                  </w:pPr>
                  <w:r>
                    <w:rPr>
                      <w:rFonts w:ascii="Times New Roman" w:hAnsi="Times New Roman" w:cs="Times New Roman"/>
                      <w:color w:val="auto"/>
                    </w:rPr>
                    <w:t>本项目情况</w:t>
                  </w:r>
                </w:p>
              </w:tc>
              <w:tc>
                <w:tcPr>
                  <w:tcW w:w="856" w:type="dxa"/>
                  <w:vAlign w:val="center"/>
                </w:tcPr>
                <w:p w14:paraId="3ABE0EBA">
                  <w:pPr>
                    <w:jc w:val="center"/>
                    <w:rPr>
                      <w:rFonts w:ascii="Times New Roman" w:hAnsi="Times New Roman" w:cs="Times New Roman"/>
                      <w:color w:val="auto"/>
                    </w:rPr>
                  </w:pPr>
                  <w:r>
                    <w:rPr>
                      <w:rFonts w:ascii="Times New Roman" w:hAnsi="Times New Roman" w:cs="Times New Roman"/>
                      <w:color w:val="auto"/>
                    </w:rPr>
                    <w:t xml:space="preserve">符合性 </w:t>
                  </w:r>
                </w:p>
              </w:tc>
            </w:tr>
            <w:tr w14:paraId="074A9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820" w:type="dxa"/>
                  <w:vMerge w:val="restart"/>
                  <w:vAlign w:val="center"/>
                </w:tcPr>
                <w:p w14:paraId="1559F01B">
                  <w:pPr>
                    <w:autoSpaceDE w:val="0"/>
                    <w:autoSpaceDN w:val="0"/>
                    <w:jc w:val="center"/>
                    <w:rPr>
                      <w:rFonts w:ascii="Times New Roman" w:hAnsi="Times New Roman" w:cs="Times New Roman"/>
                      <w:color w:val="auto"/>
                    </w:rPr>
                  </w:pPr>
                  <w:r>
                    <w:rPr>
                      <w:rFonts w:hint="eastAsia" w:ascii="Times New Roman" w:hAnsi="Times New Roman" w:cs="Times New Roman"/>
                      <w:color w:val="auto"/>
                    </w:rPr>
                    <w:t>二、主要任务</w:t>
                  </w:r>
                  <w:r>
                    <w:rPr>
                      <w:rFonts w:ascii="Times New Roman" w:hAnsi="Times New Roman" w:cs="Times New Roman"/>
                      <w:color w:val="auto"/>
                    </w:rPr>
                    <w:t>。</w:t>
                  </w:r>
                </w:p>
              </w:tc>
              <w:tc>
                <w:tcPr>
                  <w:tcW w:w="4542" w:type="dxa"/>
                  <w:vAlign w:val="center"/>
                </w:tcPr>
                <w:p w14:paraId="36AAAFA6">
                  <w:pPr>
                    <w:autoSpaceDE w:val="0"/>
                    <w:autoSpaceDN w:val="0"/>
                    <w:ind w:firstLine="420" w:firstLineChars="200"/>
                    <w:jc w:val="left"/>
                    <w:rPr>
                      <w:rFonts w:ascii="Times New Roman" w:hAnsi="Times New Roman" w:cs="Times New Roman"/>
                      <w:color w:val="auto"/>
                    </w:rPr>
                  </w:pPr>
                  <w:r>
                    <w:rPr>
                      <w:rFonts w:ascii="Times New Roman" w:hAnsi="Times New Roman" w:cs="Times New Roman"/>
                      <w:color w:val="auto"/>
                    </w:rPr>
                    <w:t>（一）</w:t>
                  </w:r>
                  <w:r>
                    <w:rPr>
                      <w:rFonts w:hint="eastAsia" w:ascii="宋体" w:hAnsi="宋体" w:eastAsia="宋体" w:cs="宋体"/>
                      <w:color w:val="auto"/>
                    </w:rPr>
                    <w:t>坚决遏制“两高”项目盲目发展。各地要深入贯彻落实党中央、国务院关于坚决遏制“两高”项目盲目发展相关决策部署，按照《关于加强高耗能、高排放建设项目生态环境源头防控的指导意见》等文件要求，全面梳理排查拟建、在建和存量“两高”项目，对“两高”项目实行清单管理，进行分类处置、动态监控。严格落实能耗双控、产能置换、污染物区域削减、煤炭减量替代等要求，不符合要求的“两高”项目要坚决整改。认真开展自查自纠，严查违规上马、未批先建项目，严格依法查处违法违规企业。对标国内外产品能效、环保先进水平，推动在建和拟建“两高”项目能效、环保水平提升，推进存量“两高”项目改造升级。严厉打击“两高”企业无证排污、不按证排污等各类违法行为，及时曝光违反排污许可制度的典型案例。</w:t>
                  </w:r>
                </w:p>
              </w:tc>
              <w:tc>
                <w:tcPr>
                  <w:tcW w:w="2070" w:type="dxa"/>
                  <w:vAlign w:val="center"/>
                </w:tcPr>
                <w:p w14:paraId="44135C85">
                  <w:pPr>
                    <w:autoSpaceDE w:val="0"/>
                    <w:autoSpaceDN w:val="0"/>
                    <w:rPr>
                      <w:rFonts w:ascii="Times New Roman" w:hAnsi="Times New Roman" w:cs="Times New Roman"/>
                      <w:color w:val="auto"/>
                    </w:rPr>
                  </w:pPr>
                  <w:r>
                    <w:rPr>
                      <w:rFonts w:hint="default" w:ascii="Times New Roman" w:hAnsi="Times New Roman" w:cs="Times New Roman"/>
                      <w:b w:val="0"/>
                      <w:bCs/>
                      <w:color w:val="auto"/>
                      <w:sz w:val="21"/>
                      <w:szCs w:val="21"/>
                    </w:rPr>
                    <w:t>本项目</w:t>
                  </w:r>
                  <w:r>
                    <w:rPr>
                      <w:rFonts w:hint="eastAsia" w:ascii="Times New Roman" w:hAnsi="Times New Roman" w:cs="Times New Roman"/>
                      <w:b w:val="0"/>
                      <w:bCs/>
                      <w:color w:val="auto"/>
                      <w:sz w:val="21"/>
                      <w:szCs w:val="21"/>
                      <w:lang w:val="en-US" w:eastAsia="zh-CN"/>
                    </w:rPr>
                    <w:t>主要为本公司提供检测检验服务，</w:t>
                  </w:r>
                  <w:r>
                    <w:rPr>
                      <w:rFonts w:hint="eastAsia" w:ascii="Times New Roman" w:hAnsi="Times New Roman" w:cs="Times New Roman"/>
                      <w:b w:val="0"/>
                      <w:bCs/>
                      <w:color w:val="auto"/>
                      <w:sz w:val="21"/>
                      <w:szCs w:val="21"/>
                      <w:lang w:eastAsia="zh-CN"/>
                    </w:rPr>
                    <w:t>属于检测服务</w:t>
                  </w:r>
                  <w:r>
                    <w:rPr>
                      <w:rFonts w:ascii="Times New Roman" w:hAnsi="Times New Roman" w:cs="Times New Roman"/>
                      <w:b w:val="0"/>
                      <w:bCs/>
                      <w:color w:val="auto"/>
                      <w:sz w:val="21"/>
                      <w:szCs w:val="21"/>
                    </w:rPr>
                    <w:t>【</w:t>
                  </w:r>
                  <w:r>
                    <w:rPr>
                      <w:rFonts w:hint="eastAsia" w:ascii="Times New Roman" w:hAnsi="Times New Roman" w:cs="Times New Roman"/>
                      <w:b w:val="0"/>
                      <w:bCs/>
                      <w:color w:val="auto"/>
                      <w:sz w:val="21"/>
                      <w:szCs w:val="21"/>
                      <w:lang w:val="en-US" w:eastAsia="zh-CN"/>
                    </w:rPr>
                    <w:t>M7452</w:t>
                  </w:r>
                  <w:r>
                    <w:rPr>
                      <w:rFonts w:ascii="Times New Roman" w:hAnsi="Times New Roman" w:cs="Times New Roman"/>
                      <w:b w:val="0"/>
                      <w:bCs/>
                      <w:color w:val="auto"/>
                      <w:sz w:val="21"/>
                      <w:szCs w:val="21"/>
                    </w:rPr>
                    <w:t>】</w:t>
                  </w:r>
                  <w:r>
                    <w:rPr>
                      <w:rFonts w:hint="eastAsia" w:ascii="Times New Roman" w:hAnsi="Times New Roman" w:cs="Times New Roman"/>
                      <w:color w:val="auto"/>
                      <w:sz w:val="21"/>
                      <w:szCs w:val="21"/>
                    </w:rPr>
                    <w:t>。对照《关于印发&lt;安徽省“两高”项目管理目录（试行）&gt;的通知》（皖节能【2022】2号，2022年06月21日，安徽省节能减排及应对气候变化工作领导小组），本项目不属于“两高”项目。</w:t>
                  </w:r>
                </w:p>
              </w:tc>
              <w:tc>
                <w:tcPr>
                  <w:tcW w:w="856" w:type="dxa"/>
                  <w:vAlign w:val="center"/>
                </w:tcPr>
                <w:p w14:paraId="7E251571">
                  <w:pPr>
                    <w:jc w:val="center"/>
                    <w:rPr>
                      <w:rFonts w:ascii="Times New Roman" w:hAnsi="Times New Roman" w:cs="Times New Roman"/>
                      <w:color w:val="auto"/>
                    </w:rPr>
                  </w:pPr>
                  <w:r>
                    <w:rPr>
                      <w:rFonts w:ascii="Times New Roman" w:hAnsi="Times New Roman" w:cs="Times New Roman"/>
                      <w:color w:val="auto"/>
                    </w:rPr>
                    <w:t>符合</w:t>
                  </w:r>
                </w:p>
              </w:tc>
            </w:tr>
            <w:tr w14:paraId="3C100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820" w:type="dxa"/>
                  <w:vMerge w:val="continue"/>
                  <w:vAlign w:val="center"/>
                </w:tcPr>
                <w:p w14:paraId="44DD637C">
                  <w:pPr>
                    <w:autoSpaceDE w:val="0"/>
                    <w:autoSpaceDN w:val="0"/>
                    <w:jc w:val="center"/>
                    <w:rPr>
                      <w:rFonts w:ascii="Times New Roman" w:hAnsi="Times New Roman" w:cs="Times New Roman"/>
                      <w:color w:val="auto"/>
                    </w:rPr>
                  </w:pPr>
                </w:p>
              </w:tc>
              <w:tc>
                <w:tcPr>
                  <w:tcW w:w="4542" w:type="dxa"/>
                  <w:vAlign w:val="center"/>
                </w:tcPr>
                <w:p w14:paraId="324D919C">
                  <w:pPr>
                    <w:autoSpaceDE w:val="0"/>
                    <w:autoSpaceDN w:val="0"/>
                    <w:ind w:firstLine="420" w:firstLineChars="200"/>
                    <w:jc w:val="left"/>
                    <w:rPr>
                      <w:rFonts w:ascii="Times New Roman" w:hAnsi="Times New Roman" w:cs="Times New Roman"/>
                      <w:color w:val="auto"/>
                    </w:rPr>
                  </w:pPr>
                  <w:r>
                    <w:rPr>
                      <w:rFonts w:ascii="Times New Roman" w:hAnsi="Times New Roman" w:cs="Times New Roman"/>
                      <w:color w:val="auto"/>
                    </w:rPr>
                    <w:t>（五）扎实推进VOCs治理突出问题排查整治</w:t>
                  </w:r>
                  <w:r>
                    <w:rPr>
                      <w:rFonts w:hint="eastAsia" w:ascii="Times New Roman" w:hAnsi="Times New Roman" w:cs="Times New Roman"/>
                      <w:color w:val="auto"/>
                    </w:rPr>
                    <w:t>。</w:t>
                  </w:r>
                  <w:r>
                    <w:rPr>
                      <w:rFonts w:ascii="Times New Roman" w:hAnsi="Times New Roman" w:cs="Times New Roman"/>
                      <w:color w:val="auto"/>
                    </w:rPr>
                    <w:t>严格落实《关于加快解决当前挥发性有机物治理突出问题的通知》有关要求，高质量完成排查治理工作。2021年10月底前，以石化、化工、工业涂装、包装印刷以及油品储运销为重点，结合本地特色产业，组织企业针对挥发性有机液体储罐、装卸、敞开液面、泄漏检测与修复、废气收集、废气旁路、治理设施、加油站、非正常工况、产品VOCs含量等10个关键环节完成一轮排查工作。在企业自查基础上，各地生态环境部门开展一轮检查抽测，对排污许可重点管理企业全覆盖。2021年12月底前，各地对检查抽测以及夏季臭氧污染防治监督帮扶工作中发现存在的突出问题，指导企业制定整改方案加快按照治理要求进行整治，提高VOCs治理工作的针对性和有效性，做</w:t>
                  </w:r>
                  <w:r>
                    <w:rPr>
                      <w:rFonts w:hint="eastAsia" w:ascii="宋体" w:hAnsi="宋体" w:eastAsia="宋体" w:cs="宋体"/>
                      <w:color w:val="auto"/>
                    </w:rPr>
                    <w:t>到“夏病冬治”。加强国</w:t>
                  </w:r>
                  <w:r>
                    <w:rPr>
                      <w:rFonts w:ascii="Times New Roman" w:hAnsi="Times New Roman" w:cs="Times New Roman"/>
                      <w:color w:val="auto"/>
                    </w:rPr>
                    <w:t>家和地方涂料、油墨、胶粘剂、清洗剂等产品VOCs含量限值标准执行情况的监督检查。培育树立一批VOCs治理的标杆企业，加大宣传力度，形成带动效应。</w:t>
                  </w:r>
                </w:p>
              </w:tc>
              <w:tc>
                <w:tcPr>
                  <w:tcW w:w="2070" w:type="dxa"/>
                  <w:vAlign w:val="center"/>
                </w:tcPr>
                <w:p w14:paraId="716CE171">
                  <w:pPr>
                    <w:autoSpaceDE w:val="0"/>
                    <w:autoSpaceDN w:val="0"/>
                    <w:rPr>
                      <w:color w:val="auto"/>
                    </w:rPr>
                  </w:pPr>
                  <w:r>
                    <w:rPr>
                      <w:rFonts w:hint="eastAsia" w:ascii="宋体" w:hAnsi="宋体" w:cs="宋体"/>
                      <w:color w:val="auto"/>
                      <w:szCs w:val="21"/>
                    </w:rPr>
                    <w:t>本项目运营期产生的</w:t>
                  </w:r>
                  <w:r>
                    <w:rPr>
                      <w:rFonts w:ascii="Times New Roman" w:hAnsi="Times New Roman" w:cs="Times New Roman"/>
                      <w:color w:val="auto"/>
                      <w:szCs w:val="21"/>
                    </w:rPr>
                    <w:t>VOCs</w:t>
                  </w:r>
                  <w:r>
                    <w:rPr>
                      <w:rFonts w:hint="eastAsia" w:ascii="宋体" w:hAnsi="宋体" w:cs="宋体"/>
                      <w:color w:val="auto"/>
                      <w:szCs w:val="21"/>
                    </w:rPr>
                    <w:t>通过</w:t>
                  </w:r>
                  <w:r>
                    <w:rPr>
                      <w:rFonts w:hint="eastAsia" w:ascii="宋体" w:hAnsi="宋体" w:cs="宋体"/>
                      <w:color w:val="auto"/>
                      <w:szCs w:val="21"/>
                      <w:lang w:val="en-US" w:eastAsia="zh-CN"/>
                    </w:rPr>
                    <w:t>水</w:t>
                  </w:r>
                  <w:r>
                    <w:rPr>
                      <w:rFonts w:hint="default" w:ascii="Times New Roman" w:hAnsi="Times New Roman" w:cs="Times New Roman"/>
                      <w:color w:val="auto"/>
                      <w:szCs w:val="21"/>
                      <w:lang w:eastAsia="zh-CN"/>
                    </w:rPr>
                    <w:t>喷淋</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脱水除雾器</w:t>
                  </w:r>
                  <w:r>
                    <w:rPr>
                      <w:rFonts w:hint="eastAsia" w:ascii="宋体" w:hAnsi="宋体" w:cs="宋体"/>
                      <w:color w:val="auto"/>
                      <w:szCs w:val="21"/>
                      <w:lang w:val="en-US" w:eastAsia="zh-CN"/>
                    </w:rPr>
                    <w:t>+</w:t>
                  </w:r>
                  <w:r>
                    <w:rPr>
                      <w:rFonts w:hint="eastAsia" w:ascii="宋体" w:hAnsi="宋体" w:cs="宋体"/>
                      <w:bCs/>
                      <w:color w:val="auto"/>
                      <w:szCs w:val="21"/>
                    </w:rPr>
                    <w:t>二级活性炭</w:t>
                  </w:r>
                  <w:r>
                    <w:rPr>
                      <w:rFonts w:hint="eastAsia" w:ascii="宋体" w:hAnsi="宋体" w:cs="宋体"/>
                      <w:color w:val="auto"/>
                      <w:szCs w:val="21"/>
                    </w:rPr>
                    <w:t>”</w:t>
                  </w:r>
                  <w:r>
                    <w:rPr>
                      <w:rFonts w:hint="eastAsia" w:ascii="宋体" w:hAnsi="宋体" w:cs="宋体"/>
                      <w:bCs/>
                      <w:color w:val="auto"/>
                      <w:szCs w:val="21"/>
                    </w:rPr>
                    <w:t>吸附</w:t>
                  </w:r>
                  <w:r>
                    <w:rPr>
                      <w:rFonts w:hint="eastAsia" w:ascii="宋体" w:hAnsi="宋体" w:cs="宋体"/>
                      <w:color w:val="auto"/>
                      <w:szCs w:val="21"/>
                    </w:rPr>
                    <w:t>处理后有组织排放，对周边大气环境影响较小。</w:t>
                  </w:r>
                </w:p>
              </w:tc>
              <w:tc>
                <w:tcPr>
                  <w:tcW w:w="856" w:type="dxa"/>
                  <w:vAlign w:val="center"/>
                </w:tcPr>
                <w:p w14:paraId="2CEBC994">
                  <w:pPr>
                    <w:jc w:val="center"/>
                    <w:rPr>
                      <w:rFonts w:ascii="Times New Roman" w:hAnsi="Times New Roman" w:cs="Times New Roman"/>
                      <w:color w:val="auto"/>
                    </w:rPr>
                  </w:pPr>
                  <w:r>
                    <w:rPr>
                      <w:rFonts w:hint="eastAsia" w:ascii="Times New Roman" w:hAnsi="Times New Roman" w:cs="Times New Roman"/>
                      <w:color w:val="auto"/>
                    </w:rPr>
                    <w:t>符合</w:t>
                  </w:r>
                </w:p>
              </w:tc>
            </w:tr>
          </w:tbl>
          <w:p w14:paraId="588039AA">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lang w:val="en-US" w:eastAsia="zh-CN"/>
              </w:rPr>
              <w:t>4</w:t>
            </w:r>
            <w:r>
              <w:rPr>
                <w:rFonts w:ascii="Times New Roman" w:hAnsi="Times New Roman" w:cs="Times New Roman"/>
                <w:b/>
                <w:bCs/>
                <w:color w:val="auto"/>
                <w:sz w:val="24"/>
              </w:rPr>
              <w:t>、建设项目环境影响评价与排污许可联动</w:t>
            </w:r>
          </w:p>
          <w:p w14:paraId="27763C90">
            <w:pPr>
              <w:spacing w:line="360" w:lineRule="auto"/>
              <w:ind w:firstLine="480" w:firstLineChars="200"/>
              <w:rPr>
                <w:rFonts w:hint="eastAsia" w:ascii="宋体" w:hAnsi="宋体" w:eastAsia="宋体" w:cs="宋体"/>
                <w:color w:val="auto"/>
                <w:sz w:val="24"/>
              </w:rPr>
            </w:pPr>
            <w:r>
              <w:rPr>
                <w:rFonts w:ascii="Times New Roman" w:hAnsi="Times New Roman" w:cs="Times New Roman"/>
                <w:color w:val="auto"/>
                <w:sz w:val="24"/>
              </w:rPr>
              <w:t>根据《关于&lt;统筹做好固定污染源排污许可日常监管工作&gt;的通知》（皖环发【2021】7号，安徽省生态环境厅，2021年01月30日起施行）：“属于现行《固定污染源排污许可分类管理名录》内重点管理和简化管理的行业，建设单位在组织编制建设项目环境影响报告书（表）时，可结合相应行业排污许可证申请与核发技术规范，在环评文</w:t>
            </w:r>
            <w:r>
              <w:rPr>
                <w:rFonts w:hint="eastAsia" w:ascii="宋体" w:hAnsi="宋体" w:eastAsia="宋体" w:cs="宋体"/>
                <w:color w:val="auto"/>
                <w:sz w:val="24"/>
              </w:rPr>
              <w:t>件中一并明确“建设项目环境影响评价和排污许可联动内容”和《建设项目排污许可申请与填报信息表》。”</w:t>
            </w:r>
          </w:p>
          <w:p w14:paraId="38170F18">
            <w:pPr>
              <w:spacing w:line="360" w:lineRule="auto"/>
              <w:ind w:firstLine="480" w:firstLineChars="200"/>
              <w:rPr>
                <w:rFonts w:hint="eastAsia" w:ascii="Times New Roman" w:hAnsi="Times New Roman" w:cs="Times New Roman"/>
                <w:color w:val="auto"/>
                <w:sz w:val="24"/>
                <w:lang w:eastAsia="zh-CN"/>
              </w:rPr>
            </w:pPr>
            <w:r>
              <w:rPr>
                <w:rFonts w:ascii="Times New Roman" w:hAnsi="Times New Roman" w:cs="Times New Roman"/>
                <w:color w:val="auto"/>
                <w:sz w:val="24"/>
              </w:rPr>
              <w:t>本项目</w:t>
            </w:r>
            <w:r>
              <w:rPr>
                <w:rFonts w:hint="eastAsia" w:ascii="Times New Roman" w:hAnsi="Times New Roman" w:cs="Times New Roman"/>
                <w:color w:val="auto"/>
                <w:sz w:val="24"/>
              </w:rPr>
              <w:t>产品属于</w:t>
            </w:r>
            <w:r>
              <w:rPr>
                <w:rFonts w:hint="eastAsia" w:ascii="Times New Roman" w:hAnsi="Times New Roman" w:cs="Times New Roman"/>
                <w:color w:val="auto"/>
                <w:sz w:val="24"/>
                <w:lang w:eastAsia="zh-CN"/>
              </w:rPr>
              <w:t>检测服务</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M7452</w:t>
            </w:r>
            <w:r>
              <w:rPr>
                <w:rFonts w:ascii="Times New Roman" w:hAnsi="Times New Roman" w:cs="Times New Roman"/>
                <w:color w:val="auto"/>
                <w:sz w:val="24"/>
              </w:rPr>
              <w:t>】</w:t>
            </w:r>
            <w:r>
              <w:rPr>
                <w:rFonts w:hint="eastAsia" w:ascii="Times New Roman" w:hAnsi="Times New Roman" w:cs="Times New Roman"/>
                <w:color w:val="auto"/>
                <w:sz w:val="24"/>
              </w:rPr>
              <w:t>。根据</w:t>
            </w:r>
            <w:r>
              <w:rPr>
                <w:rFonts w:ascii="Times New Roman" w:hAnsi="Times New Roman" w:cs="Times New Roman"/>
                <w:color w:val="auto"/>
                <w:sz w:val="24"/>
              </w:rPr>
              <w:t>《固定污染源排污许可分类管理名录》（2019年版），本</w:t>
            </w:r>
            <w:r>
              <w:rPr>
                <w:rFonts w:hint="eastAsia" w:ascii="Times New Roman" w:hAnsi="Times New Roman" w:cs="Times New Roman"/>
                <w:color w:val="auto"/>
                <w:sz w:val="24"/>
              </w:rPr>
              <w:t>项目属于“</w:t>
            </w:r>
            <w:r>
              <w:rPr>
                <w:rFonts w:hint="eastAsia" w:ascii="Times New Roman" w:hAnsi="Times New Roman" w:cs="Times New Roman"/>
                <w:color w:val="auto"/>
                <w:sz w:val="24"/>
                <w:lang w:eastAsia="zh-CN"/>
              </w:rPr>
              <w:t>五十、其他行业</w:t>
            </w:r>
            <w:r>
              <w:rPr>
                <w:rFonts w:hint="eastAsia" w:ascii="Times New Roman" w:hAnsi="Times New Roman" w:cs="Times New Roman"/>
                <w:color w:val="auto"/>
                <w:sz w:val="24"/>
              </w:rPr>
              <w:t>”中</w:t>
            </w:r>
            <w:r>
              <w:rPr>
                <w:rFonts w:ascii="Times New Roman" w:hAnsi="Times New Roman" w:cs="Times New Roman"/>
                <w:color w:val="auto"/>
                <w:sz w:val="24"/>
              </w:rPr>
              <w:t>第</w:t>
            </w:r>
            <w:r>
              <w:rPr>
                <w:rFonts w:hint="eastAsia" w:ascii="Times New Roman" w:hAnsi="Times New Roman" w:cs="Times New Roman"/>
                <w:color w:val="auto"/>
                <w:sz w:val="24"/>
                <w:lang w:val="en-US" w:eastAsia="zh-CN"/>
              </w:rPr>
              <w:t>108</w:t>
            </w:r>
            <w:r>
              <w:rPr>
                <w:rFonts w:ascii="Times New Roman" w:hAnsi="Times New Roman" w:cs="Times New Roman"/>
                <w:color w:val="auto"/>
                <w:sz w:val="24"/>
              </w:rPr>
              <w:t>项</w:t>
            </w:r>
            <w:r>
              <w:rPr>
                <w:rFonts w:hint="eastAsia" w:ascii="Times New Roman" w:hAnsi="Times New Roman" w:cs="Times New Roman"/>
                <w:color w:val="auto"/>
                <w:sz w:val="24"/>
              </w:rPr>
              <w:t>“</w:t>
            </w:r>
            <w:r>
              <w:rPr>
                <w:rFonts w:hint="eastAsia" w:ascii="Times New Roman" w:hAnsi="Times New Roman" w:cs="Times New Roman"/>
                <w:color w:val="auto"/>
                <w:sz w:val="24"/>
                <w:lang w:eastAsia="zh-CN"/>
              </w:rPr>
              <w:t>涉及通用工序登记管理的</w:t>
            </w:r>
            <w:r>
              <w:rPr>
                <w:rFonts w:hint="eastAsia" w:ascii="Times New Roman" w:hAnsi="Times New Roman" w:cs="Times New Roman"/>
                <w:color w:val="auto"/>
                <w:sz w:val="24"/>
              </w:rPr>
              <w:t>”，</w:t>
            </w:r>
            <w:ins w:id="0" w:author="桐人" w:date="2025-06-26T13:10:15Z">
              <w:r>
                <w:rPr>
                  <w:rFonts w:hint="eastAsia" w:ascii="Times New Roman" w:hAnsi="Times New Roman" w:cs="Times New Roman"/>
                  <w:color w:val="auto"/>
                  <w:sz w:val="24"/>
                </w:rPr>
                <w:t>因现有项目排污许可类别为</w:t>
              </w:r>
            </w:ins>
            <w:r>
              <w:rPr>
                <w:rFonts w:hint="eastAsia" w:ascii="Times New Roman" w:hAnsi="Times New Roman" w:cs="Times New Roman"/>
                <w:color w:val="auto"/>
                <w:sz w:val="24"/>
                <w:lang w:val="en-US" w:eastAsia="zh-CN"/>
              </w:rPr>
              <w:t>重点</w:t>
            </w:r>
            <w:ins w:id="1" w:author="桐人" w:date="2025-06-26T13:10:15Z">
              <w:r>
                <w:rPr>
                  <w:rFonts w:hint="eastAsia" w:ascii="Times New Roman" w:hAnsi="Times New Roman" w:cs="Times New Roman"/>
                  <w:color w:val="auto"/>
                  <w:sz w:val="24"/>
                </w:rPr>
                <w:t>管理，本次改扩建完成后，重新申请的排污许可证类别为</w:t>
              </w:r>
            </w:ins>
            <w:r>
              <w:rPr>
                <w:rFonts w:hint="eastAsia" w:ascii="Times New Roman" w:hAnsi="Times New Roman" w:cs="Times New Roman"/>
                <w:color w:val="auto"/>
                <w:sz w:val="24"/>
                <w:lang w:val="en-US" w:eastAsia="zh-CN"/>
              </w:rPr>
              <w:t>重点</w:t>
            </w:r>
            <w:ins w:id="2" w:author="桐人" w:date="2025-06-26T13:10:15Z">
              <w:r>
                <w:rPr>
                  <w:rFonts w:hint="eastAsia" w:ascii="Times New Roman" w:hAnsi="Times New Roman" w:cs="Times New Roman"/>
                  <w:color w:val="auto"/>
                  <w:sz w:val="24"/>
                </w:rPr>
                <w:t>管理</w:t>
              </w:r>
            </w:ins>
            <w:r>
              <w:rPr>
                <w:rFonts w:hint="eastAsia" w:ascii="Times New Roman" w:hAnsi="Times New Roman" w:cs="Times New Roman"/>
                <w:color w:val="auto"/>
                <w:sz w:val="24"/>
              </w:rPr>
              <w:t>。</w:t>
            </w:r>
          </w:p>
          <w:p w14:paraId="0115C80F">
            <w:pPr>
              <w:spacing w:line="360" w:lineRule="auto"/>
              <w:ind w:firstLine="480" w:firstLineChars="200"/>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5</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“三线一单”符合性分析</w:t>
            </w:r>
          </w:p>
          <w:p w14:paraId="10AE2C6A">
            <w:pPr>
              <w:spacing w:line="360" w:lineRule="auto"/>
              <w:ind w:firstLine="480" w:firstLineChars="200"/>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根据《</w:t>
            </w:r>
            <w:r>
              <w:rPr>
                <w:rFonts w:hint="eastAsia" w:ascii="Times New Roman" w:hAnsi="Times New Roman" w:cs="Times New Roman"/>
                <w:b w:val="0"/>
                <w:bCs w:val="0"/>
                <w:color w:val="auto"/>
                <w:sz w:val="24"/>
                <w:szCs w:val="24"/>
                <w:lang w:val="en-US" w:eastAsia="zh-CN"/>
              </w:rPr>
              <w:t>淮北市“三线一单”编制文本</w:t>
            </w:r>
            <w:r>
              <w:rPr>
                <w:rFonts w:hint="default" w:ascii="Times New Roman" w:hAnsi="Times New Roman" w:cs="Times New Roman"/>
                <w:b w:val="0"/>
                <w:bCs w:val="0"/>
                <w:color w:val="auto"/>
                <w:sz w:val="24"/>
                <w:szCs w:val="24"/>
                <w:lang w:val="en-US" w:eastAsia="zh-CN"/>
              </w:rPr>
              <w:t>》，本项目与</w:t>
            </w:r>
            <w:r>
              <w:rPr>
                <w:rFonts w:hint="eastAsia" w:ascii="Times New Roman" w:hAnsi="Times New Roman" w:cs="Times New Roman"/>
                <w:b w:val="0"/>
                <w:bCs w:val="0"/>
                <w:color w:val="auto"/>
                <w:sz w:val="24"/>
                <w:szCs w:val="24"/>
                <w:lang w:val="en-US" w:eastAsia="zh-CN"/>
              </w:rPr>
              <w:t>淮北市</w:t>
            </w:r>
            <w:r>
              <w:rPr>
                <w:rFonts w:hint="default" w:ascii="Times New Roman" w:hAnsi="Times New Roman" w:cs="Times New Roman"/>
                <w:b w:val="0"/>
                <w:bCs w:val="0"/>
                <w:color w:val="auto"/>
                <w:sz w:val="24"/>
                <w:szCs w:val="24"/>
                <w:lang w:val="en-US" w:eastAsia="zh-CN"/>
              </w:rPr>
              <w:t>市</w:t>
            </w:r>
            <w:r>
              <w:rPr>
                <w:rFonts w:hint="eastAsia" w:ascii="宋体" w:hAnsi="宋体" w:eastAsia="宋体" w:cs="宋体"/>
                <w:b w:val="0"/>
                <w:bCs w:val="0"/>
                <w:color w:val="auto"/>
                <w:sz w:val="24"/>
                <w:szCs w:val="24"/>
                <w:lang w:val="en-US" w:eastAsia="zh-CN"/>
              </w:rPr>
              <w:t>“三线一单”相</w:t>
            </w:r>
            <w:r>
              <w:rPr>
                <w:rFonts w:hint="default" w:ascii="Times New Roman" w:hAnsi="Times New Roman" w:cs="Times New Roman"/>
                <w:b w:val="0"/>
                <w:bCs w:val="0"/>
                <w:color w:val="auto"/>
                <w:sz w:val="24"/>
                <w:szCs w:val="24"/>
                <w:lang w:val="en-US" w:eastAsia="zh-CN"/>
              </w:rPr>
              <w:t>符性如下。</w:t>
            </w:r>
          </w:p>
          <w:p w14:paraId="5F183DFC">
            <w:pPr>
              <w:spacing w:line="360" w:lineRule="auto"/>
              <w:ind w:firstLine="480" w:firstLineChars="200"/>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（1）生态保护红线及生态分区管控</w:t>
            </w:r>
          </w:p>
          <w:p w14:paraId="68260ADA">
            <w:pPr>
              <w:spacing w:line="360" w:lineRule="auto"/>
              <w:ind w:firstLine="480" w:firstLineChars="200"/>
              <w:rPr>
                <w:rFonts w:hint="default" w:ascii="Times New Roman" w:hAnsi="Times New Roman" w:eastAsia="宋体" w:cs="Times New Roman"/>
                <w:color w:val="auto"/>
                <w:kern w:val="0"/>
                <w:sz w:val="24"/>
                <w:szCs w:val="24"/>
              </w:rPr>
            </w:pPr>
            <w:r>
              <w:rPr>
                <w:rFonts w:hint="eastAsia" w:ascii="Times New Roman" w:hAnsi="Times New Roman" w:cs="Times New Roman"/>
                <w:b w:val="0"/>
                <w:bCs w:val="0"/>
                <w:color w:val="auto"/>
                <w:sz w:val="24"/>
                <w:szCs w:val="24"/>
                <w:lang w:val="en-US" w:eastAsia="zh-CN"/>
              </w:rPr>
              <w:t>根据《淮北市“三线一单”编制文本》，</w:t>
            </w:r>
            <w:r>
              <w:rPr>
                <w:rFonts w:hint="default" w:ascii="Times New Roman" w:hAnsi="Times New Roman" w:cs="Times New Roman"/>
                <w:color w:val="auto"/>
                <w:sz w:val="24"/>
                <w:szCs w:val="24"/>
              </w:rPr>
              <w:t>淮北市生态保护红线总面积为33.64km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，占全市国土总面的1.23%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淮北市生态空间总面积为103.35km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，占全市国土总面的3.77%</w:t>
            </w:r>
            <w:r>
              <w:rPr>
                <w:rFonts w:hint="default" w:ascii="Times New Roman" w:hAnsi="Times New Roman" w:eastAsia="宋体" w:cs="Times New Roman"/>
                <w:color w:val="auto"/>
                <w:kern w:val="0"/>
                <w:sz w:val="24"/>
                <w:szCs w:val="24"/>
              </w:rPr>
              <w:t>。</w:t>
            </w:r>
          </w:p>
          <w:p w14:paraId="3CB9FD32">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color w:val="auto"/>
                <w:sz w:val="24"/>
                <w:szCs w:val="24"/>
              </w:rPr>
              <w:t>淮北市重点区域生态保护红线划定结果统计表</w:t>
            </w:r>
            <w:r>
              <w:rPr>
                <w:rFonts w:hint="default" w:ascii="Times New Roman" w:hAnsi="Times New Roman" w:eastAsia="宋体" w:cs="Times New Roman"/>
                <w:color w:val="auto"/>
                <w:kern w:val="0"/>
                <w:sz w:val="24"/>
                <w:szCs w:val="24"/>
                <w:lang w:eastAsia="zh-CN"/>
              </w:rPr>
              <w:t>见表</w:t>
            </w:r>
            <w:r>
              <w:rPr>
                <w:rFonts w:hint="default" w:ascii="Times New Roman" w:hAnsi="Times New Roman" w:eastAsia="宋体" w:cs="Times New Roman"/>
                <w:color w:val="auto"/>
                <w:kern w:val="0"/>
                <w:sz w:val="24"/>
                <w:szCs w:val="24"/>
                <w:lang w:val="en-US" w:eastAsia="zh-CN"/>
              </w:rPr>
              <w:t>1.</w:t>
            </w:r>
            <w:r>
              <w:rPr>
                <w:rFonts w:hint="eastAsia"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lang w:val="en-US" w:eastAsia="zh-CN"/>
              </w:rPr>
              <w:t>。</w:t>
            </w:r>
          </w:p>
          <w:p w14:paraId="59C93FCD">
            <w:pPr>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 xml:space="preserve">  </w:t>
            </w:r>
            <w:r>
              <w:rPr>
                <w:rFonts w:hint="eastAsia"/>
                <w:b/>
                <w:bCs/>
                <w:color w:val="auto"/>
                <w:sz w:val="24"/>
                <w:szCs w:val="24"/>
              </w:rPr>
              <w:t>淮北市重点区域生态保护红线划定结果</w:t>
            </w:r>
          </w:p>
          <w:tbl>
            <w:tblPr>
              <w:tblStyle w:val="29"/>
              <w:tblW w:w="8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1175"/>
              <w:gridCol w:w="1205"/>
              <w:gridCol w:w="1214"/>
              <w:gridCol w:w="994"/>
              <w:gridCol w:w="915"/>
              <w:gridCol w:w="1684"/>
            </w:tblGrid>
            <w:tr w14:paraId="739A1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1C3C4EED">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行政区划代码</w:t>
                  </w:r>
                </w:p>
              </w:tc>
              <w:tc>
                <w:tcPr>
                  <w:tcW w:w="1175" w:type="dxa"/>
                  <w:vAlign w:val="center"/>
                </w:tcPr>
                <w:p w14:paraId="30F4C825">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省辖市</w:t>
                  </w:r>
                </w:p>
              </w:tc>
              <w:tc>
                <w:tcPr>
                  <w:tcW w:w="1205" w:type="dxa"/>
                  <w:vAlign w:val="center"/>
                </w:tcPr>
                <w:p w14:paraId="37D0704E">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县（市、区）</w:t>
                  </w:r>
                </w:p>
              </w:tc>
              <w:tc>
                <w:tcPr>
                  <w:tcW w:w="1214" w:type="dxa"/>
                  <w:vAlign w:val="center"/>
                </w:tcPr>
                <w:p w14:paraId="61EBE3DD">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vertAlign w:val="superscript"/>
                      <w:lang w:val="en-US" w:eastAsia="zh-CN"/>
                    </w:rPr>
                  </w:pPr>
                  <w:r>
                    <w:rPr>
                      <w:rFonts w:hint="eastAsia" w:ascii="Times New Roman" w:hAnsi="Times New Roman" w:eastAsia="宋体" w:cs="Times New Roman"/>
                      <w:b w:val="0"/>
                      <w:bCs/>
                      <w:color w:val="auto"/>
                      <w:kern w:val="0"/>
                      <w:sz w:val="18"/>
                      <w:szCs w:val="18"/>
                      <w:lang w:eastAsia="zh-CN"/>
                    </w:rPr>
                    <w:t>省辖市（县、市、区）域面积（</w:t>
                  </w:r>
                  <w:r>
                    <w:rPr>
                      <w:rFonts w:hint="eastAsia" w:ascii="Times New Roman" w:hAnsi="Times New Roman" w:eastAsia="宋体" w:cs="Times New Roman"/>
                      <w:b w:val="0"/>
                      <w:bCs/>
                      <w:color w:val="auto"/>
                      <w:kern w:val="0"/>
                      <w:sz w:val="18"/>
                      <w:szCs w:val="18"/>
                      <w:lang w:val="en-US" w:eastAsia="zh-CN"/>
                    </w:rPr>
                    <w:t>km</w:t>
                  </w:r>
                  <w:r>
                    <w:rPr>
                      <w:rFonts w:hint="eastAsia" w:ascii="Times New Roman" w:hAnsi="Times New Roman" w:eastAsia="宋体" w:cs="Times New Roman"/>
                      <w:b w:val="0"/>
                      <w:bCs/>
                      <w:color w:val="auto"/>
                      <w:kern w:val="0"/>
                      <w:sz w:val="18"/>
                      <w:szCs w:val="18"/>
                      <w:vertAlign w:val="superscript"/>
                      <w:lang w:val="en-US" w:eastAsia="zh-CN"/>
                    </w:rPr>
                    <w:t>2</w:t>
                  </w:r>
                  <w:r>
                    <w:rPr>
                      <w:rFonts w:hint="eastAsia" w:ascii="Times New Roman" w:hAnsi="Times New Roman" w:eastAsia="宋体" w:cs="Times New Roman"/>
                      <w:b w:val="0"/>
                      <w:bCs/>
                      <w:color w:val="auto"/>
                      <w:kern w:val="0"/>
                      <w:sz w:val="18"/>
                      <w:szCs w:val="18"/>
                      <w:lang w:eastAsia="zh-CN"/>
                    </w:rPr>
                    <w:t>）</w:t>
                  </w:r>
                </w:p>
              </w:tc>
              <w:tc>
                <w:tcPr>
                  <w:tcW w:w="994" w:type="dxa"/>
                  <w:vAlign w:val="center"/>
                </w:tcPr>
                <w:p w14:paraId="18563A03">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红线面积（</w:t>
                  </w:r>
                  <w:r>
                    <w:rPr>
                      <w:rFonts w:hint="eastAsia" w:ascii="Times New Roman" w:hAnsi="Times New Roman" w:eastAsia="宋体" w:cs="Times New Roman"/>
                      <w:b w:val="0"/>
                      <w:bCs/>
                      <w:color w:val="auto"/>
                      <w:kern w:val="0"/>
                      <w:sz w:val="18"/>
                      <w:szCs w:val="18"/>
                      <w:lang w:val="en-US" w:eastAsia="zh-CN"/>
                    </w:rPr>
                    <w:t>km</w:t>
                  </w:r>
                  <w:r>
                    <w:rPr>
                      <w:rFonts w:hint="eastAsia" w:ascii="Times New Roman" w:hAnsi="Times New Roman" w:eastAsia="宋体" w:cs="Times New Roman"/>
                      <w:b w:val="0"/>
                      <w:bCs/>
                      <w:color w:val="auto"/>
                      <w:kern w:val="0"/>
                      <w:sz w:val="18"/>
                      <w:szCs w:val="18"/>
                      <w:vertAlign w:val="superscript"/>
                      <w:lang w:val="en-US" w:eastAsia="zh-CN"/>
                    </w:rPr>
                    <w:t>2</w:t>
                  </w:r>
                  <w:r>
                    <w:rPr>
                      <w:rFonts w:hint="eastAsia" w:ascii="Times New Roman" w:hAnsi="Times New Roman" w:eastAsia="宋体" w:cs="Times New Roman"/>
                      <w:b w:val="0"/>
                      <w:bCs/>
                      <w:color w:val="auto"/>
                      <w:kern w:val="0"/>
                      <w:sz w:val="18"/>
                      <w:szCs w:val="18"/>
                      <w:lang w:eastAsia="zh-CN"/>
                    </w:rPr>
                    <w:t>）</w:t>
                  </w:r>
                </w:p>
              </w:tc>
              <w:tc>
                <w:tcPr>
                  <w:tcW w:w="915" w:type="dxa"/>
                  <w:vAlign w:val="center"/>
                </w:tcPr>
                <w:p w14:paraId="13F1F690">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面积占比（%）</w:t>
                  </w:r>
                </w:p>
              </w:tc>
              <w:tc>
                <w:tcPr>
                  <w:tcW w:w="1684" w:type="dxa"/>
                  <w:vAlign w:val="center"/>
                </w:tcPr>
                <w:p w14:paraId="5EF9DFD0">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主导生态功能</w:t>
                  </w:r>
                </w:p>
              </w:tc>
            </w:tr>
            <w:tr w14:paraId="14315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19E2910D">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340600</w:t>
                  </w:r>
                </w:p>
              </w:tc>
              <w:tc>
                <w:tcPr>
                  <w:tcW w:w="1175" w:type="dxa"/>
                  <w:vAlign w:val="center"/>
                </w:tcPr>
                <w:p w14:paraId="0BB7DC42">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淮北市</w:t>
                  </w:r>
                </w:p>
              </w:tc>
              <w:tc>
                <w:tcPr>
                  <w:tcW w:w="1205" w:type="dxa"/>
                  <w:vAlign w:val="center"/>
                </w:tcPr>
                <w:p w14:paraId="01437AD1">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14" w:type="dxa"/>
                  <w:vAlign w:val="center"/>
                </w:tcPr>
                <w:p w14:paraId="005B9161">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2741.11</w:t>
                  </w:r>
                </w:p>
              </w:tc>
              <w:tc>
                <w:tcPr>
                  <w:tcW w:w="994" w:type="dxa"/>
                  <w:vAlign w:val="center"/>
                </w:tcPr>
                <w:p w14:paraId="6872A170">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33.64</w:t>
                  </w:r>
                </w:p>
              </w:tc>
              <w:tc>
                <w:tcPr>
                  <w:tcW w:w="915" w:type="dxa"/>
                  <w:vAlign w:val="center"/>
                </w:tcPr>
                <w:p w14:paraId="28D5EC10">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1.23</w:t>
                  </w:r>
                </w:p>
              </w:tc>
              <w:tc>
                <w:tcPr>
                  <w:tcW w:w="1684" w:type="dxa"/>
                  <w:vAlign w:val="center"/>
                </w:tcPr>
                <w:p w14:paraId="02F01B23">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r>
            <w:tr w14:paraId="3E0A4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19D4D3A4">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340602</w:t>
                  </w:r>
                </w:p>
              </w:tc>
              <w:tc>
                <w:tcPr>
                  <w:tcW w:w="1175" w:type="dxa"/>
                  <w:vAlign w:val="center"/>
                </w:tcPr>
                <w:p w14:paraId="393110D2">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05" w:type="dxa"/>
                  <w:vAlign w:val="center"/>
                </w:tcPr>
                <w:p w14:paraId="1C33203D">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杜集区</w:t>
                  </w:r>
                </w:p>
              </w:tc>
              <w:tc>
                <w:tcPr>
                  <w:tcW w:w="1214" w:type="dxa"/>
                  <w:vAlign w:val="center"/>
                </w:tcPr>
                <w:p w14:paraId="14E13230">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233.18</w:t>
                  </w:r>
                </w:p>
              </w:tc>
              <w:tc>
                <w:tcPr>
                  <w:tcW w:w="994" w:type="dxa"/>
                  <w:vAlign w:val="center"/>
                </w:tcPr>
                <w:p w14:paraId="526DAC70">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10.37</w:t>
                  </w:r>
                </w:p>
              </w:tc>
              <w:tc>
                <w:tcPr>
                  <w:tcW w:w="915" w:type="dxa"/>
                  <w:vAlign w:val="center"/>
                </w:tcPr>
                <w:p w14:paraId="7E6C5C40">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4.45</w:t>
                  </w:r>
                </w:p>
              </w:tc>
              <w:tc>
                <w:tcPr>
                  <w:tcW w:w="1684" w:type="dxa"/>
                  <w:vAlign w:val="center"/>
                </w:tcPr>
                <w:p w14:paraId="56FF7AEA">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生态多样性维护</w:t>
                  </w:r>
                </w:p>
              </w:tc>
            </w:tr>
            <w:tr w14:paraId="54087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4AB125E3">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val="en-US" w:eastAsia="zh-CN"/>
                    </w:rPr>
                    <w:t>340603</w:t>
                  </w:r>
                </w:p>
              </w:tc>
              <w:tc>
                <w:tcPr>
                  <w:tcW w:w="1175" w:type="dxa"/>
                  <w:vAlign w:val="center"/>
                </w:tcPr>
                <w:p w14:paraId="777CC565">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05" w:type="dxa"/>
                  <w:vAlign w:val="center"/>
                </w:tcPr>
                <w:p w14:paraId="00FF97D1">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相山区</w:t>
                  </w:r>
                </w:p>
              </w:tc>
              <w:tc>
                <w:tcPr>
                  <w:tcW w:w="1214" w:type="dxa"/>
                  <w:vAlign w:val="center"/>
                </w:tcPr>
                <w:p w14:paraId="256855DD">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140.67</w:t>
                  </w:r>
                </w:p>
              </w:tc>
              <w:tc>
                <w:tcPr>
                  <w:tcW w:w="994" w:type="dxa"/>
                  <w:vAlign w:val="center"/>
                </w:tcPr>
                <w:p w14:paraId="554EC053">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5.60</w:t>
                  </w:r>
                </w:p>
              </w:tc>
              <w:tc>
                <w:tcPr>
                  <w:tcW w:w="915" w:type="dxa"/>
                  <w:vAlign w:val="center"/>
                </w:tcPr>
                <w:p w14:paraId="21305333">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3.98</w:t>
                  </w:r>
                </w:p>
              </w:tc>
              <w:tc>
                <w:tcPr>
                  <w:tcW w:w="1684" w:type="dxa"/>
                  <w:vAlign w:val="center"/>
                </w:tcPr>
                <w:p w14:paraId="005A6B8F">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水土保持</w:t>
                  </w:r>
                </w:p>
              </w:tc>
            </w:tr>
            <w:tr w14:paraId="2C32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616093D6">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val="en-US" w:eastAsia="zh-CN"/>
                    </w:rPr>
                    <w:t>340604</w:t>
                  </w:r>
                </w:p>
              </w:tc>
              <w:tc>
                <w:tcPr>
                  <w:tcW w:w="1175" w:type="dxa"/>
                  <w:vAlign w:val="center"/>
                </w:tcPr>
                <w:p w14:paraId="7F71568D">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05" w:type="dxa"/>
                  <w:vAlign w:val="center"/>
                </w:tcPr>
                <w:p w14:paraId="582EA19A">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烈山区</w:t>
                  </w:r>
                </w:p>
              </w:tc>
              <w:tc>
                <w:tcPr>
                  <w:tcW w:w="1214" w:type="dxa"/>
                  <w:vAlign w:val="center"/>
                </w:tcPr>
                <w:p w14:paraId="2AE4BF1F">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384.88</w:t>
                  </w:r>
                </w:p>
              </w:tc>
              <w:tc>
                <w:tcPr>
                  <w:tcW w:w="994" w:type="dxa"/>
                  <w:vAlign w:val="center"/>
                </w:tcPr>
                <w:p w14:paraId="39B6F8C2">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17.33</w:t>
                  </w:r>
                </w:p>
              </w:tc>
              <w:tc>
                <w:tcPr>
                  <w:tcW w:w="915" w:type="dxa"/>
                  <w:vAlign w:val="center"/>
                </w:tcPr>
                <w:p w14:paraId="0E4EEDBE">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4.50</w:t>
                  </w:r>
                </w:p>
              </w:tc>
              <w:tc>
                <w:tcPr>
                  <w:tcW w:w="1684" w:type="dxa"/>
                  <w:vAlign w:val="center"/>
                </w:tcPr>
                <w:p w14:paraId="6FAB4A7A">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生态多样性维护</w:t>
                  </w:r>
                </w:p>
              </w:tc>
            </w:tr>
            <w:tr w14:paraId="3711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5345AB2F">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340621</w:t>
                  </w:r>
                </w:p>
              </w:tc>
              <w:tc>
                <w:tcPr>
                  <w:tcW w:w="1175" w:type="dxa"/>
                  <w:vAlign w:val="center"/>
                </w:tcPr>
                <w:p w14:paraId="666CDF00">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05" w:type="dxa"/>
                  <w:vAlign w:val="center"/>
                </w:tcPr>
                <w:p w14:paraId="6011C5DA">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濉溪县</w:t>
                  </w:r>
                </w:p>
              </w:tc>
              <w:tc>
                <w:tcPr>
                  <w:tcW w:w="1214" w:type="dxa"/>
                  <w:vAlign w:val="center"/>
                </w:tcPr>
                <w:p w14:paraId="5E22B627">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1982.39</w:t>
                  </w:r>
                </w:p>
              </w:tc>
              <w:tc>
                <w:tcPr>
                  <w:tcW w:w="994" w:type="dxa"/>
                  <w:vAlign w:val="center"/>
                </w:tcPr>
                <w:p w14:paraId="755EBB9D">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0.33</w:t>
                  </w:r>
                </w:p>
              </w:tc>
              <w:tc>
                <w:tcPr>
                  <w:tcW w:w="915" w:type="dxa"/>
                  <w:vAlign w:val="center"/>
                </w:tcPr>
                <w:p w14:paraId="6D4768D2">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0.02</w:t>
                  </w:r>
                </w:p>
              </w:tc>
              <w:tc>
                <w:tcPr>
                  <w:tcW w:w="1684" w:type="dxa"/>
                  <w:vAlign w:val="center"/>
                </w:tcPr>
                <w:p w14:paraId="278D1D4B">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水土保持</w:t>
                  </w:r>
                </w:p>
              </w:tc>
            </w:tr>
          </w:tbl>
          <w:p w14:paraId="117141CE">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kern w:val="0"/>
                <w:sz w:val="24"/>
                <w:szCs w:val="24"/>
                <w:lang w:eastAsia="zh-CN"/>
              </w:rPr>
              <w:t>淮北</w:t>
            </w:r>
            <w:r>
              <w:rPr>
                <w:rFonts w:ascii="Times New Roman" w:hAnsi="Times New Roman" w:eastAsia="宋体" w:cs="Times New Roman"/>
                <w:color w:val="auto"/>
                <w:kern w:val="0"/>
                <w:sz w:val="24"/>
                <w:szCs w:val="24"/>
              </w:rPr>
              <w:t>市</w:t>
            </w:r>
            <w:r>
              <w:rPr>
                <w:rFonts w:hint="eastAsia" w:ascii="Times New Roman" w:hAnsi="Times New Roman" w:eastAsia="宋体" w:cs="Times New Roman"/>
                <w:color w:val="auto"/>
                <w:kern w:val="0"/>
                <w:sz w:val="24"/>
                <w:szCs w:val="24"/>
                <w:lang w:eastAsia="zh-CN"/>
              </w:rPr>
              <w:t>生态空间面积汇总表</w:t>
            </w:r>
            <w:r>
              <w:rPr>
                <w:rFonts w:hint="eastAsia" w:ascii="Times New Roman" w:hAnsi="Times New Roman" w:eastAsia="宋体" w:cs="Times New Roman"/>
                <w:color w:val="auto"/>
                <w:kern w:val="0"/>
                <w:sz w:val="24"/>
                <w:szCs w:val="24"/>
              </w:rPr>
              <w:t>下表</w:t>
            </w:r>
            <w:r>
              <w:rPr>
                <w:rFonts w:hint="eastAsia" w:ascii="Times New Roman" w:hAnsi="Times New Roman" w:eastAsia="宋体" w:cs="Times New Roman"/>
                <w:color w:val="auto"/>
                <w:kern w:val="0"/>
                <w:sz w:val="24"/>
                <w:szCs w:val="24"/>
                <w:lang w:val="en-US" w:eastAsia="zh-CN"/>
              </w:rPr>
              <w:t>1.6</w:t>
            </w:r>
            <w:r>
              <w:rPr>
                <w:rFonts w:ascii="Times New Roman" w:hAnsi="Times New Roman" w:eastAsia="宋体" w:cs="Times New Roman"/>
                <w:color w:val="auto"/>
                <w:kern w:val="0"/>
                <w:sz w:val="24"/>
                <w:szCs w:val="24"/>
              </w:rPr>
              <w:t>。</w:t>
            </w:r>
          </w:p>
          <w:p w14:paraId="6B11C17A">
            <w:pPr>
              <w:snapToGrid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 xml:space="preserve">  </w:t>
            </w:r>
            <w:r>
              <w:rPr>
                <w:rFonts w:hint="eastAsia" w:ascii="Times New Roman" w:hAnsi="Times New Roman" w:eastAsia="宋体" w:cs="Times New Roman"/>
                <w:b/>
                <w:bCs/>
                <w:color w:val="auto"/>
                <w:kern w:val="0"/>
                <w:sz w:val="24"/>
                <w:szCs w:val="24"/>
                <w:lang w:eastAsia="zh-CN"/>
              </w:rPr>
              <w:t>淮北</w:t>
            </w:r>
            <w:r>
              <w:rPr>
                <w:rFonts w:ascii="Times New Roman" w:hAnsi="Times New Roman" w:eastAsia="宋体" w:cs="Times New Roman"/>
                <w:b/>
                <w:bCs/>
                <w:color w:val="auto"/>
                <w:kern w:val="0"/>
                <w:sz w:val="24"/>
                <w:szCs w:val="24"/>
              </w:rPr>
              <w:t>市</w:t>
            </w:r>
            <w:r>
              <w:rPr>
                <w:rFonts w:hint="eastAsia" w:ascii="Times New Roman" w:hAnsi="Times New Roman" w:eastAsia="宋体" w:cs="Times New Roman"/>
                <w:b/>
                <w:bCs/>
                <w:color w:val="auto"/>
                <w:kern w:val="0"/>
                <w:sz w:val="24"/>
                <w:szCs w:val="24"/>
                <w:lang w:eastAsia="zh-CN"/>
              </w:rPr>
              <w:t>生态空间面积汇总表</w:t>
            </w:r>
          </w:p>
          <w:tbl>
            <w:tblPr>
              <w:tblStyle w:val="29"/>
              <w:tblW w:w="8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3"/>
              <w:gridCol w:w="904"/>
              <w:gridCol w:w="1054"/>
              <w:gridCol w:w="1099"/>
              <w:gridCol w:w="1099"/>
              <w:gridCol w:w="1041"/>
              <w:gridCol w:w="1099"/>
              <w:gridCol w:w="1041"/>
            </w:tblGrid>
            <w:tr w14:paraId="05061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278CFB4B">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行政区划代码</w:t>
                  </w:r>
                </w:p>
              </w:tc>
              <w:tc>
                <w:tcPr>
                  <w:tcW w:w="1262" w:type="dxa"/>
                  <w:vAlign w:val="center"/>
                </w:tcPr>
                <w:p w14:paraId="32F280F1">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省辖市</w:t>
                  </w:r>
                </w:p>
              </w:tc>
              <w:tc>
                <w:tcPr>
                  <w:tcW w:w="1264" w:type="dxa"/>
                  <w:vAlign w:val="center"/>
                </w:tcPr>
                <w:p w14:paraId="371A6BBA">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县（市、区）</w:t>
                  </w:r>
                </w:p>
              </w:tc>
              <w:tc>
                <w:tcPr>
                  <w:tcW w:w="1264" w:type="dxa"/>
                  <w:vAlign w:val="center"/>
                </w:tcPr>
                <w:p w14:paraId="6E1AF6BF">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vertAlign w:val="superscript"/>
                      <w:lang w:val="en-US" w:eastAsia="zh-CN"/>
                    </w:rPr>
                  </w:pPr>
                  <w:r>
                    <w:rPr>
                      <w:rFonts w:hint="eastAsia" w:ascii="Times New Roman" w:hAnsi="Times New Roman" w:eastAsia="宋体" w:cs="Times New Roman"/>
                      <w:b w:val="0"/>
                      <w:bCs/>
                      <w:color w:val="auto"/>
                      <w:kern w:val="0"/>
                      <w:sz w:val="18"/>
                      <w:szCs w:val="18"/>
                      <w:lang w:eastAsia="zh-CN"/>
                    </w:rPr>
                    <w:t>省辖市域面积（</w:t>
                  </w:r>
                  <w:r>
                    <w:rPr>
                      <w:rFonts w:hint="eastAsia" w:ascii="Times New Roman" w:hAnsi="Times New Roman" w:eastAsia="宋体" w:cs="Times New Roman"/>
                      <w:b w:val="0"/>
                      <w:bCs/>
                      <w:color w:val="auto"/>
                      <w:kern w:val="0"/>
                      <w:sz w:val="18"/>
                      <w:szCs w:val="18"/>
                      <w:lang w:val="en-US" w:eastAsia="zh-CN"/>
                    </w:rPr>
                    <w:t>km</w:t>
                  </w:r>
                  <w:r>
                    <w:rPr>
                      <w:rFonts w:hint="eastAsia" w:ascii="Times New Roman" w:hAnsi="Times New Roman" w:eastAsia="宋体" w:cs="Times New Roman"/>
                      <w:b w:val="0"/>
                      <w:bCs/>
                      <w:color w:val="auto"/>
                      <w:kern w:val="0"/>
                      <w:sz w:val="18"/>
                      <w:szCs w:val="18"/>
                      <w:vertAlign w:val="superscript"/>
                      <w:lang w:val="en-US" w:eastAsia="zh-CN"/>
                    </w:rPr>
                    <w:t>2</w:t>
                  </w:r>
                  <w:r>
                    <w:rPr>
                      <w:rFonts w:hint="eastAsia" w:ascii="Times New Roman" w:hAnsi="Times New Roman" w:eastAsia="宋体" w:cs="Times New Roman"/>
                      <w:b w:val="0"/>
                      <w:bCs/>
                      <w:color w:val="auto"/>
                      <w:kern w:val="0"/>
                      <w:sz w:val="18"/>
                      <w:szCs w:val="18"/>
                      <w:lang w:eastAsia="zh-CN"/>
                    </w:rPr>
                    <w:t>）</w:t>
                  </w:r>
                </w:p>
              </w:tc>
              <w:tc>
                <w:tcPr>
                  <w:tcW w:w="1264" w:type="dxa"/>
                  <w:vAlign w:val="center"/>
                </w:tcPr>
                <w:p w14:paraId="1A38921E">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红线面积（</w:t>
                  </w:r>
                  <w:r>
                    <w:rPr>
                      <w:rFonts w:hint="eastAsia" w:ascii="Times New Roman" w:hAnsi="Times New Roman" w:eastAsia="宋体" w:cs="Times New Roman"/>
                      <w:b w:val="0"/>
                      <w:bCs/>
                      <w:color w:val="auto"/>
                      <w:kern w:val="0"/>
                      <w:sz w:val="18"/>
                      <w:szCs w:val="18"/>
                      <w:lang w:val="en-US" w:eastAsia="zh-CN"/>
                    </w:rPr>
                    <w:t>km</w:t>
                  </w:r>
                  <w:r>
                    <w:rPr>
                      <w:rFonts w:hint="eastAsia" w:ascii="Times New Roman" w:hAnsi="Times New Roman" w:eastAsia="宋体" w:cs="Times New Roman"/>
                      <w:b w:val="0"/>
                      <w:bCs/>
                      <w:color w:val="auto"/>
                      <w:kern w:val="0"/>
                      <w:sz w:val="18"/>
                      <w:szCs w:val="18"/>
                      <w:vertAlign w:val="superscript"/>
                      <w:lang w:val="en-US" w:eastAsia="zh-CN"/>
                    </w:rPr>
                    <w:t>2</w:t>
                  </w:r>
                  <w:r>
                    <w:rPr>
                      <w:rFonts w:hint="eastAsia" w:ascii="Times New Roman" w:hAnsi="Times New Roman" w:eastAsia="宋体" w:cs="Times New Roman"/>
                      <w:b w:val="0"/>
                      <w:bCs/>
                      <w:color w:val="auto"/>
                      <w:kern w:val="0"/>
                      <w:sz w:val="18"/>
                      <w:szCs w:val="18"/>
                      <w:lang w:eastAsia="zh-CN"/>
                    </w:rPr>
                    <w:t>）</w:t>
                  </w:r>
                </w:p>
              </w:tc>
              <w:tc>
                <w:tcPr>
                  <w:tcW w:w="1264" w:type="dxa"/>
                  <w:vAlign w:val="center"/>
                </w:tcPr>
                <w:p w14:paraId="3465CB79">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面积占比（%）</w:t>
                  </w:r>
                </w:p>
              </w:tc>
              <w:tc>
                <w:tcPr>
                  <w:tcW w:w="1264" w:type="dxa"/>
                  <w:vAlign w:val="center"/>
                </w:tcPr>
                <w:p w14:paraId="38D08038">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生态空间面积（</w:t>
                  </w:r>
                  <w:r>
                    <w:rPr>
                      <w:rFonts w:hint="eastAsia" w:ascii="Times New Roman" w:hAnsi="Times New Roman" w:eastAsia="宋体" w:cs="Times New Roman"/>
                      <w:b w:val="0"/>
                      <w:bCs/>
                      <w:color w:val="auto"/>
                      <w:kern w:val="0"/>
                      <w:sz w:val="18"/>
                      <w:szCs w:val="18"/>
                      <w:lang w:val="en-US" w:eastAsia="zh-CN"/>
                    </w:rPr>
                    <w:t>km</w:t>
                  </w:r>
                  <w:r>
                    <w:rPr>
                      <w:rFonts w:hint="eastAsia" w:ascii="Times New Roman" w:hAnsi="Times New Roman" w:eastAsia="宋体" w:cs="Times New Roman"/>
                      <w:b w:val="0"/>
                      <w:bCs/>
                      <w:color w:val="auto"/>
                      <w:kern w:val="0"/>
                      <w:sz w:val="18"/>
                      <w:szCs w:val="18"/>
                      <w:vertAlign w:val="superscript"/>
                      <w:lang w:val="en-US" w:eastAsia="zh-CN"/>
                    </w:rPr>
                    <w:t>2</w:t>
                  </w:r>
                  <w:r>
                    <w:rPr>
                      <w:rFonts w:hint="eastAsia" w:ascii="Times New Roman" w:hAnsi="Times New Roman" w:eastAsia="宋体" w:cs="Times New Roman"/>
                      <w:b w:val="0"/>
                      <w:bCs/>
                      <w:color w:val="auto"/>
                      <w:kern w:val="0"/>
                      <w:sz w:val="18"/>
                      <w:szCs w:val="18"/>
                      <w:lang w:eastAsia="zh-CN"/>
                    </w:rPr>
                    <w:t>）</w:t>
                  </w:r>
                </w:p>
              </w:tc>
              <w:tc>
                <w:tcPr>
                  <w:tcW w:w="1264" w:type="dxa"/>
                  <w:vAlign w:val="center"/>
                </w:tcPr>
                <w:p w14:paraId="61C5E2EC">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面积占比（</w:t>
                  </w:r>
                  <w:r>
                    <w:rPr>
                      <w:rFonts w:hint="eastAsia" w:ascii="Times New Roman" w:hAnsi="Times New Roman" w:eastAsia="宋体" w:cs="Times New Roman"/>
                      <w:b w:val="0"/>
                      <w:bCs/>
                      <w:color w:val="auto"/>
                      <w:kern w:val="0"/>
                      <w:sz w:val="18"/>
                      <w:szCs w:val="18"/>
                      <w:lang w:val="en-US" w:eastAsia="zh-CN"/>
                    </w:rPr>
                    <w:t>%</w:t>
                  </w:r>
                  <w:r>
                    <w:rPr>
                      <w:rFonts w:hint="eastAsia" w:ascii="Times New Roman" w:hAnsi="Times New Roman" w:eastAsia="宋体" w:cs="Times New Roman"/>
                      <w:b w:val="0"/>
                      <w:bCs/>
                      <w:color w:val="auto"/>
                      <w:kern w:val="0"/>
                      <w:sz w:val="18"/>
                      <w:szCs w:val="18"/>
                      <w:lang w:eastAsia="zh-CN"/>
                    </w:rPr>
                    <w:t>）</w:t>
                  </w:r>
                </w:p>
              </w:tc>
            </w:tr>
            <w:tr w14:paraId="5F7EF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0C977E38">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340600</w:t>
                  </w:r>
                </w:p>
              </w:tc>
              <w:tc>
                <w:tcPr>
                  <w:tcW w:w="1262" w:type="dxa"/>
                  <w:vAlign w:val="center"/>
                </w:tcPr>
                <w:p w14:paraId="4AAD3096">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淮北市</w:t>
                  </w:r>
                </w:p>
              </w:tc>
              <w:tc>
                <w:tcPr>
                  <w:tcW w:w="1264" w:type="dxa"/>
                  <w:vAlign w:val="center"/>
                </w:tcPr>
                <w:p w14:paraId="571FE945">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64" w:type="dxa"/>
                  <w:vAlign w:val="center"/>
                </w:tcPr>
                <w:p w14:paraId="36879922">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2741.11</w:t>
                  </w:r>
                </w:p>
              </w:tc>
              <w:tc>
                <w:tcPr>
                  <w:tcW w:w="1264" w:type="dxa"/>
                  <w:vAlign w:val="center"/>
                </w:tcPr>
                <w:p w14:paraId="68728564">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33.64</w:t>
                  </w:r>
                </w:p>
              </w:tc>
              <w:tc>
                <w:tcPr>
                  <w:tcW w:w="1264" w:type="dxa"/>
                  <w:vAlign w:val="center"/>
                </w:tcPr>
                <w:p w14:paraId="05987FA2">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1.23</w:t>
                  </w:r>
                </w:p>
              </w:tc>
              <w:tc>
                <w:tcPr>
                  <w:tcW w:w="1264" w:type="dxa"/>
                  <w:vAlign w:val="center"/>
                </w:tcPr>
                <w:p w14:paraId="4789AFDE">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18.72</w:t>
                  </w:r>
                </w:p>
              </w:tc>
              <w:tc>
                <w:tcPr>
                  <w:tcW w:w="1264" w:type="dxa"/>
                  <w:vAlign w:val="center"/>
                </w:tcPr>
                <w:p w14:paraId="22BC4C46">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8.03</w:t>
                  </w:r>
                </w:p>
              </w:tc>
            </w:tr>
            <w:tr w14:paraId="72993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6FA57E2B">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340602</w:t>
                  </w:r>
                </w:p>
              </w:tc>
              <w:tc>
                <w:tcPr>
                  <w:tcW w:w="1262" w:type="dxa"/>
                  <w:vAlign w:val="center"/>
                </w:tcPr>
                <w:p w14:paraId="67DF9392">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64" w:type="dxa"/>
                  <w:vAlign w:val="center"/>
                </w:tcPr>
                <w:p w14:paraId="4A315AB7">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杜集区</w:t>
                  </w:r>
                </w:p>
              </w:tc>
              <w:tc>
                <w:tcPr>
                  <w:tcW w:w="1264" w:type="dxa"/>
                  <w:vAlign w:val="center"/>
                </w:tcPr>
                <w:p w14:paraId="5DA0A020">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233.18</w:t>
                  </w:r>
                </w:p>
              </w:tc>
              <w:tc>
                <w:tcPr>
                  <w:tcW w:w="1264" w:type="dxa"/>
                  <w:vAlign w:val="center"/>
                </w:tcPr>
                <w:p w14:paraId="3CBD5A0B">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10.37</w:t>
                  </w:r>
                </w:p>
              </w:tc>
              <w:tc>
                <w:tcPr>
                  <w:tcW w:w="1264" w:type="dxa"/>
                  <w:vAlign w:val="center"/>
                </w:tcPr>
                <w:p w14:paraId="5A48AAD9">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4.45</w:t>
                  </w:r>
                </w:p>
              </w:tc>
              <w:tc>
                <w:tcPr>
                  <w:tcW w:w="1264" w:type="dxa"/>
                  <w:vAlign w:val="center"/>
                </w:tcPr>
                <w:p w14:paraId="1FE850AC">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6.00</w:t>
                  </w:r>
                </w:p>
              </w:tc>
              <w:tc>
                <w:tcPr>
                  <w:tcW w:w="1264" w:type="dxa"/>
                  <w:vAlign w:val="center"/>
                </w:tcPr>
                <w:p w14:paraId="5ADA4037">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4.26</w:t>
                  </w:r>
                </w:p>
              </w:tc>
            </w:tr>
            <w:tr w14:paraId="56C61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5BC13899">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val="en-US" w:eastAsia="zh-CN"/>
                    </w:rPr>
                    <w:t>340603</w:t>
                  </w:r>
                </w:p>
              </w:tc>
              <w:tc>
                <w:tcPr>
                  <w:tcW w:w="1262" w:type="dxa"/>
                  <w:vAlign w:val="center"/>
                </w:tcPr>
                <w:p w14:paraId="46C8DF96">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64" w:type="dxa"/>
                  <w:vAlign w:val="center"/>
                </w:tcPr>
                <w:p w14:paraId="157303A2">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相山区</w:t>
                  </w:r>
                </w:p>
              </w:tc>
              <w:tc>
                <w:tcPr>
                  <w:tcW w:w="1264" w:type="dxa"/>
                  <w:vAlign w:val="center"/>
                </w:tcPr>
                <w:p w14:paraId="6B68EE6B">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140.67</w:t>
                  </w:r>
                </w:p>
              </w:tc>
              <w:tc>
                <w:tcPr>
                  <w:tcW w:w="1264" w:type="dxa"/>
                  <w:vAlign w:val="center"/>
                </w:tcPr>
                <w:p w14:paraId="22B884E7">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5.60</w:t>
                  </w:r>
                </w:p>
              </w:tc>
              <w:tc>
                <w:tcPr>
                  <w:tcW w:w="1264" w:type="dxa"/>
                  <w:vAlign w:val="center"/>
                </w:tcPr>
                <w:p w14:paraId="144EEE89">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3.98</w:t>
                  </w:r>
                </w:p>
              </w:tc>
              <w:tc>
                <w:tcPr>
                  <w:tcW w:w="1264" w:type="dxa"/>
                  <w:vAlign w:val="center"/>
                </w:tcPr>
                <w:p w14:paraId="6E340E3A">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52.72</w:t>
                  </w:r>
                </w:p>
              </w:tc>
              <w:tc>
                <w:tcPr>
                  <w:tcW w:w="1264" w:type="dxa"/>
                  <w:vAlign w:val="center"/>
                </w:tcPr>
                <w:p w14:paraId="286CFC7E">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13.70</w:t>
                  </w:r>
                </w:p>
              </w:tc>
            </w:tr>
            <w:tr w14:paraId="7F591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1314D8A0">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val="en-US" w:eastAsia="zh-CN"/>
                    </w:rPr>
                    <w:t>340604</w:t>
                  </w:r>
                </w:p>
              </w:tc>
              <w:tc>
                <w:tcPr>
                  <w:tcW w:w="1262" w:type="dxa"/>
                  <w:vAlign w:val="center"/>
                </w:tcPr>
                <w:p w14:paraId="0AEE3E88">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64" w:type="dxa"/>
                  <w:vAlign w:val="center"/>
                </w:tcPr>
                <w:p w14:paraId="62DC829E">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烈山区</w:t>
                  </w:r>
                </w:p>
              </w:tc>
              <w:tc>
                <w:tcPr>
                  <w:tcW w:w="1264" w:type="dxa"/>
                  <w:vAlign w:val="center"/>
                </w:tcPr>
                <w:p w14:paraId="79BB9097">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384.88</w:t>
                  </w:r>
                </w:p>
              </w:tc>
              <w:tc>
                <w:tcPr>
                  <w:tcW w:w="1264" w:type="dxa"/>
                  <w:vAlign w:val="center"/>
                </w:tcPr>
                <w:p w14:paraId="197B23E8">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17.33</w:t>
                  </w:r>
                </w:p>
              </w:tc>
              <w:tc>
                <w:tcPr>
                  <w:tcW w:w="1264" w:type="dxa"/>
                  <w:vAlign w:val="center"/>
                </w:tcPr>
                <w:p w14:paraId="0C153035">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4.50</w:t>
                  </w:r>
                </w:p>
              </w:tc>
              <w:tc>
                <w:tcPr>
                  <w:tcW w:w="1264" w:type="dxa"/>
                  <w:vAlign w:val="center"/>
                </w:tcPr>
                <w:p w14:paraId="1E519F7D">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25.91</w:t>
                  </w:r>
                </w:p>
              </w:tc>
              <w:tc>
                <w:tcPr>
                  <w:tcW w:w="1264" w:type="dxa"/>
                  <w:vAlign w:val="center"/>
                </w:tcPr>
                <w:p w14:paraId="60BC5852">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1.31</w:t>
                  </w:r>
                </w:p>
              </w:tc>
            </w:tr>
            <w:tr w14:paraId="455B3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0BF347EA">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340621</w:t>
                  </w:r>
                </w:p>
              </w:tc>
              <w:tc>
                <w:tcPr>
                  <w:tcW w:w="1262" w:type="dxa"/>
                  <w:vAlign w:val="center"/>
                </w:tcPr>
                <w:p w14:paraId="364539B3">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p>
              </w:tc>
              <w:tc>
                <w:tcPr>
                  <w:tcW w:w="1264" w:type="dxa"/>
                  <w:vAlign w:val="center"/>
                </w:tcPr>
                <w:p w14:paraId="61457E03">
                  <w:pPr>
                    <w:autoSpaceDE w:val="0"/>
                    <w:autoSpaceDN w:val="0"/>
                    <w:adjustRightInd w:val="0"/>
                    <w:spacing w:line="320" w:lineRule="exact"/>
                    <w:jc w:val="center"/>
                    <w:rPr>
                      <w:rFonts w:hint="eastAsia" w:ascii="Times New Roman" w:hAnsi="Times New Roman" w:eastAsia="宋体" w:cs="Times New Roman"/>
                      <w:b w:val="0"/>
                      <w:bCs/>
                      <w:color w:val="auto"/>
                      <w:kern w:val="0"/>
                      <w:sz w:val="18"/>
                      <w:szCs w:val="18"/>
                      <w:lang w:eastAsia="zh-CN"/>
                    </w:rPr>
                  </w:pPr>
                  <w:r>
                    <w:rPr>
                      <w:rFonts w:hint="eastAsia" w:ascii="Times New Roman" w:hAnsi="Times New Roman" w:eastAsia="宋体" w:cs="Times New Roman"/>
                      <w:b w:val="0"/>
                      <w:bCs/>
                      <w:color w:val="auto"/>
                      <w:kern w:val="0"/>
                      <w:sz w:val="18"/>
                      <w:szCs w:val="18"/>
                      <w:lang w:eastAsia="zh-CN"/>
                    </w:rPr>
                    <w:t>濉溪县</w:t>
                  </w:r>
                </w:p>
              </w:tc>
              <w:tc>
                <w:tcPr>
                  <w:tcW w:w="1264" w:type="dxa"/>
                  <w:vAlign w:val="center"/>
                </w:tcPr>
                <w:p w14:paraId="076B5A69">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1982.39</w:t>
                  </w:r>
                </w:p>
              </w:tc>
              <w:tc>
                <w:tcPr>
                  <w:tcW w:w="1264" w:type="dxa"/>
                  <w:vAlign w:val="center"/>
                </w:tcPr>
                <w:p w14:paraId="5BBE6002">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0.33</w:t>
                  </w:r>
                </w:p>
              </w:tc>
              <w:tc>
                <w:tcPr>
                  <w:tcW w:w="1264" w:type="dxa"/>
                  <w:vAlign w:val="center"/>
                </w:tcPr>
                <w:p w14:paraId="3D2C1E63">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0.02</w:t>
                  </w:r>
                </w:p>
              </w:tc>
              <w:tc>
                <w:tcPr>
                  <w:tcW w:w="1264" w:type="dxa"/>
                  <w:vAlign w:val="center"/>
                </w:tcPr>
                <w:p w14:paraId="679AC853">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18.72</w:t>
                  </w:r>
                </w:p>
              </w:tc>
              <w:tc>
                <w:tcPr>
                  <w:tcW w:w="1264" w:type="dxa"/>
                  <w:vAlign w:val="center"/>
                </w:tcPr>
                <w:p w14:paraId="53AD5B9F">
                  <w:pPr>
                    <w:autoSpaceDE w:val="0"/>
                    <w:autoSpaceDN w:val="0"/>
                    <w:adjustRightInd w:val="0"/>
                    <w:spacing w:line="320" w:lineRule="exact"/>
                    <w:jc w:val="center"/>
                    <w:rPr>
                      <w:rFonts w:hint="default" w:ascii="Times New Roman" w:hAnsi="Times New Roman" w:eastAsia="宋体" w:cs="Times New Roman"/>
                      <w:b w:val="0"/>
                      <w:bCs/>
                      <w:color w:val="auto"/>
                      <w:kern w:val="0"/>
                      <w:sz w:val="18"/>
                      <w:szCs w:val="18"/>
                      <w:lang w:val="en-US" w:eastAsia="zh-CN"/>
                    </w:rPr>
                  </w:pPr>
                  <w:r>
                    <w:rPr>
                      <w:rFonts w:hint="eastAsia" w:ascii="Times New Roman" w:hAnsi="Times New Roman" w:eastAsia="宋体" w:cs="Times New Roman"/>
                      <w:b w:val="0"/>
                      <w:bCs/>
                      <w:color w:val="auto"/>
                      <w:kern w:val="0"/>
                      <w:sz w:val="18"/>
                      <w:szCs w:val="18"/>
                      <w:lang w:val="en-US" w:eastAsia="zh-CN"/>
                    </w:rPr>
                    <w:t>8.03</w:t>
                  </w:r>
                </w:p>
              </w:tc>
            </w:tr>
          </w:tbl>
          <w:p w14:paraId="33524DA7">
            <w:pPr>
              <w:autoSpaceDE w:val="0"/>
              <w:autoSpaceDN w:val="0"/>
              <w:adjustRightInd w:val="0"/>
              <w:snapToGrid w:val="0"/>
              <w:spacing w:line="480" w:lineRule="exact"/>
              <w:ind w:firstLine="480" w:firstLineChars="200"/>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本项目选址位于</w:t>
            </w:r>
            <w:r>
              <w:rPr>
                <w:rFonts w:hint="eastAsia" w:ascii="Times New Roman" w:hAnsi="Times New Roman" w:cs="Times New Roman"/>
                <w:b w:val="0"/>
                <w:bCs/>
                <w:color w:val="auto"/>
                <w:sz w:val="24"/>
                <w:szCs w:val="24"/>
                <w:lang w:eastAsia="zh-CN"/>
              </w:rPr>
              <w:t>安徽淮北新型煤化工合成材料基地</w:t>
            </w:r>
            <w:r>
              <w:rPr>
                <w:rFonts w:ascii="Times New Roman" w:hAnsi="Times New Roman" w:eastAsia="宋体" w:cs="Times New Roman"/>
                <w:color w:val="auto"/>
                <w:kern w:val="0"/>
                <w:sz w:val="24"/>
                <w:szCs w:val="24"/>
              </w:rPr>
              <w:t>，</w:t>
            </w:r>
            <w:r>
              <w:rPr>
                <w:rFonts w:hint="eastAsia" w:ascii="Times New Roman" w:hAnsi="Times New Roman" w:eastAsia="宋体" w:cs="Times New Roman"/>
                <w:color w:val="auto"/>
                <w:kern w:val="0"/>
                <w:sz w:val="24"/>
                <w:szCs w:val="24"/>
              </w:rPr>
              <w:t>对照《</w:t>
            </w:r>
            <w:r>
              <w:rPr>
                <w:rFonts w:hint="eastAsia" w:ascii="Times New Roman" w:hAnsi="Times New Roman" w:cs="Times New Roman"/>
                <w:b w:val="0"/>
                <w:bCs w:val="0"/>
                <w:color w:val="auto"/>
                <w:sz w:val="24"/>
                <w:szCs w:val="24"/>
                <w:lang w:val="en-US" w:eastAsia="zh-CN"/>
              </w:rPr>
              <w:t>淮北市“三线一单”</w:t>
            </w:r>
            <w:r>
              <w:rPr>
                <w:rFonts w:hint="eastAsia" w:ascii="Times New Roman" w:hAnsi="Times New Roman" w:eastAsia="宋体" w:cs="Times New Roman"/>
                <w:color w:val="auto"/>
                <w:kern w:val="0"/>
                <w:sz w:val="24"/>
                <w:szCs w:val="24"/>
              </w:rPr>
              <w:t>图集》，项目不占用生态保护红线和生态空间</w:t>
            </w:r>
            <w:r>
              <w:rPr>
                <w:rFonts w:ascii="Times New Roman" w:hAnsi="Times New Roman" w:eastAsia="宋体" w:cs="Times New Roman"/>
                <w:color w:val="auto"/>
                <w:kern w:val="0"/>
                <w:sz w:val="24"/>
                <w:szCs w:val="24"/>
              </w:rPr>
              <w:t>。</w:t>
            </w:r>
          </w:p>
          <w:p w14:paraId="76F405DA">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（2）环境质量底线及环境分区管控相符性</w:t>
            </w:r>
          </w:p>
          <w:p w14:paraId="2244C023">
            <w:pPr>
              <w:spacing w:line="360" w:lineRule="auto"/>
              <w:ind w:firstLine="480" w:firstLineChars="200"/>
              <w:rPr>
                <w:rFonts w:ascii="Times New Roman" w:hAnsi="Times New Roman" w:eastAsia="宋体" w:cs="Times New Roman"/>
                <w:color w:val="auto"/>
                <w:kern w:val="0"/>
                <w:sz w:val="24"/>
                <w:szCs w:val="24"/>
              </w:rPr>
            </w:pPr>
            <w:r>
              <w:rPr>
                <w:rFonts w:hint="eastAsia" w:ascii="宋体" w:hAnsi="宋体" w:eastAsia="宋体" w:cs="宋体"/>
                <w:color w:val="auto"/>
                <w:kern w:val="0"/>
                <w:sz w:val="24"/>
                <w:szCs w:val="24"/>
              </w:rPr>
              <w:t>①</w:t>
            </w:r>
            <w:r>
              <w:rPr>
                <w:rFonts w:ascii="Times New Roman" w:hAnsi="Times New Roman" w:eastAsia="宋体" w:cs="Times New Roman"/>
                <w:color w:val="auto"/>
                <w:kern w:val="0"/>
                <w:sz w:val="24"/>
                <w:szCs w:val="24"/>
              </w:rPr>
              <w:t>水环境质量底线及环境分区管控</w:t>
            </w:r>
          </w:p>
          <w:p w14:paraId="754AC638">
            <w:pPr>
              <w:spacing w:line="360" w:lineRule="auto"/>
              <w:ind w:firstLine="480" w:firstLineChars="200"/>
              <w:rPr>
                <w:rFonts w:hint="eastAsia" w:ascii="宋体" w:hAnsi="宋体" w:eastAsia="宋体" w:cs="宋体"/>
                <w:color w:val="auto"/>
                <w:kern w:val="0"/>
                <w:sz w:val="24"/>
                <w:szCs w:val="24"/>
                <w:lang w:eastAsia="zh-CN"/>
              </w:rPr>
            </w:pPr>
            <w:r>
              <w:rPr>
                <w:rFonts w:hint="eastAsia" w:ascii="宋体" w:hAnsi="宋体" w:eastAsia="宋体" w:cs="宋体"/>
                <w:color w:val="auto"/>
                <w:kern w:val="0"/>
                <w:sz w:val="24"/>
                <w:szCs w:val="24"/>
                <w:lang w:eastAsia="zh-CN"/>
              </w:rPr>
              <w:t>对照《</w:t>
            </w:r>
            <w:r>
              <w:rPr>
                <w:rFonts w:hint="eastAsia" w:ascii="宋体" w:hAnsi="宋体" w:eastAsia="宋体" w:cs="宋体"/>
                <w:b w:val="0"/>
                <w:bCs w:val="0"/>
                <w:color w:val="auto"/>
                <w:sz w:val="24"/>
                <w:szCs w:val="24"/>
                <w:lang w:val="en-US" w:eastAsia="zh-CN"/>
              </w:rPr>
              <w:t>淮北市“三线一单”</w:t>
            </w:r>
            <w:r>
              <w:rPr>
                <w:rFonts w:hint="eastAsia" w:ascii="宋体" w:hAnsi="宋体" w:eastAsia="宋体" w:cs="宋体"/>
                <w:color w:val="auto"/>
                <w:kern w:val="0"/>
                <w:sz w:val="24"/>
                <w:szCs w:val="24"/>
                <w:lang w:eastAsia="zh-CN"/>
              </w:rPr>
              <w:t>图集》，项目位于城镇生活污染重点</w:t>
            </w:r>
            <w:r>
              <w:rPr>
                <w:rFonts w:hint="eastAsia" w:ascii="宋体" w:hAnsi="宋体" w:eastAsia="宋体" w:cs="宋体"/>
                <w:color w:val="auto"/>
                <w:kern w:val="0"/>
                <w:sz w:val="24"/>
                <w:szCs w:val="24"/>
                <w:lang w:val="en-US" w:eastAsia="zh-CN"/>
              </w:rPr>
              <w:t>管</w:t>
            </w:r>
            <w:r>
              <w:rPr>
                <w:rFonts w:hint="eastAsia" w:ascii="宋体" w:hAnsi="宋体" w:eastAsia="宋体" w:cs="宋体"/>
                <w:color w:val="auto"/>
                <w:kern w:val="0"/>
                <w:sz w:val="24"/>
                <w:szCs w:val="24"/>
                <w:lang w:eastAsia="zh-CN"/>
              </w:rPr>
              <w:t>控区和工业污染重点管控区。</w:t>
            </w:r>
          </w:p>
          <w:p w14:paraId="3E85DC07">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宋体" w:hAnsi="宋体" w:eastAsia="宋体" w:cs="宋体"/>
                <w:color w:val="auto"/>
                <w:kern w:val="0"/>
                <w:sz w:val="24"/>
                <w:szCs w:val="24"/>
                <w:lang w:eastAsia="zh-CN"/>
              </w:rPr>
            </w:pPr>
            <w:r>
              <w:rPr>
                <w:rFonts w:hint="eastAsia" w:ascii="宋体" w:hAnsi="宋体" w:eastAsia="宋体" w:cs="宋体"/>
                <w:color w:val="auto"/>
                <w:kern w:val="0"/>
                <w:sz w:val="24"/>
                <w:szCs w:val="24"/>
                <w:lang w:eastAsia="zh-CN"/>
              </w:rPr>
              <w:drawing>
                <wp:inline distT="0" distB="0" distL="114300" distR="114300">
                  <wp:extent cx="5352415" cy="2532380"/>
                  <wp:effectExtent l="0" t="0" r="635" b="1270"/>
                  <wp:docPr id="11" name="图片 11" descr="{96260F34-8AB8-43CF-AC72-DB3D6AEF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96260F34-8AB8-43CF-AC72-DB3D6AEF1175}"/>
                          <pic:cNvPicPr>
                            <a:picLocks noChangeAspect="1"/>
                          </pic:cNvPicPr>
                        </pic:nvPicPr>
                        <pic:blipFill>
                          <a:blip r:embed="rId9"/>
                          <a:stretch>
                            <a:fillRect/>
                          </a:stretch>
                        </pic:blipFill>
                        <pic:spPr>
                          <a:xfrm>
                            <a:off x="0" y="0"/>
                            <a:ext cx="5352415" cy="2532380"/>
                          </a:xfrm>
                          <a:prstGeom prst="rect">
                            <a:avLst/>
                          </a:prstGeom>
                        </pic:spPr>
                      </pic:pic>
                    </a:graphicData>
                  </a:graphic>
                </wp:inline>
              </w:drawing>
            </w:r>
          </w:p>
          <w:p w14:paraId="0B327BAD">
            <w:pPr>
              <w:spacing w:line="360" w:lineRule="auto"/>
              <w:ind w:firstLine="480" w:firstLineChars="200"/>
              <w:rPr>
                <w:rFonts w:hint="eastAsia" w:ascii="宋体" w:hAnsi="宋体" w:eastAsia="宋体" w:cs="宋体"/>
                <w:color w:val="auto"/>
                <w:kern w:val="0"/>
                <w:sz w:val="24"/>
                <w:szCs w:val="24"/>
                <w:lang w:eastAsia="zh-CN"/>
              </w:rPr>
            </w:pPr>
            <w:r>
              <w:rPr>
                <w:rFonts w:hint="eastAsia" w:ascii="宋体" w:hAnsi="宋体" w:eastAsia="宋体" w:cs="宋体"/>
                <w:color w:val="auto"/>
                <w:kern w:val="0"/>
                <w:sz w:val="24"/>
                <w:szCs w:val="24"/>
                <w:lang w:eastAsia="zh-CN"/>
              </w:rPr>
              <w:t>重点管控区要求：“</w:t>
            </w:r>
            <w:r>
              <w:rPr>
                <w:rFonts w:hint="eastAsia" w:ascii="宋体" w:hAnsi="宋体" w:eastAsia="宋体" w:cs="宋体"/>
                <w:bCs/>
                <w:color w:val="auto"/>
                <w:sz w:val="24"/>
                <w:szCs w:val="24"/>
              </w:rPr>
              <w:t>依据《中华人民共和国水污染防治法》</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《水污染防治行动计划</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安徽省水污染防治工作方案》及各市水污染防治工作方案对重点管控区实施管控；依据《安徽省淮河流域水污染防治条例》对淮河流域实施管控；依据开发区规划、规划环评及审查意见相关要求对开发区实施管控；落实《“十三五”生态环境保护规划》</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《安徽省“十三五”环境保护规划》</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《安徽省“十三五”节能减排实施方案》等要求，新建、改建和扩建项目水污染物实施“等量替代”。</w:t>
            </w:r>
            <w:r>
              <w:rPr>
                <w:rFonts w:hint="eastAsia" w:ascii="宋体" w:hAnsi="宋体" w:eastAsia="宋体" w:cs="宋体"/>
                <w:color w:val="auto"/>
                <w:kern w:val="0"/>
                <w:sz w:val="24"/>
                <w:szCs w:val="24"/>
                <w:lang w:eastAsia="zh-CN"/>
              </w:rPr>
              <w:t>”</w:t>
            </w:r>
          </w:p>
          <w:p w14:paraId="6801B1BB">
            <w:pPr>
              <w:spacing w:line="360" w:lineRule="auto"/>
              <w:ind w:firstLine="480"/>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根据《</w:t>
            </w:r>
            <w:r>
              <w:rPr>
                <w:rFonts w:hint="eastAsia" w:ascii="Times New Roman" w:hAnsi="Times New Roman" w:eastAsia="宋体" w:cs="Times New Roman"/>
                <w:color w:val="auto"/>
                <w:sz w:val="24"/>
                <w:szCs w:val="24"/>
              </w:rPr>
              <w:t>淮北临涣化工园区总体发展规划（2022-2035年）环境影响报告书</w:t>
            </w:r>
            <w:r>
              <w:rPr>
                <w:rFonts w:hint="eastAsia" w:ascii="Times New Roman" w:hAnsi="Times New Roman" w:cs="Times New Roman"/>
                <w:b w:val="0"/>
                <w:bCs w:val="0"/>
                <w:color w:val="auto"/>
                <w:sz w:val="24"/>
                <w:szCs w:val="24"/>
                <w:lang w:val="en-US" w:eastAsia="zh-CN"/>
              </w:rPr>
              <w:t>》：“</w:t>
            </w:r>
            <w:r>
              <w:rPr>
                <w:rFonts w:hint="default" w:ascii="Times New Roman" w:hAnsi="Times New Roman" w:cs="Times New Roman"/>
                <w:color w:val="auto"/>
                <w:sz w:val="24"/>
                <w:szCs w:val="24"/>
                <w:highlight w:val="none"/>
              </w:rPr>
              <w:t>地表水</w:t>
            </w:r>
            <w:r>
              <w:rPr>
                <w:rFonts w:hint="default" w:ascii="Times New Roman" w:hAnsi="Times New Roman" w:cs="Times New Roman"/>
                <w:color w:val="auto"/>
                <w:sz w:val="24"/>
                <w:szCs w:val="24"/>
                <w:highlight w:val="none"/>
                <w:lang w:val="en-US" w:eastAsia="zh-CN"/>
              </w:rPr>
              <w:t>满足</w:t>
            </w:r>
            <w:r>
              <w:rPr>
                <w:rFonts w:hint="default" w:ascii="Times New Roman" w:hAnsi="Times New Roman" w:cs="Times New Roman"/>
                <w:color w:val="auto"/>
                <w:sz w:val="24"/>
                <w:szCs w:val="24"/>
                <w:highlight w:val="none"/>
              </w:rPr>
              <w:t>《地表水环境质量标准》</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GB3838-2002</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中Ⅳ类标准</w:t>
            </w:r>
            <w:r>
              <w:rPr>
                <w:rFonts w:ascii="Times New Roman" w:hAnsi="Times New Roman" w:eastAsia="宋体" w:cs="Times New Roman"/>
                <w:color w:val="auto"/>
                <w:kern w:val="0"/>
                <w:sz w:val="24"/>
                <w:szCs w:val="24"/>
              </w:rPr>
              <w:t>。</w:t>
            </w:r>
            <w:r>
              <w:rPr>
                <w:rFonts w:hint="eastAsia" w:ascii="Times New Roman" w:hAnsi="Times New Roman" w:cs="Times New Roman"/>
                <w:b w:val="0"/>
                <w:bCs w:val="0"/>
                <w:color w:val="auto"/>
                <w:sz w:val="24"/>
                <w:szCs w:val="24"/>
                <w:lang w:val="en-US" w:eastAsia="zh-CN"/>
              </w:rPr>
              <w:t>”</w:t>
            </w:r>
          </w:p>
          <w:p w14:paraId="331B8F7F">
            <w:pPr>
              <w:spacing w:line="360" w:lineRule="auto"/>
              <w:ind w:firstLine="480" w:firstLineChars="200"/>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lang w:eastAsia="zh-CN"/>
              </w:rPr>
              <w:t>本项目生活污水经预处理后满足</w:t>
            </w:r>
            <w:r>
              <w:rPr>
                <w:rFonts w:hint="default" w:ascii="Times New Roman" w:hAnsi="Times New Roman" w:cs="Times New Roman"/>
                <w:color w:val="auto"/>
                <w:sz w:val="24"/>
                <w:szCs w:val="24"/>
              </w:rPr>
              <w:t>《污水综合排放标准》（GB8978-1996）表4中三级标准及</w:t>
            </w:r>
            <w:r>
              <w:rPr>
                <w:rFonts w:hint="eastAsia" w:ascii="Times New Roman" w:hAnsi="Times New Roman" w:cs="Times New Roman"/>
                <w:color w:val="auto"/>
                <w:sz w:val="24"/>
                <w:szCs w:val="24"/>
                <w:lang w:eastAsia="zh-CN"/>
              </w:rPr>
              <w:t>污水处理厂</w:t>
            </w:r>
            <w:r>
              <w:rPr>
                <w:rFonts w:hint="default" w:ascii="Times New Roman" w:hAnsi="Times New Roman" w:cs="Times New Roman"/>
                <w:color w:val="auto"/>
                <w:sz w:val="24"/>
                <w:szCs w:val="24"/>
              </w:rPr>
              <w:t>接管</w:t>
            </w:r>
            <w:r>
              <w:rPr>
                <w:rFonts w:hint="eastAsia" w:ascii="Times New Roman" w:hAnsi="Times New Roman" w:cs="Times New Roman"/>
                <w:color w:val="auto"/>
                <w:sz w:val="24"/>
                <w:szCs w:val="24"/>
                <w:lang w:eastAsia="zh-CN"/>
              </w:rPr>
              <w:t>限值</w:t>
            </w:r>
            <w:r>
              <w:rPr>
                <w:rFonts w:hint="default" w:ascii="Times New Roman" w:hAnsi="Times New Roman" w:eastAsia="宋体" w:cs="Times New Roman"/>
                <w:color w:val="auto"/>
                <w:kern w:val="0"/>
                <w:sz w:val="24"/>
                <w:szCs w:val="24"/>
                <w:lang w:eastAsia="zh-CN"/>
              </w:rPr>
              <w:t>，接管入污水处理厂综合处理，尾水最终达到《地表水环境质量标准》（GB3838-2002）Ⅳ类水质标准后</w:t>
            </w:r>
            <w:r>
              <w:rPr>
                <w:rFonts w:hint="eastAsia" w:ascii="Times New Roman" w:hAnsi="Times New Roman" w:eastAsia="宋体" w:cs="Times New Roman"/>
                <w:color w:val="auto"/>
                <w:kern w:val="0"/>
                <w:sz w:val="24"/>
                <w:szCs w:val="24"/>
                <w:lang w:val="en-US" w:eastAsia="zh-CN"/>
              </w:rPr>
              <w:t>回用</w:t>
            </w:r>
            <w:r>
              <w:rPr>
                <w:rFonts w:hint="default" w:ascii="Times New Roman" w:hAnsi="Times New Roman" w:eastAsia="宋体" w:cs="Times New Roman"/>
                <w:color w:val="auto"/>
                <w:kern w:val="0"/>
                <w:sz w:val="24"/>
                <w:szCs w:val="24"/>
                <w:lang w:eastAsia="zh-CN"/>
              </w:rPr>
              <w:t>，对</w:t>
            </w:r>
            <w:r>
              <w:rPr>
                <w:rFonts w:hint="eastAsia" w:ascii="Times New Roman" w:hAnsi="Times New Roman" w:eastAsia="宋体" w:cs="Times New Roman"/>
                <w:color w:val="auto"/>
                <w:kern w:val="0"/>
                <w:sz w:val="24"/>
                <w:szCs w:val="24"/>
                <w:lang w:val="en-US" w:eastAsia="zh-CN"/>
              </w:rPr>
              <w:t>地表水</w:t>
            </w:r>
            <w:r>
              <w:rPr>
                <w:rFonts w:hint="default" w:ascii="Times New Roman" w:hAnsi="Times New Roman" w:eastAsia="宋体" w:cs="Times New Roman"/>
                <w:color w:val="auto"/>
                <w:kern w:val="0"/>
                <w:sz w:val="24"/>
                <w:szCs w:val="24"/>
                <w:lang w:eastAsia="zh-CN"/>
              </w:rPr>
              <w:t>的影响可接受，不会突破水环境质量底线。本项目为新建项目，水污染物COD、NH</w:t>
            </w:r>
            <w:r>
              <w:rPr>
                <w:rFonts w:hint="default" w:ascii="Times New Roman" w:hAnsi="Times New Roman" w:eastAsia="宋体" w:cs="Times New Roman"/>
                <w:color w:val="auto"/>
                <w:kern w:val="0"/>
                <w:sz w:val="24"/>
                <w:szCs w:val="24"/>
                <w:vertAlign w:val="subscript"/>
                <w:lang w:eastAsia="zh-CN"/>
              </w:rPr>
              <w:t>3</w:t>
            </w:r>
            <w:r>
              <w:rPr>
                <w:rFonts w:hint="default" w:ascii="Times New Roman" w:hAnsi="Times New Roman" w:eastAsia="宋体" w:cs="Times New Roman"/>
                <w:color w:val="auto"/>
                <w:kern w:val="0"/>
                <w:sz w:val="24"/>
                <w:szCs w:val="24"/>
                <w:lang w:eastAsia="zh-CN"/>
              </w:rPr>
              <w:t>-N 新增排放量指标应实行区域等量替代。符合水环境质量底线及环境分区管控要求。</w:t>
            </w:r>
          </w:p>
          <w:p w14:paraId="0D7668C2">
            <w:pPr>
              <w:spacing w:line="360" w:lineRule="auto"/>
              <w:ind w:firstLine="480" w:firstLineChars="200"/>
              <w:rPr>
                <w:rFonts w:ascii="Times New Roman" w:hAnsi="Times New Roman" w:eastAsia="宋体" w:cs="Times New Roman"/>
                <w:color w:val="auto"/>
                <w:kern w:val="0"/>
                <w:sz w:val="24"/>
                <w:szCs w:val="24"/>
              </w:rPr>
            </w:pPr>
            <w:r>
              <w:rPr>
                <w:rFonts w:hint="eastAsia" w:ascii="宋体" w:hAnsi="宋体" w:eastAsia="宋体" w:cs="宋体"/>
                <w:color w:val="auto"/>
                <w:kern w:val="0"/>
                <w:sz w:val="24"/>
                <w:szCs w:val="24"/>
              </w:rPr>
              <w:t>②</w:t>
            </w:r>
            <w:r>
              <w:rPr>
                <w:rFonts w:ascii="Times New Roman" w:hAnsi="Times New Roman" w:eastAsia="宋体" w:cs="Times New Roman"/>
                <w:color w:val="auto"/>
                <w:kern w:val="0"/>
                <w:sz w:val="24"/>
                <w:szCs w:val="24"/>
              </w:rPr>
              <w:t>大气环境质量底线及分区管控</w:t>
            </w:r>
          </w:p>
          <w:p w14:paraId="385DFE97">
            <w:pPr>
              <w:spacing w:line="360" w:lineRule="auto"/>
              <w:ind w:firstLine="480" w:firstLineChars="200"/>
              <w:rPr>
                <w:rFonts w:hint="eastAsia" w:ascii="宋体" w:hAnsi="宋体" w:eastAsia="宋体" w:cs="宋体"/>
                <w:color w:val="auto"/>
                <w:kern w:val="0"/>
                <w:sz w:val="24"/>
                <w:szCs w:val="24"/>
                <w:lang w:eastAsia="zh-CN"/>
              </w:rPr>
            </w:pPr>
            <w:r>
              <w:rPr>
                <w:rFonts w:hint="eastAsia" w:ascii="宋体" w:hAnsi="宋体" w:eastAsia="宋体" w:cs="宋体"/>
                <w:color w:val="auto"/>
                <w:kern w:val="0"/>
                <w:sz w:val="24"/>
                <w:szCs w:val="24"/>
                <w:lang w:eastAsia="zh-CN"/>
              </w:rPr>
              <w:t>对照《</w:t>
            </w:r>
            <w:r>
              <w:rPr>
                <w:rFonts w:hint="eastAsia" w:ascii="宋体" w:hAnsi="宋体" w:eastAsia="宋体" w:cs="宋体"/>
                <w:b w:val="0"/>
                <w:bCs w:val="0"/>
                <w:color w:val="auto"/>
                <w:sz w:val="24"/>
                <w:szCs w:val="24"/>
                <w:lang w:val="en-US" w:eastAsia="zh-CN"/>
              </w:rPr>
              <w:t>淮北市“三线一单”</w:t>
            </w:r>
            <w:r>
              <w:rPr>
                <w:rFonts w:hint="eastAsia" w:ascii="宋体" w:hAnsi="宋体" w:eastAsia="宋体" w:cs="宋体"/>
                <w:color w:val="auto"/>
                <w:kern w:val="0"/>
                <w:sz w:val="24"/>
                <w:szCs w:val="24"/>
                <w:lang w:eastAsia="zh-CN"/>
              </w:rPr>
              <w:t>图集》，项目位于高排放重点管控区。</w:t>
            </w:r>
          </w:p>
          <w:p w14:paraId="63DB93A4">
            <w:pPr>
              <w:spacing w:line="360" w:lineRule="auto"/>
              <w:ind w:firstLine="480" w:firstLineChars="200"/>
              <w:rPr>
                <w:rFonts w:hint="eastAsia" w:ascii="Times New Roman" w:hAnsi="Times New Roman" w:eastAsia="宋体" w:cs="Times New Roman"/>
                <w:color w:val="auto"/>
                <w:kern w:val="0"/>
                <w:sz w:val="24"/>
                <w:szCs w:val="24"/>
                <w:lang w:eastAsia="zh-CN"/>
              </w:rPr>
            </w:pPr>
            <w:r>
              <w:rPr>
                <w:rFonts w:ascii="Times New Roman" w:hAnsi="Times New Roman" w:eastAsia="宋体" w:cs="Times New Roman"/>
                <w:color w:val="auto"/>
                <w:kern w:val="0"/>
                <w:sz w:val="24"/>
                <w:szCs w:val="24"/>
              </w:rPr>
              <w:t>大气环境重点管控区：</w:t>
            </w:r>
            <w:r>
              <w:rPr>
                <w:rFonts w:hint="eastAsia" w:ascii="Times New Roman" w:hAnsi="Times New Roman" w:eastAsia="宋体" w:cs="Times New Roman"/>
                <w:color w:val="auto"/>
                <w:kern w:val="0"/>
                <w:sz w:val="24"/>
                <w:szCs w:val="24"/>
                <w:lang w:eastAsia="zh-CN"/>
              </w:rPr>
              <w:t>“</w:t>
            </w:r>
            <w:r>
              <w:rPr>
                <w:rFonts w:hint="eastAsia" w:ascii="仿宋" w:hAnsi="仿宋"/>
                <w:bCs/>
                <w:color w:val="auto"/>
                <w:sz w:val="24"/>
                <w:szCs w:val="24"/>
              </w:rPr>
              <w:t>落实《安徽省大气污染防治条例》</w:t>
            </w:r>
            <w:r>
              <w:rPr>
                <w:rFonts w:hint="eastAsia" w:ascii="仿宋" w:hAnsi="仿宋"/>
                <w:bCs/>
                <w:color w:val="auto"/>
                <w:sz w:val="24"/>
                <w:szCs w:val="24"/>
                <w:lang w:eastAsia="zh-CN"/>
              </w:rPr>
              <w:t>、</w:t>
            </w:r>
            <w:r>
              <w:rPr>
                <w:rFonts w:hint="eastAsia" w:ascii="仿宋" w:hAnsi="仿宋"/>
                <w:bCs/>
                <w:color w:val="auto"/>
                <w:sz w:val="24"/>
                <w:szCs w:val="24"/>
              </w:rPr>
              <w:t>《“十三五”生态环境保护规划》</w:t>
            </w:r>
            <w:r>
              <w:rPr>
                <w:rFonts w:hint="eastAsia" w:ascii="仿宋" w:hAnsi="仿宋"/>
                <w:bCs/>
                <w:color w:val="auto"/>
                <w:sz w:val="24"/>
                <w:szCs w:val="24"/>
                <w:lang w:eastAsia="zh-CN"/>
              </w:rPr>
              <w:t>、</w:t>
            </w:r>
            <w:r>
              <w:rPr>
                <w:rFonts w:hint="eastAsia" w:ascii="仿宋" w:hAnsi="仿宋"/>
                <w:bCs/>
                <w:color w:val="auto"/>
                <w:sz w:val="24"/>
                <w:szCs w:val="24"/>
              </w:rPr>
              <w:t>《安徽省“十三五”环境保护规划》</w:t>
            </w:r>
            <w:r>
              <w:rPr>
                <w:rFonts w:hint="eastAsia" w:ascii="仿宋" w:hAnsi="仿宋"/>
                <w:bCs/>
                <w:color w:val="auto"/>
                <w:sz w:val="24"/>
                <w:szCs w:val="24"/>
                <w:lang w:eastAsia="zh-CN"/>
              </w:rPr>
              <w:t>、</w:t>
            </w:r>
            <w:r>
              <w:rPr>
                <w:rFonts w:hint="eastAsia" w:ascii="仿宋" w:hAnsi="仿宋"/>
                <w:bCs/>
                <w:color w:val="auto"/>
                <w:sz w:val="24"/>
                <w:szCs w:val="24"/>
              </w:rPr>
              <w:t>《打赢蓝天保卫战三年行动计划》</w:t>
            </w:r>
            <w:r>
              <w:rPr>
                <w:rFonts w:hint="eastAsia" w:ascii="仿宋" w:hAnsi="仿宋"/>
                <w:bCs/>
                <w:color w:val="auto"/>
                <w:sz w:val="24"/>
                <w:szCs w:val="24"/>
                <w:lang w:eastAsia="zh-CN"/>
              </w:rPr>
              <w:t>、</w:t>
            </w:r>
            <w:r>
              <w:rPr>
                <w:rFonts w:hint="eastAsia" w:ascii="仿宋" w:hAnsi="仿宋"/>
                <w:bCs/>
                <w:color w:val="auto"/>
                <w:sz w:val="24"/>
                <w:szCs w:val="24"/>
              </w:rPr>
              <w:t>《安徽省打赢蓝天保卫战三年行动计划实施方案》</w:t>
            </w:r>
            <w:r>
              <w:rPr>
                <w:rFonts w:hint="eastAsia" w:ascii="仿宋" w:hAnsi="仿宋"/>
                <w:bCs/>
                <w:color w:val="auto"/>
                <w:sz w:val="24"/>
                <w:szCs w:val="24"/>
                <w:lang w:eastAsia="zh-CN"/>
              </w:rPr>
              <w:t>、</w:t>
            </w:r>
            <w:r>
              <w:rPr>
                <w:rFonts w:hint="eastAsia" w:ascii="仿宋" w:hAnsi="仿宋"/>
                <w:bCs/>
                <w:color w:val="auto"/>
                <w:sz w:val="24"/>
                <w:szCs w:val="24"/>
              </w:rPr>
              <w:t>《重点行业挥发性有机物综合治理方案》等要求，严格目标实施计划，加强环境监管，促进生态环境质量好转。上年度</w:t>
            </w:r>
            <w:r>
              <w:rPr>
                <w:rFonts w:hint="default" w:ascii="Times New Roman" w:hAnsi="Times New Roman" w:cs="Times New Roman"/>
                <w:bCs/>
                <w:color w:val="auto"/>
                <w:sz w:val="24"/>
                <w:szCs w:val="24"/>
                <w:lang w:val="en-US" w:eastAsia="zh-CN"/>
              </w:rPr>
              <w:t>PM</w:t>
            </w:r>
            <w:r>
              <w:rPr>
                <w:rFonts w:hint="default" w:ascii="Times New Roman" w:hAnsi="Times New Roman" w:cs="Times New Roman"/>
                <w:bCs/>
                <w:color w:val="auto"/>
                <w:sz w:val="24"/>
                <w:szCs w:val="24"/>
                <w:vertAlign w:val="subscript"/>
                <w:lang w:val="en-US" w:eastAsia="zh-CN"/>
              </w:rPr>
              <w:t>2.5</w:t>
            </w:r>
            <w:r>
              <w:rPr>
                <w:rFonts w:hint="eastAsia" w:ascii="仿宋" w:hAnsi="仿宋"/>
                <w:bCs/>
                <w:color w:val="auto"/>
                <w:sz w:val="24"/>
                <w:szCs w:val="24"/>
              </w:rPr>
              <w:t>不达标城市新建、改建和扩建项目大气污染物实施“倍量替代”，执行特别排放标准的行业实施提标升级改造。</w:t>
            </w:r>
            <w:r>
              <w:rPr>
                <w:rFonts w:hint="eastAsia" w:ascii="Times New Roman" w:hAnsi="Times New Roman" w:eastAsia="宋体" w:cs="Times New Roman"/>
                <w:color w:val="auto"/>
                <w:kern w:val="0"/>
                <w:sz w:val="24"/>
                <w:szCs w:val="24"/>
                <w:lang w:eastAsia="zh-CN"/>
              </w:rPr>
              <w:t>”</w:t>
            </w:r>
          </w:p>
          <w:p w14:paraId="37D373F4">
            <w:pPr>
              <w:spacing w:line="360" w:lineRule="auto"/>
              <w:ind w:firstLine="480" w:firstLineChars="200"/>
              <w:rPr>
                <w:rFonts w:hint="eastAsia" w:ascii="Times New Roman" w:hAnsi="Times New Roman" w:cs="Times New Roman"/>
                <w:b w:val="0"/>
                <w:bCs w:val="0"/>
                <w:color w:val="auto"/>
                <w:sz w:val="24"/>
                <w:szCs w:val="24"/>
                <w:lang w:val="en-US" w:eastAsia="zh-CN"/>
              </w:rPr>
            </w:pPr>
            <w:r>
              <w:rPr>
                <w:rFonts w:ascii="Times New Roman" w:hAnsi="Times New Roman" w:eastAsia="宋体" w:cs="Times New Roman"/>
                <w:color w:val="auto"/>
                <w:kern w:val="0"/>
                <w:sz w:val="24"/>
                <w:szCs w:val="24"/>
              </w:rPr>
              <w:t>根据</w:t>
            </w:r>
            <w:r>
              <w:rPr>
                <w:rFonts w:hint="eastAsia" w:ascii="Times New Roman" w:hAnsi="Times New Roman" w:cs="Times New Roman"/>
                <w:color w:val="auto"/>
                <w:sz w:val="24"/>
                <w:szCs w:val="24"/>
                <w:lang w:eastAsia="zh-CN"/>
              </w:rPr>
              <w:t>《淮北市</w:t>
            </w:r>
            <w:r>
              <w:rPr>
                <w:rFonts w:hint="eastAsia" w:ascii="Times New Roman" w:hAnsi="Times New Roman" w:cs="Times New Roman"/>
                <w:color w:val="auto"/>
                <w:sz w:val="24"/>
                <w:szCs w:val="24"/>
                <w:lang w:val="en-US" w:eastAsia="zh-CN"/>
              </w:rPr>
              <w:t>2024年环境质量状况报告》（淮北市生态环境局，2025年06月），淮北市2024年SO</w:t>
            </w:r>
            <w:r>
              <w:rPr>
                <w:rFonts w:hint="eastAsia" w:ascii="Times New Roman" w:hAnsi="Times New Roman" w:cs="Times New Roman"/>
                <w:color w:val="auto"/>
                <w:sz w:val="24"/>
                <w:szCs w:val="24"/>
                <w:vertAlign w:val="subscript"/>
                <w:lang w:val="en-US" w:eastAsia="zh-CN"/>
              </w:rPr>
              <w:t>2</w:t>
            </w:r>
            <w:r>
              <w:rPr>
                <w:rFonts w:hint="eastAsia" w:ascii="Times New Roman" w:hAnsi="Times New Roman" w:cs="Times New Roman"/>
                <w:color w:val="auto"/>
                <w:sz w:val="24"/>
                <w:szCs w:val="24"/>
                <w:lang w:val="en-US" w:eastAsia="zh-CN"/>
              </w:rPr>
              <w:t>、NO</w:t>
            </w:r>
            <w:r>
              <w:rPr>
                <w:rFonts w:hint="eastAsia" w:ascii="Times New Roman" w:hAnsi="Times New Roman" w:cs="Times New Roman"/>
                <w:color w:val="auto"/>
                <w:sz w:val="24"/>
                <w:szCs w:val="24"/>
                <w:vertAlign w:val="subscript"/>
                <w:lang w:val="en-US" w:eastAsia="zh-CN"/>
              </w:rPr>
              <w:t>2</w:t>
            </w:r>
            <w:r>
              <w:rPr>
                <w:rFonts w:hint="eastAsia" w:ascii="Times New Roman" w:hAnsi="Times New Roman" w:cs="Times New Roman"/>
                <w:color w:val="auto"/>
                <w:sz w:val="24"/>
                <w:szCs w:val="24"/>
                <w:lang w:val="en-US" w:eastAsia="zh-CN"/>
              </w:rPr>
              <w:t>、PM</w:t>
            </w:r>
            <w:r>
              <w:rPr>
                <w:rFonts w:hint="eastAsia" w:ascii="Times New Roman" w:hAnsi="Times New Roman" w:cs="Times New Roman"/>
                <w:color w:val="auto"/>
                <w:sz w:val="24"/>
                <w:szCs w:val="24"/>
                <w:vertAlign w:val="subscript"/>
                <w:lang w:val="en-US" w:eastAsia="zh-CN"/>
              </w:rPr>
              <w:t>10</w:t>
            </w:r>
            <w:r>
              <w:rPr>
                <w:rFonts w:hint="eastAsia" w:ascii="Times New Roman" w:hAnsi="Times New Roman" w:cs="Times New Roman"/>
                <w:color w:val="auto"/>
                <w:sz w:val="24"/>
                <w:szCs w:val="24"/>
                <w:lang w:val="en-US" w:eastAsia="zh-CN"/>
              </w:rPr>
              <w:t>、PM</w:t>
            </w:r>
            <w:r>
              <w:rPr>
                <w:rFonts w:hint="eastAsia" w:ascii="Times New Roman" w:hAnsi="Times New Roman" w:cs="Times New Roman"/>
                <w:color w:val="auto"/>
                <w:sz w:val="24"/>
                <w:szCs w:val="24"/>
                <w:vertAlign w:val="subscript"/>
                <w:lang w:val="en-US" w:eastAsia="zh-CN"/>
              </w:rPr>
              <w:t>2.5</w:t>
            </w:r>
            <w:r>
              <w:rPr>
                <w:rFonts w:hint="eastAsia" w:ascii="Times New Roman" w:hAnsi="Times New Roman" w:cs="Times New Roman"/>
                <w:color w:val="auto"/>
                <w:sz w:val="24"/>
                <w:szCs w:val="24"/>
                <w:lang w:val="en-US" w:eastAsia="zh-CN"/>
              </w:rPr>
              <w:t>年均浓度分别为6 ug/m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、19 ug/m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、70 ug/m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、43 ug/m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；CO 24小时平均第95百分位数为1mg/m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，O</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日最大8小时平均第90百分位数为175 ug/m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；超过《环境空气质量标准》（GB3095-2012）中二级标准限值的污染物为O</w:t>
            </w:r>
            <w:r>
              <w:rPr>
                <w:rFonts w:hint="eastAsia" w:ascii="Times New Roman" w:hAnsi="Times New Roman" w:cs="Times New Roman"/>
                <w:color w:val="auto"/>
                <w:sz w:val="24"/>
                <w:szCs w:val="24"/>
                <w:vertAlign w:val="subscript"/>
                <w:lang w:val="en-US" w:eastAsia="zh-CN"/>
              </w:rPr>
              <w:t>3</w:t>
            </w:r>
            <w:r>
              <w:rPr>
                <w:rFonts w:hint="eastAsia" w:ascii="Times New Roman" w:hAnsi="Times New Roman" w:cs="Times New Roman"/>
                <w:color w:val="auto"/>
                <w:sz w:val="24"/>
                <w:szCs w:val="24"/>
                <w:lang w:val="en-US" w:eastAsia="zh-CN"/>
              </w:rPr>
              <w:t>、PM</w:t>
            </w:r>
            <w:r>
              <w:rPr>
                <w:rFonts w:hint="eastAsia" w:ascii="Times New Roman" w:hAnsi="Times New Roman" w:cs="Times New Roman"/>
                <w:color w:val="auto"/>
                <w:sz w:val="24"/>
                <w:szCs w:val="24"/>
                <w:vertAlign w:val="subscript"/>
                <w:lang w:val="en-US" w:eastAsia="zh-CN"/>
              </w:rPr>
              <w:t>2.5</w:t>
            </w:r>
            <w:r>
              <w:rPr>
                <w:rFonts w:hint="default" w:ascii="Times New Roman" w:hAnsi="Times New Roman" w:cs="Times New Roman"/>
                <w:color w:val="auto"/>
                <w:sz w:val="24"/>
                <w:szCs w:val="24"/>
              </w:rPr>
              <w:t>，则该项目区为城市环境质量不达标区</w:t>
            </w:r>
            <w:r>
              <w:rPr>
                <w:rFonts w:ascii="Times New Roman" w:hAnsi="Times New Roman" w:eastAsia="宋体" w:cs="Times New Roman"/>
                <w:color w:val="auto"/>
                <w:kern w:val="0"/>
                <w:sz w:val="24"/>
                <w:szCs w:val="24"/>
              </w:rPr>
              <w:t>。</w:t>
            </w:r>
          </w:p>
          <w:p w14:paraId="11B20701">
            <w:pPr>
              <w:pStyle w:val="41"/>
              <w:spacing w:line="360" w:lineRule="auto"/>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lang w:eastAsia="zh-CN"/>
              </w:rPr>
              <w:t>本项目废气污染物能够实现达标排放，不会对区域大气环境质量产生明显影响，项目的建设不会降低区域大气环境质量功能，因此项目的建设能够满足区域大气环境质量底线要求。</w:t>
            </w:r>
            <w:r>
              <w:rPr>
                <w:rFonts w:hint="eastAsia" w:ascii="Times New Roman" w:hAnsi="Times New Roman" w:eastAsia="宋体" w:cs="Times New Roman"/>
                <w:color w:val="auto"/>
                <w:kern w:val="0"/>
                <w:sz w:val="24"/>
                <w:szCs w:val="24"/>
                <w:lang w:eastAsia="zh-CN"/>
              </w:rPr>
              <w:t>淮北市</w:t>
            </w:r>
            <w:r>
              <w:rPr>
                <w:rFonts w:hint="default" w:ascii="Times New Roman" w:hAnsi="Times New Roman" w:eastAsia="宋体" w:cs="Times New Roman"/>
                <w:color w:val="auto"/>
                <w:kern w:val="0"/>
                <w:sz w:val="24"/>
                <w:szCs w:val="24"/>
                <w:lang w:eastAsia="zh-CN"/>
              </w:rPr>
              <w:t>上年度为大气质量</w:t>
            </w:r>
            <w:r>
              <w:rPr>
                <w:rFonts w:hint="eastAsia" w:ascii="Times New Roman" w:hAnsi="Times New Roman" w:eastAsia="宋体" w:cs="Times New Roman"/>
                <w:color w:val="auto"/>
                <w:kern w:val="0"/>
                <w:sz w:val="24"/>
                <w:szCs w:val="24"/>
                <w:lang w:eastAsia="zh-CN"/>
              </w:rPr>
              <w:t>不</w:t>
            </w:r>
            <w:r>
              <w:rPr>
                <w:rFonts w:hint="default" w:ascii="Times New Roman" w:hAnsi="Times New Roman" w:eastAsia="宋体" w:cs="Times New Roman"/>
                <w:color w:val="auto"/>
                <w:kern w:val="0"/>
                <w:sz w:val="24"/>
                <w:szCs w:val="24"/>
                <w:lang w:eastAsia="zh-CN"/>
              </w:rPr>
              <w:t>达标区域，本项目大气污染物烟粉尘、VOCs新增排放量指标需实行区域</w:t>
            </w:r>
            <w:r>
              <w:rPr>
                <w:rFonts w:hint="eastAsia" w:ascii="宋体" w:hAnsi="宋体" w:eastAsia="宋体" w:cs="宋体"/>
                <w:color w:val="auto"/>
                <w:kern w:val="0"/>
                <w:sz w:val="24"/>
                <w:szCs w:val="24"/>
                <w:lang w:eastAsia="zh-CN"/>
              </w:rPr>
              <w:t>“倍量替代”。</w:t>
            </w:r>
            <w:r>
              <w:rPr>
                <w:rFonts w:hint="default" w:ascii="Times New Roman" w:hAnsi="Times New Roman" w:eastAsia="宋体" w:cs="Times New Roman"/>
                <w:color w:val="auto"/>
                <w:kern w:val="0"/>
                <w:sz w:val="24"/>
                <w:szCs w:val="24"/>
                <w:lang w:eastAsia="zh-CN"/>
              </w:rPr>
              <w:t>符合大气环境质量底线及环境分区管控要求。</w:t>
            </w:r>
          </w:p>
          <w:p w14:paraId="19A6583A">
            <w:pPr>
              <w:pStyle w:val="41"/>
              <w:spacing w:line="360" w:lineRule="auto"/>
              <w:rPr>
                <w:rFonts w:ascii="Times New Roman" w:hAnsi="Times New Roman" w:eastAsia="宋体" w:cs="Times New Roman"/>
                <w:color w:val="auto"/>
                <w:kern w:val="0"/>
                <w:sz w:val="24"/>
                <w:szCs w:val="24"/>
              </w:rPr>
            </w:pPr>
            <w:r>
              <w:rPr>
                <w:rFonts w:hint="eastAsia" w:ascii="宋体" w:hAnsi="宋体" w:eastAsia="宋体" w:cs="宋体"/>
                <w:color w:val="auto"/>
                <w:kern w:val="0"/>
                <w:sz w:val="24"/>
                <w:szCs w:val="24"/>
              </w:rPr>
              <w:t>③</w:t>
            </w:r>
            <w:r>
              <w:rPr>
                <w:rFonts w:ascii="Times New Roman" w:hAnsi="Times New Roman" w:eastAsia="宋体" w:cs="Times New Roman"/>
                <w:color w:val="auto"/>
                <w:kern w:val="0"/>
                <w:sz w:val="24"/>
                <w:szCs w:val="24"/>
              </w:rPr>
              <w:t>土壤环境风险防控底线及分区管控</w:t>
            </w:r>
          </w:p>
          <w:p w14:paraId="44DDF17B">
            <w:pPr>
              <w:spacing w:line="360" w:lineRule="auto"/>
              <w:ind w:firstLine="480" w:firstLineChars="200"/>
              <w:rPr>
                <w:rFonts w:hint="eastAsia" w:ascii="Times New Roman" w:hAnsi="Times New Roman" w:eastAsia="宋体" w:cs="Times New Roman"/>
                <w:color w:val="auto"/>
                <w:kern w:val="0"/>
                <w:sz w:val="24"/>
                <w:szCs w:val="24"/>
                <w:lang w:eastAsia="zh-CN"/>
              </w:rPr>
            </w:pPr>
            <w:r>
              <w:rPr>
                <w:rFonts w:hint="eastAsia" w:ascii="宋体" w:hAnsi="宋体" w:eastAsia="宋体" w:cs="宋体"/>
                <w:color w:val="auto"/>
                <w:kern w:val="0"/>
                <w:sz w:val="24"/>
                <w:szCs w:val="24"/>
                <w:lang w:eastAsia="zh-CN"/>
              </w:rPr>
              <w:t>对照《</w:t>
            </w:r>
            <w:r>
              <w:rPr>
                <w:rFonts w:hint="eastAsia" w:ascii="宋体" w:hAnsi="宋体" w:eastAsia="宋体" w:cs="宋体"/>
                <w:b w:val="0"/>
                <w:bCs w:val="0"/>
                <w:color w:val="auto"/>
                <w:sz w:val="24"/>
                <w:szCs w:val="24"/>
                <w:lang w:val="en-US" w:eastAsia="zh-CN"/>
              </w:rPr>
              <w:t>淮北市“三线一单”</w:t>
            </w:r>
            <w:r>
              <w:rPr>
                <w:rFonts w:hint="eastAsia" w:ascii="宋体" w:hAnsi="宋体" w:eastAsia="宋体" w:cs="宋体"/>
                <w:color w:val="auto"/>
                <w:kern w:val="0"/>
                <w:sz w:val="24"/>
                <w:szCs w:val="24"/>
                <w:lang w:eastAsia="zh-CN"/>
              </w:rPr>
              <w:t>图集》，项目位于一般管控区。</w:t>
            </w:r>
          </w:p>
          <w:p w14:paraId="7BB6886F">
            <w:pPr>
              <w:pStyle w:val="41"/>
              <w:spacing w:line="360" w:lineRule="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一般防控区：“依据《中华人民共和国土壤污染防治法》、《土壤污染防治行动计划》、《安徽省土壤污染防治工作方案》、《安徽省“十三五”环境保护规划》等要求及各市土壤污染防治工作方案对一般管控区实施管控。”</w:t>
            </w:r>
          </w:p>
          <w:p w14:paraId="5CB48845">
            <w:pPr>
              <w:pStyle w:val="41"/>
              <w:spacing w:line="360" w:lineRule="auto"/>
              <w:rPr>
                <w:rFonts w:hint="eastAsia" w:ascii="宋体" w:hAnsi="宋体" w:eastAsia="宋体" w:cs="宋体"/>
                <w:color w:val="auto"/>
                <w:kern w:val="0"/>
                <w:sz w:val="24"/>
                <w:szCs w:val="24"/>
                <w:lang w:eastAsia="zh-CN"/>
              </w:rPr>
            </w:pPr>
            <w:r>
              <w:rPr>
                <w:rFonts w:hint="eastAsia" w:ascii="宋体" w:hAnsi="宋体" w:eastAsia="宋体" w:cs="宋体"/>
                <w:color w:val="auto"/>
                <w:kern w:val="0"/>
                <w:sz w:val="24"/>
                <w:szCs w:val="24"/>
                <w:lang w:eastAsia="zh-CN"/>
              </w:rPr>
              <w:t>本项目固废按照国家有关规定进行安全处置，其中危险废物暂存于设置危废暂存间，定期交由有资质单位处理，危废暂存间采取重点防渗措施，对土壤影响较小。符合土壤环境质量底线及环境分区管控要求。</w:t>
            </w:r>
          </w:p>
          <w:p w14:paraId="26EF2789">
            <w:pPr>
              <w:pStyle w:val="41"/>
              <w:spacing w:line="360" w:lineRule="auto"/>
              <w:rPr>
                <w:rFonts w:ascii="Times New Roman" w:hAnsi="Times New Roman" w:eastAsia="宋体" w:cs="Times New Roman"/>
                <w:color w:val="auto"/>
                <w:kern w:val="0"/>
                <w:sz w:val="24"/>
                <w:szCs w:val="24"/>
              </w:rPr>
            </w:pPr>
            <w:r>
              <w:rPr>
                <w:rFonts w:ascii="Times New Roman" w:hAnsi="Times New Roman" w:eastAsia="宋体" w:cs="Times New Roman"/>
                <w:color w:val="auto"/>
                <w:kern w:val="0"/>
                <w:sz w:val="24"/>
                <w:szCs w:val="24"/>
              </w:rPr>
              <w:t>（3）</w:t>
            </w:r>
            <w:r>
              <w:rPr>
                <w:rFonts w:hint="eastAsia" w:ascii="Times New Roman" w:hAnsi="Times New Roman" w:eastAsia="宋体" w:cs="Times New Roman"/>
                <w:color w:val="auto"/>
                <w:kern w:val="0"/>
                <w:sz w:val="24"/>
                <w:szCs w:val="24"/>
              </w:rPr>
              <w:t>资源利用上线及自然资源开发分区管控相符性</w:t>
            </w:r>
          </w:p>
          <w:p w14:paraId="744A60A1">
            <w:pPr>
              <w:pStyle w:val="41"/>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①煤炭资源利用上线及分区管控</w:t>
            </w:r>
          </w:p>
          <w:p w14:paraId="62EA7BC7">
            <w:pPr>
              <w:spacing w:line="360" w:lineRule="auto"/>
              <w:ind w:firstLine="480" w:firstLineChars="200"/>
              <w:rPr>
                <w:rFonts w:hint="eastAsia" w:ascii="Times New Roman" w:hAnsi="Times New Roman" w:eastAsia="宋体" w:cs="Times New Roman"/>
                <w:color w:val="auto"/>
                <w:kern w:val="0"/>
                <w:sz w:val="24"/>
                <w:szCs w:val="24"/>
                <w:lang w:eastAsia="zh-CN"/>
              </w:rPr>
            </w:pPr>
            <w:r>
              <w:rPr>
                <w:rFonts w:hint="eastAsia" w:ascii="宋体" w:hAnsi="宋体" w:eastAsia="宋体" w:cs="宋体"/>
                <w:color w:val="auto"/>
                <w:kern w:val="0"/>
                <w:sz w:val="24"/>
                <w:szCs w:val="24"/>
                <w:lang w:eastAsia="zh-CN"/>
              </w:rPr>
              <w:t>对照《</w:t>
            </w:r>
            <w:r>
              <w:rPr>
                <w:rFonts w:hint="eastAsia" w:ascii="宋体" w:hAnsi="宋体" w:eastAsia="宋体" w:cs="宋体"/>
                <w:b w:val="0"/>
                <w:bCs w:val="0"/>
                <w:color w:val="auto"/>
                <w:sz w:val="24"/>
                <w:szCs w:val="24"/>
                <w:lang w:val="en-US" w:eastAsia="zh-CN"/>
              </w:rPr>
              <w:t>淮北市“三线一单”</w:t>
            </w:r>
            <w:r>
              <w:rPr>
                <w:rFonts w:hint="eastAsia" w:ascii="宋体" w:hAnsi="宋体" w:eastAsia="宋体" w:cs="宋体"/>
                <w:color w:val="auto"/>
                <w:kern w:val="0"/>
                <w:sz w:val="24"/>
                <w:szCs w:val="24"/>
                <w:lang w:eastAsia="zh-CN"/>
              </w:rPr>
              <w:t>图集》，项目位于高污染燃料禁燃区。</w:t>
            </w:r>
          </w:p>
          <w:p w14:paraId="6700DA4F">
            <w:pPr>
              <w:pStyle w:val="41"/>
              <w:spacing w:line="360" w:lineRule="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重点管控区：“高污染燃料禁燃区内，禁止销售、燃用高污染燃料；禁止新建、扩建燃用高污染燃料的设施（新建、改建集中供热和现有火电厂锅炉改造的除外，但煤炭消费量和污染物排放总量需满足相关规定要求），已建成的，应当改用天然气、液化石油气、电或者其他清洁能源。”</w:t>
            </w:r>
          </w:p>
          <w:p w14:paraId="5FAFBADB">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本项目不使用煤炭等高污染燃料，</w:t>
            </w:r>
            <w:r>
              <w:rPr>
                <w:rFonts w:hint="eastAsia" w:ascii="Times New Roman" w:hAnsi="Times New Roman" w:cs="Times New Roman"/>
                <w:color w:val="auto"/>
                <w:sz w:val="24"/>
                <w:szCs w:val="24"/>
                <w:lang w:eastAsia="zh-CN"/>
              </w:rPr>
              <w:t>使用液化石油气等燃料，</w:t>
            </w:r>
            <w:r>
              <w:rPr>
                <w:rFonts w:hint="default" w:ascii="Times New Roman" w:hAnsi="Times New Roman" w:cs="Times New Roman"/>
                <w:color w:val="auto"/>
                <w:sz w:val="24"/>
                <w:szCs w:val="24"/>
              </w:rPr>
              <w:t>符合分区管控要求。</w:t>
            </w:r>
          </w:p>
          <w:p w14:paraId="0451C84E">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②水资源利用上线及分区管控</w:t>
            </w:r>
          </w:p>
          <w:p w14:paraId="3B2D63BC">
            <w:pPr>
              <w:spacing w:line="360" w:lineRule="auto"/>
              <w:ind w:firstLine="480" w:firstLineChars="200"/>
              <w:rPr>
                <w:rFonts w:hint="eastAsia" w:ascii="宋体" w:hAnsi="宋体" w:eastAsia="宋体" w:cs="宋体"/>
                <w:color w:val="auto"/>
                <w:kern w:val="0"/>
                <w:sz w:val="24"/>
                <w:szCs w:val="24"/>
                <w:lang w:eastAsia="zh-CN"/>
              </w:rPr>
            </w:pPr>
            <w:r>
              <w:rPr>
                <w:rFonts w:hint="eastAsia" w:ascii="宋体" w:hAnsi="宋体" w:eastAsia="宋体" w:cs="宋体"/>
                <w:color w:val="auto"/>
                <w:kern w:val="0"/>
                <w:sz w:val="24"/>
                <w:szCs w:val="24"/>
                <w:lang w:eastAsia="zh-CN"/>
              </w:rPr>
              <w:t>对照《</w:t>
            </w:r>
            <w:r>
              <w:rPr>
                <w:rFonts w:hint="eastAsia" w:ascii="宋体" w:hAnsi="宋体" w:eastAsia="宋体" w:cs="宋体"/>
                <w:b w:val="0"/>
                <w:bCs w:val="0"/>
                <w:color w:val="auto"/>
                <w:sz w:val="24"/>
                <w:szCs w:val="24"/>
                <w:lang w:val="en-US" w:eastAsia="zh-CN"/>
              </w:rPr>
              <w:t>淮北市“三线一单”</w:t>
            </w:r>
            <w:r>
              <w:rPr>
                <w:rFonts w:hint="eastAsia" w:ascii="宋体" w:hAnsi="宋体" w:eastAsia="宋体" w:cs="宋体"/>
                <w:color w:val="auto"/>
                <w:kern w:val="0"/>
                <w:sz w:val="24"/>
                <w:szCs w:val="24"/>
                <w:lang w:eastAsia="zh-CN"/>
              </w:rPr>
              <w:t>图集》，项目位于地下水开采重点管控区。</w:t>
            </w:r>
          </w:p>
          <w:p w14:paraId="23C30DDF">
            <w:pPr>
              <w:spacing w:line="360" w:lineRule="auto"/>
              <w:ind w:firstLine="480" w:firstLineChars="20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管控要求：“</w:t>
            </w:r>
            <w:r>
              <w:rPr>
                <w:rFonts w:hint="eastAsia" w:ascii="仿宋" w:hAnsi="仿宋"/>
                <w:bCs/>
                <w:color w:val="auto"/>
                <w:sz w:val="24"/>
                <w:szCs w:val="24"/>
              </w:rPr>
              <w:t>落实《国务院办公厅关于印发实行最严格水资源管理制度考核办法的通知》</w:t>
            </w:r>
            <w:r>
              <w:rPr>
                <w:rFonts w:hint="eastAsia" w:ascii="仿宋" w:hAnsi="仿宋"/>
                <w:bCs/>
                <w:color w:val="auto"/>
                <w:sz w:val="24"/>
                <w:szCs w:val="24"/>
                <w:lang w:eastAsia="zh-CN"/>
              </w:rPr>
              <w:t>、</w:t>
            </w:r>
            <w:r>
              <w:rPr>
                <w:rFonts w:hint="eastAsia" w:ascii="仿宋" w:hAnsi="仿宋"/>
                <w:bCs/>
                <w:color w:val="auto"/>
                <w:sz w:val="24"/>
                <w:szCs w:val="24"/>
              </w:rPr>
              <w:t>《“十三五”水资源消耗总量和强度双控行动方案》</w:t>
            </w:r>
            <w:r>
              <w:rPr>
                <w:rFonts w:hint="eastAsia" w:ascii="仿宋" w:hAnsi="仿宋"/>
                <w:bCs/>
                <w:color w:val="auto"/>
                <w:sz w:val="24"/>
                <w:szCs w:val="24"/>
                <w:lang w:eastAsia="zh-CN"/>
              </w:rPr>
              <w:t>、</w:t>
            </w:r>
            <w:r>
              <w:rPr>
                <w:rFonts w:hint="eastAsia" w:ascii="仿宋" w:hAnsi="仿宋"/>
                <w:bCs/>
                <w:color w:val="auto"/>
                <w:sz w:val="24"/>
                <w:szCs w:val="24"/>
              </w:rPr>
              <w:t>《安徽省“十三五”水资源消耗总量和强度双控工作方案》等要求。</w:t>
            </w:r>
            <w:r>
              <w:rPr>
                <w:rFonts w:hint="eastAsia" w:ascii="Times New Roman" w:hAnsi="Times New Roman" w:cs="Times New Roman"/>
                <w:color w:val="auto"/>
                <w:sz w:val="24"/>
                <w:szCs w:val="24"/>
                <w:lang w:val="en-US" w:eastAsia="zh-CN"/>
              </w:rPr>
              <w:t>”</w:t>
            </w:r>
          </w:p>
          <w:p w14:paraId="718E1D34">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本项目用水来自市政供水管网，用水量较小，</w:t>
            </w:r>
            <w:r>
              <w:rPr>
                <w:rFonts w:hint="default" w:ascii="Times New Roman" w:hAnsi="Times New Roman" w:cs="Times New Roman"/>
                <w:color w:val="auto"/>
                <w:sz w:val="24"/>
                <w:szCs w:val="24"/>
              </w:rPr>
              <w:t>不会突破水资源利用上线。</w:t>
            </w:r>
          </w:p>
          <w:p w14:paraId="5699BD35">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③土地资源利用上线及分区管控</w:t>
            </w:r>
          </w:p>
          <w:p w14:paraId="034FCDB8">
            <w:pPr>
              <w:spacing w:line="360" w:lineRule="auto"/>
              <w:ind w:firstLine="480" w:firstLineChars="200"/>
              <w:rPr>
                <w:rFonts w:hint="eastAsia" w:ascii="宋体" w:hAnsi="宋体" w:eastAsia="宋体" w:cs="宋体"/>
                <w:color w:val="auto"/>
                <w:kern w:val="0"/>
                <w:sz w:val="24"/>
                <w:szCs w:val="24"/>
                <w:lang w:eastAsia="zh-CN"/>
              </w:rPr>
            </w:pPr>
            <w:r>
              <w:rPr>
                <w:rFonts w:hint="eastAsia" w:ascii="宋体" w:hAnsi="宋体" w:eastAsia="宋体" w:cs="宋体"/>
                <w:color w:val="auto"/>
                <w:kern w:val="0"/>
                <w:sz w:val="24"/>
                <w:szCs w:val="24"/>
                <w:lang w:eastAsia="zh-CN"/>
              </w:rPr>
              <w:t>对照《</w:t>
            </w:r>
            <w:r>
              <w:rPr>
                <w:rFonts w:hint="eastAsia" w:ascii="宋体" w:hAnsi="宋体" w:eastAsia="宋体" w:cs="宋体"/>
                <w:b w:val="0"/>
                <w:bCs w:val="0"/>
                <w:color w:val="auto"/>
                <w:sz w:val="24"/>
                <w:szCs w:val="24"/>
                <w:lang w:val="en-US" w:eastAsia="zh-CN"/>
              </w:rPr>
              <w:t>淮北市“三线一单”</w:t>
            </w:r>
            <w:r>
              <w:rPr>
                <w:rFonts w:hint="eastAsia" w:ascii="宋体" w:hAnsi="宋体" w:eastAsia="宋体" w:cs="宋体"/>
                <w:color w:val="auto"/>
                <w:kern w:val="0"/>
                <w:sz w:val="24"/>
                <w:szCs w:val="24"/>
                <w:lang w:eastAsia="zh-CN"/>
              </w:rPr>
              <w:t>图集》，项目位于土地资源一般防控区。</w:t>
            </w:r>
          </w:p>
          <w:p w14:paraId="246F1644">
            <w:pPr>
              <w:spacing w:line="360" w:lineRule="auto"/>
              <w:ind w:firstLine="480" w:firstLineChars="200"/>
              <w:rPr>
                <w:rFonts w:hint="eastAsia" w:ascii="宋体" w:hAnsi="宋体" w:eastAsia="宋体" w:cs="宋体"/>
                <w:bCs/>
                <w:color w:val="auto"/>
                <w:sz w:val="24"/>
                <w:szCs w:val="24"/>
                <w:lang w:eastAsia="zh-CN"/>
              </w:rPr>
            </w:pPr>
            <w:r>
              <w:rPr>
                <w:rFonts w:hint="default" w:ascii="Times New Roman" w:hAnsi="Times New Roman" w:eastAsia="宋体" w:cs="Times New Roman"/>
                <w:color w:val="auto"/>
                <w:kern w:val="0"/>
                <w:sz w:val="24"/>
                <w:szCs w:val="24"/>
                <w:lang w:eastAsia="zh-CN"/>
              </w:rPr>
              <w:t>管控要求：</w:t>
            </w:r>
            <w:r>
              <w:rPr>
                <w:rFonts w:hint="eastAsia" w:ascii="宋体" w:hAnsi="宋体" w:eastAsia="宋体" w:cs="宋体"/>
                <w:color w:val="auto"/>
                <w:kern w:val="0"/>
                <w:sz w:val="24"/>
                <w:szCs w:val="24"/>
                <w:lang w:eastAsia="zh-CN"/>
              </w:rPr>
              <w:t>“</w:t>
            </w:r>
            <w:r>
              <w:rPr>
                <w:rFonts w:hint="eastAsia" w:ascii="宋体" w:hAnsi="宋体" w:eastAsia="宋体" w:cs="宋体"/>
                <w:bCs/>
                <w:color w:val="auto"/>
                <w:sz w:val="24"/>
                <w:szCs w:val="24"/>
              </w:rPr>
              <w:t>落实《安徽省土地利用总体规划（</w:t>
            </w:r>
            <w:r>
              <w:rPr>
                <w:rFonts w:hint="default" w:ascii="Times New Roman" w:hAnsi="Times New Roman" w:eastAsia="宋体" w:cs="Times New Roman"/>
                <w:bCs/>
                <w:color w:val="auto"/>
                <w:sz w:val="24"/>
                <w:szCs w:val="24"/>
              </w:rPr>
              <w:t>2006-2020年</w:t>
            </w:r>
            <w:r>
              <w:rPr>
                <w:rFonts w:hint="eastAsia" w:ascii="宋体" w:hAnsi="宋体" w:eastAsia="宋体" w:cs="宋体"/>
                <w:bCs/>
                <w:color w:val="auto"/>
                <w:sz w:val="24"/>
                <w:szCs w:val="24"/>
              </w:rPr>
              <w:t>）调整方案》</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《关于落实“十三五”单位国内生产总值建设用地使用面积下降目标的指导意见的通知》</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《国土资源“十三五”规划纲要》</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《安徽省国土资源“十三五”规划》等要求。</w:t>
            </w:r>
            <w:r>
              <w:rPr>
                <w:rFonts w:hint="eastAsia" w:ascii="宋体" w:hAnsi="宋体" w:eastAsia="宋体" w:cs="宋体"/>
                <w:bCs/>
                <w:color w:val="auto"/>
                <w:sz w:val="24"/>
                <w:szCs w:val="24"/>
                <w:lang w:eastAsia="zh-CN"/>
              </w:rPr>
              <w:t>”</w:t>
            </w:r>
          </w:p>
          <w:p w14:paraId="68581211">
            <w:pPr>
              <w:spacing w:line="360" w:lineRule="auto"/>
              <w:ind w:firstLine="480" w:firstLineChars="200"/>
              <w:rPr>
                <w:rFonts w:hint="default" w:ascii="宋体" w:hAnsi="宋体" w:eastAsia="宋体" w:cs="宋体"/>
                <w:bCs/>
                <w:color w:val="auto"/>
                <w:sz w:val="24"/>
                <w:szCs w:val="24"/>
                <w:lang w:val="en-US" w:eastAsia="zh-CN"/>
              </w:rPr>
            </w:pPr>
            <w:r>
              <w:rPr>
                <w:rFonts w:hint="default" w:ascii="宋体" w:hAnsi="宋体" w:eastAsia="宋体" w:cs="宋体"/>
                <w:bCs/>
                <w:color w:val="auto"/>
                <w:sz w:val="24"/>
                <w:szCs w:val="24"/>
                <w:lang w:val="en-US" w:eastAsia="zh-CN"/>
              </w:rPr>
              <w:t>本项目位于</w:t>
            </w:r>
            <w:r>
              <w:rPr>
                <w:rFonts w:hint="eastAsia" w:ascii="宋体" w:hAnsi="宋体" w:eastAsia="宋体" w:cs="宋体"/>
                <w:bCs/>
                <w:color w:val="auto"/>
                <w:sz w:val="24"/>
                <w:szCs w:val="24"/>
                <w:lang w:val="en-US" w:eastAsia="zh-CN"/>
              </w:rPr>
              <w:t>淮北临涣化工园区</w:t>
            </w:r>
            <w:r>
              <w:rPr>
                <w:rFonts w:hint="default" w:ascii="宋体" w:hAnsi="宋体" w:eastAsia="宋体" w:cs="宋体"/>
                <w:bCs/>
                <w:color w:val="auto"/>
                <w:sz w:val="24"/>
                <w:szCs w:val="24"/>
                <w:lang w:val="en-US" w:eastAsia="zh-CN"/>
              </w:rPr>
              <w:t>，项目</w:t>
            </w:r>
            <w:r>
              <w:rPr>
                <w:rFonts w:hint="eastAsia" w:ascii="宋体" w:hAnsi="宋体" w:eastAsia="宋体" w:cs="宋体"/>
                <w:bCs/>
                <w:color w:val="auto"/>
                <w:sz w:val="24"/>
                <w:szCs w:val="24"/>
                <w:lang w:val="en-US" w:eastAsia="zh-CN"/>
              </w:rPr>
              <w:t>用地性质</w:t>
            </w:r>
            <w:r>
              <w:rPr>
                <w:rFonts w:hint="default" w:ascii="宋体" w:hAnsi="宋体" w:eastAsia="宋体" w:cs="宋体"/>
                <w:bCs/>
                <w:color w:val="auto"/>
                <w:sz w:val="24"/>
                <w:szCs w:val="24"/>
                <w:lang w:val="en-US" w:eastAsia="zh-CN"/>
              </w:rPr>
              <w:t>为</w:t>
            </w:r>
            <w:r>
              <w:rPr>
                <w:rFonts w:hint="eastAsia" w:ascii="宋体" w:hAnsi="宋体" w:eastAsia="宋体" w:cs="宋体"/>
                <w:bCs/>
                <w:color w:val="auto"/>
                <w:sz w:val="24"/>
                <w:szCs w:val="24"/>
                <w:lang w:val="en-US" w:eastAsia="zh-CN"/>
              </w:rPr>
              <w:t>城镇村及工况用地</w:t>
            </w:r>
            <w:r>
              <w:rPr>
                <w:rFonts w:hint="default" w:ascii="宋体" w:hAnsi="宋体" w:eastAsia="宋体" w:cs="宋体"/>
                <w:bCs/>
                <w:color w:val="auto"/>
                <w:sz w:val="24"/>
                <w:szCs w:val="24"/>
                <w:lang w:val="en-US" w:eastAsia="zh-CN"/>
              </w:rPr>
              <w:t>，不会突破土地资源利用上线。</w:t>
            </w:r>
          </w:p>
          <w:p w14:paraId="4381C310">
            <w:pPr>
              <w:spacing w:line="360" w:lineRule="auto"/>
              <w:ind w:firstLine="480" w:firstLineChars="200"/>
              <w:rPr>
                <w:rFonts w:hint="default" w:ascii="宋体" w:hAnsi="宋体" w:eastAsia="宋体" w:cs="宋体"/>
                <w:bCs/>
                <w:color w:val="auto"/>
                <w:sz w:val="24"/>
                <w:szCs w:val="24"/>
                <w:lang w:val="en-US" w:eastAsia="zh-CN"/>
              </w:rPr>
            </w:pPr>
            <w:r>
              <w:rPr>
                <w:rFonts w:hint="default" w:ascii="宋体" w:hAnsi="宋体" w:eastAsia="宋体" w:cs="宋体"/>
                <w:bCs/>
                <w:color w:val="auto"/>
                <w:sz w:val="24"/>
                <w:szCs w:val="24"/>
                <w:lang w:val="en-US" w:eastAsia="zh-CN"/>
              </w:rPr>
              <w:t>（4）</w:t>
            </w:r>
            <w:r>
              <w:rPr>
                <w:rFonts w:hint="eastAsia" w:ascii="宋体" w:hAnsi="宋体" w:eastAsia="宋体" w:cs="宋体"/>
                <w:bCs/>
                <w:color w:val="auto"/>
                <w:sz w:val="24"/>
                <w:szCs w:val="24"/>
                <w:lang w:val="en-US" w:eastAsia="zh-CN"/>
              </w:rPr>
              <w:t>生态环境</w:t>
            </w:r>
            <w:r>
              <w:rPr>
                <w:rFonts w:hint="default" w:ascii="宋体" w:hAnsi="宋体" w:eastAsia="宋体" w:cs="宋体"/>
                <w:bCs/>
                <w:color w:val="auto"/>
                <w:sz w:val="24"/>
                <w:szCs w:val="24"/>
                <w:lang w:val="en-US" w:eastAsia="zh-CN"/>
              </w:rPr>
              <w:t>准入清单相符性</w:t>
            </w:r>
          </w:p>
          <w:p w14:paraId="50A3928E">
            <w:pPr>
              <w:spacing w:line="360" w:lineRule="auto"/>
              <w:ind w:firstLine="480" w:firstLineChars="200"/>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①环境管控单元划定及分类管控</w:t>
            </w:r>
          </w:p>
          <w:p w14:paraId="299E7B7C">
            <w:pPr>
              <w:spacing w:line="360" w:lineRule="auto"/>
              <w:ind w:firstLine="480" w:firstLineChars="200"/>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对照《淮北市“三线一单”图集》，项目位于重点管控单元。</w:t>
            </w:r>
          </w:p>
          <w:p w14:paraId="06E8A3CA">
            <w:pPr>
              <w:spacing w:line="360" w:lineRule="auto"/>
              <w:ind w:firstLine="480" w:firstLineChars="200"/>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②生态环境准入清单</w:t>
            </w:r>
          </w:p>
          <w:p w14:paraId="05C2D6A4">
            <w:pPr>
              <w:spacing w:line="360" w:lineRule="auto"/>
              <w:ind w:firstLine="480" w:firstLineChars="200"/>
              <w:rPr>
                <w:rFonts w:hint="default" w:eastAsia="宋体"/>
                <w:color w:val="auto"/>
                <w:lang w:val="en-US" w:eastAsia="zh-CN"/>
              </w:rPr>
            </w:pPr>
            <w:r>
              <w:rPr>
                <w:rFonts w:hint="eastAsia" w:ascii="宋体" w:hAnsi="宋体" w:eastAsia="宋体" w:cs="宋体"/>
                <w:bCs/>
                <w:color w:val="auto"/>
                <w:sz w:val="24"/>
                <w:szCs w:val="24"/>
                <w:lang w:val="en-US" w:eastAsia="zh-CN"/>
              </w:rPr>
              <w:t>项目不属于淮北临涣化工园区总体发展规划（2022-2035年）环境影响报告书中负面清单项目。</w:t>
            </w:r>
          </w:p>
        </w:tc>
      </w:tr>
    </w:tbl>
    <w:p w14:paraId="38B422CF">
      <w:pPr>
        <w:jc w:val="left"/>
        <w:rPr>
          <w:b/>
          <w:bCs/>
          <w:color w:val="auto"/>
          <w:sz w:val="28"/>
          <w:szCs w:val="28"/>
        </w:rPr>
      </w:pPr>
      <w:r>
        <w:rPr>
          <w:rFonts w:hint="eastAsia"/>
          <w:b/>
          <w:bCs/>
          <w:color w:val="auto"/>
          <w:sz w:val="28"/>
          <w:szCs w:val="28"/>
        </w:rPr>
        <w:t>二、建设项目工程分析</w:t>
      </w:r>
    </w:p>
    <w:tbl>
      <w:tblPr>
        <w:tblStyle w:val="29"/>
        <w:tblW w:w="102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864"/>
      </w:tblGrid>
      <w:tr w14:paraId="621ADC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2" w:hRule="atLeast"/>
          <w:jc w:val="center"/>
        </w:trPr>
        <w:tc>
          <w:tcPr>
            <w:tcW w:w="426" w:type="dxa"/>
            <w:vAlign w:val="center"/>
          </w:tcPr>
          <w:p w14:paraId="0DC824B5">
            <w:pPr>
              <w:jc w:val="center"/>
              <w:rPr>
                <w:color w:val="auto"/>
                <w:szCs w:val="21"/>
              </w:rPr>
            </w:pPr>
            <w:r>
              <w:rPr>
                <w:rFonts w:hint="eastAsia"/>
                <w:color w:val="auto"/>
                <w:szCs w:val="21"/>
              </w:rPr>
              <w:t>建设内容</w:t>
            </w:r>
          </w:p>
        </w:tc>
        <w:tc>
          <w:tcPr>
            <w:tcW w:w="9013" w:type="dxa"/>
            <w:vAlign w:val="center"/>
          </w:tcPr>
          <w:p w14:paraId="7B540399">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lang w:val="en-US" w:eastAsia="zh-CN"/>
              </w:rPr>
              <w:t>1</w:t>
            </w:r>
            <w:r>
              <w:rPr>
                <w:rFonts w:ascii="Times New Roman" w:hAnsi="Times New Roman" w:cs="Times New Roman"/>
                <w:b/>
                <w:bCs/>
                <w:color w:val="auto"/>
                <w:sz w:val="24"/>
              </w:rPr>
              <w:t>、建设项目建设内容</w:t>
            </w:r>
          </w:p>
          <w:p w14:paraId="3D9B1893">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lang w:val="en-US" w:eastAsia="zh-CN"/>
              </w:rPr>
              <w:t>安徽长淮新材料有限公司年产</w:t>
            </w:r>
            <w:r>
              <w:rPr>
                <w:rFonts w:hint="default" w:ascii="Times New Roman" w:hAnsi="Times New Roman" w:cs="Times New Roman"/>
                <w:color w:val="auto"/>
                <w:sz w:val="24"/>
                <w:lang w:val="en-US" w:eastAsia="zh-CN"/>
              </w:rPr>
              <w:t>5</w:t>
            </w:r>
            <w:r>
              <w:rPr>
                <w:rFonts w:hint="eastAsia" w:ascii="Times New Roman" w:hAnsi="Times New Roman" w:cs="Times New Roman"/>
                <w:color w:val="auto"/>
                <w:sz w:val="24"/>
                <w:lang w:val="en-US" w:eastAsia="zh-CN"/>
              </w:rPr>
              <w:t>万吨环保型功能性添加剂项目于</w:t>
            </w:r>
            <w:r>
              <w:rPr>
                <w:rFonts w:hint="default" w:ascii="Times New Roman" w:hAnsi="Times New Roman" w:cs="Times New Roman"/>
                <w:color w:val="auto"/>
                <w:sz w:val="24"/>
                <w:lang w:val="en-US" w:eastAsia="zh-CN"/>
              </w:rPr>
              <w:t>2018</w:t>
            </w:r>
            <w:r>
              <w:rPr>
                <w:rFonts w:hint="eastAsia" w:ascii="Times New Roman" w:hAnsi="Times New Roman" w:cs="Times New Roman"/>
                <w:color w:val="auto"/>
                <w:sz w:val="24"/>
                <w:lang w:val="en-US" w:eastAsia="zh-CN"/>
              </w:rPr>
              <w:t>年</w:t>
            </w:r>
            <w:r>
              <w:rPr>
                <w:rFonts w:hint="default" w:ascii="Times New Roman" w:hAnsi="Times New Roman" w:cs="Times New Roman"/>
                <w:color w:val="auto"/>
                <w:sz w:val="24"/>
                <w:lang w:val="en-US" w:eastAsia="zh-CN"/>
              </w:rPr>
              <w:t>10</w:t>
            </w:r>
            <w:r>
              <w:rPr>
                <w:rFonts w:hint="eastAsia" w:ascii="Times New Roman" w:hAnsi="Times New Roman" w:cs="Times New Roman"/>
                <w:color w:val="auto"/>
                <w:sz w:val="24"/>
                <w:lang w:val="en-US" w:eastAsia="zh-CN"/>
              </w:rPr>
              <w:t>月</w:t>
            </w:r>
            <w:r>
              <w:rPr>
                <w:rFonts w:hint="default" w:ascii="Times New Roman" w:hAnsi="Times New Roman" w:cs="Times New Roman"/>
                <w:color w:val="auto"/>
                <w:sz w:val="24"/>
                <w:lang w:val="en-US" w:eastAsia="zh-CN"/>
              </w:rPr>
              <w:t>19</w:t>
            </w:r>
            <w:r>
              <w:rPr>
                <w:rFonts w:hint="eastAsia" w:ascii="Times New Roman" w:hAnsi="Times New Roman" w:cs="Times New Roman"/>
                <w:color w:val="auto"/>
                <w:sz w:val="24"/>
                <w:lang w:val="en-US" w:eastAsia="zh-CN"/>
              </w:rPr>
              <w:t>日取得淮北市环境保护局下发的淮环行【</w:t>
            </w:r>
            <w:r>
              <w:rPr>
                <w:rFonts w:hint="default" w:ascii="Times New Roman" w:hAnsi="Times New Roman" w:cs="Times New Roman"/>
                <w:color w:val="auto"/>
                <w:sz w:val="24"/>
                <w:lang w:val="en-US" w:eastAsia="zh-CN"/>
              </w:rPr>
              <w:t>2018</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lang w:val="en-US" w:eastAsia="zh-CN"/>
              </w:rPr>
              <w:t>40</w:t>
            </w:r>
            <w:r>
              <w:rPr>
                <w:rFonts w:hint="eastAsia" w:ascii="Times New Roman" w:hAnsi="Times New Roman" w:cs="Times New Roman"/>
                <w:color w:val="auto"/>
                <w:sz w:val="24"/>
                <w:lang w:val="en-US" w:eastAsia="zh-CN"/>
              </w:rPr>
              <w:t>号批复文件。2019年开工建设，2022年3月通过自主竣工环保验收。助力产品质量，提高企业竞争力，建设研发实验室，对项目产品进行小试和质量检测。本项目实验规模为小试，不涉及中试放大及生产，研发样品不作为产品外售。</w:t>
            </w:r>
          </w:p>
          <w:p w14:paraId="239D1087">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本</w:t>
            </w:r>
            <w:r>
              <w:rPr>
                <w:rFonts w:ascii="Times New Roman" w:hAnsi="Times New Roman" w:cs="Times New Roman"/>
                <w:color w:val="auto"/>
                <w:sz w:val="24"/>
              </w:rPr>
              <w:t>项目建设内容</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rPr>
              <w:t>规划775平方化验室一处，建设地点位于安徽长淮新材料有限公司公用工程房二楼原预留用房内，化验室包含检测试剂存放区、仪器存放区、检测区、研发小试区、成果展示区、记录区。</w:t>
            </w:r>
            <w:r>
              <w:rPr>
                <w:rFonts w:ascii="Times New Roman" w:hAnsi="Times New Roman" w:cs="Times New Roman"/>
                <w:color w:val="auto"/>
                <w:sz w:val="24"/>
              </w:rPr>
              <w:t>建设内容一览表见表2.</w:t>
            </w:r>
            <w:r>
              <w:rPr>
                <w:rFonts w:hint="eastAsia" w:ascii="Times New Roman" w:hAnsi="Times New Roman" w:cs="Times New Roman"/>
                <w:color w:val="auto"/>
                <w:sz w:val="24"/>
              </w:rPr>
              <w:t>1</w:t>
            </w:r>
            <w:r>
              <w:rPr>
                <w:rFonts w:ascii="Times New Roman" w:hAnsi="Times New Roman" w:cs="Times New Roman"/>
                <w:color w:val="auto"/>
                <w:sz w:val="24"/>
              </w:rPr>
              <w:t>。</w:t>
            </w:r>
          </w:p>
          <w:p w14:paraId="1586A7C3">
            <w:pPr>
              <w:jc w:val="center"/>
              <w:rPr>
                <w:rFonts w:ascii="Times New Roman" w:hAnsi="Times New Roman" w:cs="Times New Roman"/>
                <w:b/>
                <w:bCs/>
                <w:color w:val="auto"/>
                <w:sz w:val="24"/>
              </w:rPr>
            </w:pPr>
            <w:r>
              <w:rPr>
                <w:rFonts w:ascii="Times New Roman" w:hAnsi="Times New Roman" w:cs="Times New Roman"/>
                <w:b/>
                <w:bCs/>
                <w:color w:val="auto"/>
                <w:sz w:val="24"/>
              </w:rPr>
              <w:t>表2.</w:t>
            </w:r>
            <w:r>
              <w:rPr>
                <w:rFonts w:hint="eastAsia" w:ascii="Times New Roman" w:hAnsi="Times New Roman" w:cs="Times New Roman"/>
                <w:b/>
                <w:bCs/>
                <w:color w:val="auto"/>
                <w:sz w:val="24"/>
              </w:rPr>
              <w:t>1  本</w:t>
            </w:r>
            <w:r>
              <w:rPr>
                <w:rFonts w:ascii="Times New Roman" w:hAnsi="Times New Roman" w:cs="Times New Roman"/>
                <w:b/>
                <w:bCs/>
                <w:color w:val="auto"/>
                <w:sz w:val="24"/>
              </w:rPr>
              <w:t>项目建设内容一览表</w:t>
            </w:r>
          </w:p>
          <w:tbl>
            <w:tblPr>
              <w:tblStyle w:val="2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709"/>
              <w:gridCol w:w="1020"/>
              <w:gridCol w:w="5572"/>
              <w:gridCol w:w="1290"/>
            </w:tblGrid>
            <w:tr w14:paraId="608C6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Align w:val="center"/>
                </w:tcPr>
                <w:p w14:paraId="28AE0E2F">
                  <w:pPr>
                    <w:jc w:val="center"/>
                    <w:rPr>
                      <w:rFonts w:ascii="Times New Roman" w:hAnsi="Times New Roman" w:cs="Times New Roman"/>
                      <w:color w:val="auto"/>
                      <w:szCs w:val="21"/>
                    </w:rPr>
                  </w:pPr>
                  <w:r>
                    <w:rPr>
                      <w:rFonts w:ascii="Times New Roman" w:hAnsi="Times New Roman" w:cs="Times New Roman"/>
                      <w:color w:val="auto"/>
                      <w:szCs w:val="21"/>
                    </w:rPr>
                    <w:t>工程类别</w:t>
                  </w:r>
                </w:p>
              </w:tc>
              <w:tc>
                <w:tcPr>
                  <w:tcW w:w="1729" w:type="dxa"/>
                  <w:gridSpan w:val="2"/>
                  <w:vAlign w:val="center"/>
                </w:tcPr>
                <w:p w14:paraId="059B512A">
                  <w:pPr>
                    <w:jc w:val="center"/>
                    <w:rPr>
                      <w:rFonts w:ascii="Times New Roman" w:hAnsi="Times New Roman" w:cs="Times New Roman"/>
                      <w:color w:val="auto"/>
                      <w:szCs w:val="21"/>
                    </w:rPr>
                  </w:pPr>
                  <w:r>
                    <w:rPr>
                      <w:rFonts w:ascii="Times New Roman" w:hAnsi="Times New Roman" w:cs="Times New Roman"/>
                      <w:color w:val="auto"/>
                      <w:szCs w:val="21"/>
                    </w:rPr>
                    <w:t>单项工程</w:t>
                  </w:r>
                </w:p>
              </w:tc>
              <w:tc>
                <w:tcPr>
                  <w:tcW w:w="5572" w:type="dxa"/>
                  <w:vAlign w:val="center"/>
                </w:tcPr>
                <w:p w14:paraId="3A799F4A">
                  <w:pPr>
                    <w:jc w:val="center"/>
                    <w:rPr>
                      <w:rFonts w:ascii="Times New Roman" w:hAnsi="Times New Roman" w:cs="Times New Roman"/>
                      <w:color w:val="auto"/>
                      <w:szCs w:val="21"/>
                    </w:rPr>
                  </w:pPr>
                  <w:r>
                    <w:rPr>
                      <w:rFonts w:ascii="Times New Roman" w:hAnsi="Times New Roman" w:cs="Times New Roman"/>
                      <w:color w:val="auto"/>
                      <w:szCs w:val="21"/>
                    </w:rPr>
                    <w:t>工程内容及规模</w:t>
                  </w:r>
                </w:p>
              </w:tc>
              <w:tc>
                <w:tcPr>
                  <w:tcW w:w="1290" w:type="dxa"/>
                  <w:vAlign w:val="center"/>
                </w:tcPr>
                <w:p w14:paraId="269BD964">
                  <w:pPr>
                    <w:jc w:val="center"/>
                    <w:rPr>
                      <w:rFonts w:ascii="Times New Roman" w:hAnsi="Times New Roman" w:cs="Times New Roman"/>
                      <w:color w:val="auto"/>
                      <w:szCs w:val="21"/>
                    </w:rPr>
                  </w:pPr>
                  <w:r>
                    <w:rPr>
                      <w:rFonts w:hint="eastAsia" w:ascii="Times New Roman" w:hAnsi="Times New Roman" w:cs="Times New Roman"/>
                      <w:color w:val="auto"/>
                      <w:szCs w:val="21"/>
                    </w:rPr>
                    <w:t>备注</w:t>
                  </w:r>
                </w:p>
              </w:tc>
            </w:tr>
            <w:tr w14:paraId="5AC9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047" w:type="dxa"/>
                  <w:shd w:val="clear" w:color="auto" w:fill="auto"/>
                  <w:vAlign w:val="center"/>
                </w:tcPr>
                <w:p w14:paraId="440A5749">
                  <w:pPr>
                    <w:jc w:val="center"/>
                    <w:rPr>
                      <w:rFonts w:ascii="Times New Roman" w:hAnsi="Times New Roman" w:cs="Times New Roman"/>
                      <w:color w:val="auto"/>
                      <w:szCs w:val="21"/>
                    </w:rPr>
                  </w:pPr>
                  <w:r>
                    <w:rPr>
                      <w:rFonts w:ascii="Times New Roman" w:hAnsi="Times New Roman" w:cs="Times New Roman"/>
                      <w:color w:val="auto"/>
                      <w:szCs w:val="21"/>
                    </w:rPr>
                    <w:t>主体</w:t>
                  </w:r>
                </w:p>
                <w:p w14:paraId="19AA6074">
                  <w:pPr>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Cs w:val="21"/>
                    </w:rPr>
                    <w:t>工程</w:t>
                  </w:r>
                </w:p>
              </w:tc>
              <w:tc>
                <w:tcPr>
                  <w:tcW w:w="709" w:type="dxa"/>
                  <w:shd w:val="clear" w:color="auto" w:fill="auto"/>
                  <w:vAlign w:val="center"/>
                </w:tcPr>
                <w:p w14:paraId="143C6283">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
                      <w:bCs/>
                      <w:color w:val="auto"/>
                      <w:szCs w:val="21"/>
                      <w:lang w:val="en-US" w:eastAsia="zh-CN"/>
                    </w:rPr>
                    <w:t>化验室</w:t>
                  </w:r>
                </w:p>
              </w:tc>
              <w:tc>
                <w:tcPr>
                  <w:tcW w:w="1020" w:type="dxa"/>
                  <w:vAlign w:val="center"/>
                </w:tcPr>
                <w:p w14:paraId="700D0760">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2F</w:t>
                  </w:r>
                </w:p>
              </w:tc>
              <w:tc>
                <w:tcPr>
                  <w:tcW w:w="5572" w:type="dxa"/>
                  <w:vAlign w:val="center"/>
                </w:tcPr>
                <w:p w14:paraId="1D7DA24E">
                  <w:pPr>
                    <w:jc w:val="left"/>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eastAsia="zh-CN"/>
                    </w:rPr>
                    <w:t>主要设有</w:t>
                  </w:r>
                  <w:r>
                    <w:rPr>
                      <w:rFonts w:hint="eastAsia" w:ascii="Times New Roman" w:hAnsi="Times New Roman" w:cs="Times New Roman"/>
                      <w:color w:val="auto"/>
                      <w:szCs w:val="21"/>
                      <w:lang w:val="en-US" w:eastAsia="zh-CN"/>
                    </w:rPr>
                    <w:t>化验室1间包含检测试剂存放区、仪器存放区、检测区、研发小试区、成果展示区。</w:t>
                  </w:r>
                </w:p>
              </w:tc>
              <w:tc>
                <w:tcPr>
                  <w:tcW w:w="1290" w:type="dxa"/>
                  <w:vAlign w:val="center"/>
                </w:tcPr>
                <w:p w14:paraId="407C5425">
                  <w:pPr>
                    <w:jc w:val="center"/>
                    <w:rPr>
                      <w:rFonts w:ascii="Times New Roman" w:hAnsi="Times New Roman" w:cs="Times New Roman"/>
                      <w:b/>
                      <w:bCs/>
                      <w:color w:val="auto"/>
                      <w:szCs w:val="21"/>
                      <w:u w:val="single"/>
                    </w:rPr>
                  </w:pPr>
                  <w:r>
                    <w:rPr>
                      <w:rFonts w:hint="eastAsia" w:ascii="Times New Roman" w:hAnsi="Times New Roman" w:cs="Times New Roman"/>
                      <w:b w:val="0"/>
                      <w:bCs w:val="0"/>
                      <w:color w:val="auto"/>
                      <w:szCs w:val="21"/>
                      <w:u w:val="none"/>
                      <w:lang w:eastAsia="zh-CN"/>
                    </w:rPr>
                    <w:t>装修，设备购置</w:t>
                  </w:r>
                </w:p>
              </w:tc>
            </w:tr>
            <w:tr w14:paraId="28AE2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7" w:type="dxa"/>
                  <w:vAlign w:val="center"/>
                </w:tcPr>
                <w:p w14:paraId="5E7F5135">
                  <w:pPr>
                    <w:jc w:val="center"/>
                    <w:rPr>
                      <w:rFonts w:ascii="Times New Roman" w:hAnsi="Times New Roman" w:cs="Times New Roman"/>
                      <w:color w:val="auto"/>
                      <w:szCs w:val="21"/>
                    </w:rPr>
                  </w:pPr>
                  <w:r>
                    <w:rPr>
                      <w:rFonts w:ascii="Times New Roman" w:hAnsi="Times New Roman" w:cs="Times New Roman"/>
                      <w:color w:val="auto"/>
                      <w:szCs w:val="21"/>
                    </w:rPr>
                    <w:t>辅助</w:t>
                  </w:r>
                </w:p>
                <w:p w14:paraId="56EC8029">
                  <w:pPr>
                    <w:jc w:val="center"/>
                    <w:rPr>
                      <w:rFonts w:ascii="Times New Roman" w:hAnsi="Times New Roman" w:cs="Times New Roman"/>
                      <w:color w:val="auto"/>
                      <w:szCs w:val="21"/>
                    </w:rPr>
                  </w:pPr>
                  <w:r>
                    <w:rPr>
                      <w:rFonts w:ascii="Times New Roman" w:hAnsi="Times New Roman" w:cs="Times New Roman"/>
                      <w:color w:val="auto"/>
                      <w:szCs w:val="21"/>
                    </w:rPr>
                    <w:t>工程</w:t>
                  </w:r>
                </w:p>
              </w:tc>
              <w:tc>
                <w:tcPr>
                  <w:tcW w:w="1729" w:type="dxa"/>
                  <w:gridSpan w:val="2"/>
                  <w:vAlign w:val="center"/>
                </w:tcPr>
                <w:p w14:paraId="1B52DBFC">
                  <w:pPr>
                    <w:widowControl/>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color w:val="auto"/>
                      <w:kern w:val="0"/>
                      <w:lang w:val="en-US" w:eastAsia="zh-CN"/>
                    </w:rPr>
                    <w:t>办公区</w:t>
                  </w:r>
                </w:p>
              </w:tc>
              <w:tc>
                <w:tcPr>
                  <w:tcW w:w="5572" w:type="dxa"/>
                  <w:vAlign w:val="center"/>
                </w:tcPr>
                <w:p w14:paraId="49AAD35C">
                  <w:pPr>
                    <w:keepNext w:val="0"/>
                    <w:keepLines w:val="0"/>
                    <w:pageBreakBefore w:val="0"/>
                    <w:widowControl/>
                    <w:kinsoku/>
                    <w:wordWrap/>
                    <w:overflowPunct/>
                    <w:topLinePunct w:val="0"/>
                    <w:autoSpaceDE/>
                    <w:autoSpaceDN/>
                    <w:bidi w:val="0"/>
                    <w:adjustRightInd/>
                    <w:snapToGrid/>
                    <w:ind w:firstLine="420" w:firstLineChars="200"/>
                    <w:jc w:val="left"/>
                    <w:textAlignment w:val="auto"/>
                    <w:rPr>
                      <w:rFonts w:ascii="Times New Roman" w:hAnsi="Times New Roman" w:eastAsia="宋体" w:cs="Times New Roman"/>
                      <w:color w:val="auto"/>
                      <w:szCs w:val="21"/>
                      <w:vertAlign w:val="superscript"/>
                    </w:rPr>
                  </w:pPr>
                  <w:r>
                    <w:rPr>
                      <w:rFonts w:hint="eastAsia" w:ascii="Times New Roman" w:hAnsi="Times New Roman" w:cs="Times New Roman"/>
                      <w:color w:val="auto"/>
                      <w:szCs w:val="21"/>
                      <w:lang w:eastAsia="zh-CN"/>
                    </w:rPr>
                    <w:t>主要</w:t>
                  </w:r>
                  <w:r>
                    <w:rPr>
                      <w:rFonts w:hint="eastAsia" w:ascii="Times New Roman" w:hAnsi="Times New Roman" w:cs="Times New Roman"/>
                      <w:color w:val="auto"/>
                      <w:szCs w:val="21"/>
                      <w:lang w:val="en-US" w:eastAsia="zh-CN"/>
                    </w:rPr>
                    <w:t>为办公记录区域。</w:t>
                  </w:r>
                </w:p>
              </w:tc>
              <w:tc>
                <w:tcPr>
                  <w:tcW w:w="1290" w:type="dxa"/>
                  <w:vAlign w:val="center"/>
                </w:tcPr>
                <w:p w14:paraId="26695B7F">
                  <w:pPr>
                    <w:jc w:val="center"/>
                    <w:rPr>
                      <w:rFonts w:ascii="Times New Roman" w:hAnsi="Times New Roman" w:cs="Times New Roman"/>
                      <w:b/>
                      <w:bCs/>
                      <w:color w:val="auto"/>
                      <w:szCs w:val="21"/>
                      <w:u w:val="single"/>
                    </w:rPr>
                  </w:pPr>
                  <w:r>
                    <w:rPr>
                      <w:rFonts w:hint="eastAsia" w:ascii="Times New Roman" w:hAnsi="Times New Roman" w:cs="Times New Roman"/>
                      <w:b w:val="0"/>
                      <w:bCs w:val="0"/>
                      <w:color w:val="auto"/>
                      <w:szCs w:val="21"/>
                      <w:u w:val="none"/>
                      <w:lang w:eastAsia="zh-CN"/>
                    </w:rPr>
                    <w:t>装修</w:t>
                  </w:r>
                </w:p>
              </w:tc>
            </w:tr>
            <w:tr w14:paraId="1C0AE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Merge w:val="restart"/>
                  <w:vAlign w:val="center"/>
                </w:tcPr>
                <w:p w14:paraId="055C4C95">
                  <w:pPr>
                    <w:jc w:val="center"/>
                    <w:rPr>
                      <w:rFonts w:ascii="Times New Roman" w:hAnsi="Times New Roman" w:cs="Times New Roman"/>
                      <w:color w:val="auto"/>
                      <w:szCs w:val="21"/>
                    </w:rPr>
                  </w:pPr>
                  <w:r>
                    <w:rPr>
                      <w:rFonts w:ascii="Times New Roman" w:hAnsi="Times New Roman" w:cs="Times New Roman"/>
                      <w:color w:val="auto"/>
                      <w:szCs w:val="21"/>
                    </w:rPr>
                    <w:t>公用工程</w:t>
                  </w:r>
                </w:p>
              </w:tc>
              <w:tc>
                <w:tcPr>
                  <w:tcW w:w="709" w:type="dxa"/>
                  <w:vAlign w:val="center"/>
                </w:tcPr>
                <w:p w14:paraId="2759DF22">
                  <w:pPr>
                    <w:jc w:val="center"/>
                    <w:rPr>
                      <w:rFonts w:ascii="Times New Roman" w:hAnsi="Times New Roman" w:cs="Times New Roman"/>
                      <w:color w:val="auto"/>
                      <w:szCs w:val="21"/>
                    </w:rPr>
                  </w:pPr>
                  <w:r>
                    <w:rPr>
                      <w:rFonts w:ascii="Times New Roman" w:hAnsi="Times New Roman" w:cs="Times New Roman"/>
                      <w:color w:val="auto"/>
                      <w:szCs w:val="21"/>
                    </w:rPr>
                    <w:t>给水</w:t>
                  </w:r>
                </w:p>
              </w:tc>
              <w:tc>
                <w:tcPr>
                  <w:tcW w:w="1020" w:type="dxa"/>
                  <w:vAlign w:val="center"/>
                </w:tcPr>
                <w:p w14:paraId="7219EF15">
                  <w:pPr>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371E77AE">
                  <w:pPr>
                    <w:ind w:firstLine="420" w:firstLineChars="200"/>
                    <w:jc w:val="left"/>
                    <w:rPr>
                      <w:rFonts w:ascii="Times New Roman" w:hAnsi="Times New Roman" w:cs="Times New Roman"/>
                      <w:color w:val="auto"/>
                      <w:szCs w:val="21"/>
                    </w:rPr>
                  </w:pPr>
                  <w:r>
                    <w:rPr>
                      <w:rFonts w:ascii="Times New Roman" w:hAnsi="Times New Roman" w:cs="Times New Roman"/>
                      <w:color w:val="auto"/>
                      <w:szCs w:val="21"/>
                    </w:rPr>
                    <w:t>给水来自市政供水管网，用水量为</w:t>
                  </w:r>
                  <w:r>
                    <w:rPr>
                      <w:rFonts w:hint="eastAsia" w:ascii="Times New Roman" w:hAnsi="Times New Roman" w:cs="Times New Roman"/>
                      <w:color w:val="auto"/>
                      <w:szCs w:val="21"/>
                      <w:lang w:val="en-US" w:eastAsia="zh-CN"/>
                    </w:rPr>
                    <w:t>3</w:t>
                  </w:r>
                  <w:r>
                    <w:rPr>
                      <w:rFonts w:hint="eastAsia" w:ascii="Times New Roman" w:hAnsi="Times New Roman" w:cs="Times New Roman"/>
                      <w:color w:val="auto"/>
                      <w:szCs w:val="21"/>
                    </w:rPr>
                    <w:t>15</w:t>
                  </w:r>
                  <w:r>
                    <w:rPr>
                      <w:rFonts w:hint="eastAsia" w:ascii="Times New Roman" w:hAnsi="Times New Roman" w:cs="Times New Roman"/>
                      <w:color w:val="auto"/>
                      <w:szCs w:val="21"/>
                      <w:lang w:val="en-US" w:eastAsia="zh-CN"/>
                    </w:rPr>
                    <w:t>0</w:t>
                  </w:r>
                  <w:r>
                    <w:rPr>
                      <w:rFonts w:ascii="Times New Roman" w:hAnsi="Times New Roman" w:cs="Times New Roman"/>
                      <w:color w:val="auto"/>
                      <w:szCs w:val="21"/>
                    </w:rPr>
                    <w:t>t/a</w:t>
                  </w:r>
                </w:p>
              </w:tc>
              <w:tc>
                <w:tcPr>
                  <w:tcW w:w="1290" w:type="dxa"/>
                  <w:vAlign w:val="center"/>
                </w:tcPr>
                <w:p w14:paraId="6FFC9424">
                  <w:pPr>
                    <w:jc w:val="center"/>
                    <w:rPr>
                      <w:rFonts w:ascii="Times New Roman" w:hAnsi="Times New Roman" w:cs="Times New Roman"/>
                      <w:color w:val="auto"/>
                      <w:szCs w:val="21"/>
                    </w:rPr>
                  </w:pPr>
                  <w:r>
                    <w:rPr>
                      <w:rFonts w:hint="eastAsia" w:ascii="Times New Roman" w:hAnsi="Times New Roman" w:cs="Times New Roman"/>
                      <w:color w:val="auto"/>
                      <w:szCs w:val="21"/>
                      <w:lang w:eastAsia="zh-CN"/>
                    </w:rPr>
                    <w:t>依托</w:t>
                  </w:r>
                </w:p>
              </w:tc>
            </w:tr>
            <w:tr w14:paraId="46150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047" w:type="dxa"/>
                  <w:vMerge w:val="continue"/>
                  <w:vAlign w:val="center"/>
                </w:tcPr>
                <w:p w14:paraId="223549A7">
                  <w:pPr>
                    <w:jc w:val="center"/>
                    <w:rPr>
                      <w:rFonts w:ascii="Times New Roman" w:hAnsi="Times New Roman" w:cs="Times New Roman"/>
                      <w:color w:val="auto"/>
                      <w:szCs w:val="21"/>
                    </w:rPr>
                  </w:pPr>
                </w:p>
              </w:tc>
              <w:tc>
                <w:tcPr>
                  <w:tcW w:w="709" w:type="dxa"/>
                  <w:vAlign w:val="center"/>
                </w:tcPr>
                <w:p w14:paraId="2B9ECA83">
                  <w:pPr>
                    <w:jc w:val="center"/>
                    <w:rPr>
                      <w:rFonts w:ascii="Times New Roman" w:hAnsi="Times New Roman" w:cs="Times New Roman"/>
                      <w:color w:val="auto"/>
                      <w:szCs w:val="21"/>
                    </w:rPr>
                  </w:pPr>
                  <w:r>
                    <w:rPr>
                      <w:rFonts w:ascii="Times New Roman" w:hAnsi="Times New Roman" w:cs="Times New Roman"/>
                      <w:color w:val="auto"/>
                      <w:szCs w:val="21"/>
                    </w:rPr>
                    <w:t>排水</w:t>
                  </w:r>
                </w:p>
              </w:tc>
              <w:tc>
                <w:tcPr>
                  <w:tcW w:w="1020" w:type="dxa"/>
                  <w:vAlign w:val="center"/>
                </w:tcPr>
                <w:p w14:paraId="7F3DE27C">
                  <w:pPr>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5B0C276F">
                  <w:pPr>
                    <w:jc w:val="center"/>
                    <w:rPr>
                      <w:rFonts w:ascii="Times New Roman" w:hAnsi="Times New Roman" w:cs="Times New Roman"/>
                      <w:color w:val="auto"/>
                      <w:szCs w:val="21"/>
                    </w:rPr>
                  </w:pPr>
                  <w:r>
                    <w:rPr>
                      <w:rFonts w:ascii="Times New Roman" w:hAnsi="Times New Roman" w:cs="Times New Roman"/>
                      <w:color w:val="auto"/>
                      <w:szCs w:val="21"/>
                    </w:rPr>
                    <w:t>排水实行雨、污分流</w:t>
                  </w:r>
                </w:p>
              </w:tc>
              <w:tc>
                <w:tcPr>
                  <w:tcW w:w="1290" w:type="dxa"/>
                  <w:vAlign w:val="center"/>
                </w:tcPr>
                <w:p w14:paraId="41670795">
                  <w:pPr>
                    <w:jc w:val="center"/>
                    <w:rPr>
                      <w:rFonts w:ascii="Times New Roman" w:hAnsi="Times New Roman" w:cs="Times New Roman"/>
                      <w:color w:val="auto"/>
                      <w:szCs w:val="21"/>
                    </w:rPr>
                  </w:pPr>
                  <w:r>
                    <w:rPr>
                      <w:rFonts w:hint="eastAsia" w:ascii="Times New Roman" w:hAnsi="Times New Roman" w:cs="Times New Roman"/>
                      <w:color w:val="auto"/>
                      <w:szCs w:val="21"/>
                      <w:lang w:eastAsia="zh-CN"/>
                    </w:rPr>
                    <w:t>依托</w:t>
                  </w:r>
                </w:p>
              </w:tc>
            </w:tr>
            <w:tr w14:paraId="20BDC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Merge w:val="continue"/>
                  <w:vAlign w:val="center"/>
                </w:tcPr>
                <w:p w14:paraId="6D0C47C4">
                  <w:pPr>
                    <w:jc w:val="center"/>
                    <w:rPr>
                      <w:rFonts w:ascii="Times New Roman" w:hAnsi="Times New Roman" w:cs="Times New Roman"/>
                      <w:color w:val="auto"/>
                      <w:szCs w:val="21"/>
                    </w:rPr>
                  </w:pPr>
                </w:p>
              </w:tc>
              <w:tc>
                <w:tcPr>
                  <w:tcW w:w="709" w:type="dxa"/>
                  <w:vAlign w:val="center"/>
                </w:tcPr>
                <w:p w14:paraId="15FEA4E3">
                  <w:pPr>
                    <w:jc w:val="center"/>
                    <w:rPr>
                      <w:rFonts w:ascii="Times New Roman" w:hAnsi="Times New Roman" w:cs="Times New Roman"/>
                      <w:color w:val="auto"/>
                      <w:szCs w:val="21"/>
                    </w:rPr>
                  </w:pPr>
                  <w:r>
                    <w:rPr>
                      <w:rFonts w:ascii="Times New Roman" w:hAnsi="Times New Roman" w:cs="Times New Roman"/>
                      <w:color w:val="auto"/>
                      <w:szCs w:val="21"/>
                    </w:rPr>
                    <w:t>供电</w:t>
                  </w:r>
                </w:p>
              </w:tc>
              <w:tc>
                <w:tcPr>
                  <w:tcW w:w="1020" w:type="dxa"/>
                  <w:vAlign w:val="center"/>
                </w:tcPr>
                <w:p w14:paraId="58B8BCE5">
                  <w:pPr>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50EE5DE6">
                  <w:pPr>
                    <w:ind w:firstLine="420" w:firstLineChars="200"/>
                    <w:rPr>
                      <w:rFonts w:ascii="Times New Roman" w:hAnsi="Times New Roman" w:cs="Times New Roman"/>
                      <w:color w:val="auto"/>
                      <w:szCs w:val="21"/>
                    </w:rPr>
                  </w:pPr>
                  <w:r>
                    <w:rPr>
                      <w:rFonts w:ascii="Times New Roman" w:hAnsi="Times New Roman" w:cs="Times New Roman"/>
                      <w:color w:val="auto"/>
                      <w:szCs w:val="21"/>
                    </w:rPr>
                    <w:t>供电来自市政供电</w:t>
                  </w:r>
                  <w:r>
                    <w:rPr>
                      <w:rFonts w:hint="eastAsia" w:ascii="Times New Roman" w:hAnsi="Times New Roman" w:cs="Times New Roman"/>
                      <w:color w:val="auto"/>
                      <w:szCs w:val="21"/>
                    </w:rPr>
                    <w:t>电</w:t>
                  </w:r>
                  <w:r>
                    <w:rPr>
                      <w:rFonts w:ascii="Times New Roman" w:hAnsi="Times New Roman" w:cs="Times New Roman"/>
                      <w:color w:val="auto"/>
                      <w:szCs w:val="21"/>
                    </w:rPr>
                    <w:t>网，用电量为</w:t>
                  </w:r>
                  <w:r>
                    <w:rPr>
                      <w:rFonts w:hint="eastAsia" w:ascii="Times New Roman" w:hAnsi="Times New Roman" w:cs="Times New Roman"/>
                      <w:color w:val="auto"/>
                      <w:szCs w:val="21"/>
                      <w:lang w:val="en-US" w:eastAsia="zh-CN"/>
                    </w:rPr>
                    <w:t>30000</w:t>
                  </w:r>
                  <w:r>
                    <w:rPr>
                      <w:rFonts w:ascii="Times New Roman" w:hAnsi="Times New Roman" w:cs="Times New Roman"/>
                      <w:color w:val="auto"/>
                      <w:szCs w:val="21"/>
                    </w:rPr>
                    <w:t>kW</w:t>
                  </w:r>
                  <w:r>
                    <w:rPr>
                      <w:rFonts w:hint="eastAsia" w:ascii="Times New Roman" w:hAnsi="Times New Roman" w:cs="Times New Roman"/>
                      <w:color w:val="auto"/>
                      <w:szCs w:val="21"/>
                    </w:rPr>
                    <w:t>·</w:t>
                  </w:r>
                  <w:r>
                    <w:rPr>
                      <w:rFonts w:ascii="Times New Roman" w:hAnsi="Times New Roman" w:cs="Times New Roman"/>
                      <w:color w:val="auto"/>
                      <w:szCs w:val="21"/>
                    </w:rPr>
                    <w:t>h/a</w:t>
                  </w:r>
                </w:p>
              </w:tc>
              <w:tc>
                <w:tcPr>
                  <w:tcW w:w="1290" w:type="dxa"/>
                  <w:vAlign w:val="center"/>
                </w:tcPr>
                <w:p w14:paraId="3329623B">
                  <w:pPr>
                    <w:jc w:val="center"/>
                    <w:rPr>
                      <w:rFonts w:ascii="Times New Roman" w:hAnsi="Times New Roman" w:cs="Times New Roman"/>
                      <w:color w:val="auto"/>
                      <w:szCs w:val="21"/>
                    </w:rPr>
                  </w:pPr>
                  <w:r>
                    <w:rPr>
                      <w:rFonts w:hint="eastAsia" w:ascii="Times New Roman" w:hAnsi="Times New Roman" w:cs="Times New Roman"/>
                      <w:color w:val="auto"/>
                      <w:szCs w:val="21"/>
                      <w:lang w:eastAsia="zh-CN"/>
                    </w:rPr>
                    <w:t>依托</w:t>
                  </w:r>
                </w:p>
              </w:tc>
            </w:tr>
            <w:tr w14:paraId="53F85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Merge w:val="continue"/>
                  <w:vAlign w:val="center"/>
                </w:tcPr>
                <w:p w14:paraId="6A3DE111">
                  <w:pPr>
                    <w:jc w:val="center"/>
                    <w:rPr>
                      <w:rFonts w:ascii="Times New Roman" w:hAnsi="Times New Roman" w:cs="Times New Roman"/>
                      <w:color w:val="auto"/>
                      <w:szCs w:val="21"/>
                    </w:rPr>
                  </w:pPr>
                </w:p>
              </w:tc>
              <w:tc>
                <w:tcPr>
                  <w:tcW w:w="709" w:type="dxa"/>
                  <w:vAlign w:val="center"/>
                </w:tcPr>
                <w:p w14:paraId="317AB8F7">
                  <w:pPr>
                    <w:jc w:val="center"/>
                    <w:rPr>
                      <w:rFonts w:ascii="Times New Roman" w:hAnsi="Times New Roman" w:cs="Times New Roman"/>
                      <w:color w:val="auto"/>
                      <w:szCs w:val="21"/>
                    </w:rPr>
                  </w:pPr>
                  <w:r>
                    <w:rPr>
                      <w:rFonts w:ascii="Times New Roman" w:hAnsi="Times New Roman" w:cs="Times New Roman"/>
                      <w:color w:val="auto"/>
                      <w:szCs w:val="21"/>
                    </w:rPr>
                    <w:t>消防</w:t>
                  </w:r>
                </w:p>
              </w:tc>
              <w:tc>
                <w:tcPr>
                  <w:tcW w:w="1020" w:type="dxa"/>
                  <w:vAlign w:val="center"/>
                </w:tcPr>
                <w:p w14:paraId="053B8E7C">
                  <w:pPr>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2AAA4F77">
                  <w:pPr>
                    <w:jc w:val="center"/>
                    <w:rPr>
                      <w:rFonts w:ascii="Times New Roman" w:hAnsi="Times New Roman" w:cs="Times New Roman"/>
                      <w:color w:val="auto"/>
                      <w:szCs w:val="21"/>
                    </w:rPr>
                  </w:pPr>
                  <w:r>
                    <w:rPr>
                      <w:rFonts w:ascii="Times New Roman" w:hAnsi="Times New Roman" w:cs="Times New Roman"/>
                      <w:color w:val="auto"/>
                      <w:szCs w:val="21"/>
                    </w:rPr>
                    <w:t>按照相关规定设置各类消防设施</w:t>
                  </w:r>
                </w:p>
              </w:tc>
              <w:tc>
                <w:tcPr>
                  <w:tcW w:w="1290" w:type="dxa"/>
                  <w:vAlign w:val="center"/>
                </w:tcPr>
                <w:p w14:paraId="3F7726DE">
                  <w:pPr>
                    <w:jc w:val="center"/>
                    <w:rPr>
                      <w:rFonts w:ascii="Times New Roman" w:hAnsi="Times New Roman" w:cs="Times New Roman"/>
                      <w:color w:val="auto"/>
                      <w:szCs w:val="21"/>
                    </w:rPr>
                  </w:pPr>
                  <w:r>
                    <w:rPr>
                      <w:rFonts w:hint="eastAsia" w:ascii="Times New Roman" w:hAnsi="Times New Roman" w:cs="Times New Roman"/>
                      <w:color w:val="auto"/>
                      <w:szCs w:val="21"/>
                      <w:lang w:eastAsia="zh-CN"/>
                    </w:rPr>
                    <w:t>依托</w:t>
                  </w:r>
                </w:p>
              </w:tc>
            </w:tr>
            <w:tr w14:paraId="06BE3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Merge w:val="restart"/>
                  <w:vAlign w:val="center"/>
                </w:tcPr>
                <w:p w14:paraId="5DED2B57">
                  <w:pPr>
                    <w:jc w:val="center"/>
                    <w:rPr>
                      <w:rFonts w:ascii="Times New Roman" w:hAnsi="Times New Roman" w:cs="Times New Roman"/>
                      <w:color w:val="auto"/>
                      <w:szCs w:val="21"/>
                    </w:rPr>
                  </w:pPr>
                  <w:r>
                    <w:rPr>
                      <w:rFonts w:ascii="Times New Roman" w:hAnsi="Times New Roman" w:cs="Times New Roman"/>
                      <w:color w:val="auto"/>
                      <w:szCs w:val="21"/>
                    </w:rPr>
                    <w:t>环保工程</w:t>
                  </w:r>
                </w:p>
              </w:tc>
              <w:tc>
                <w:tcPr>
                  <w:tcW w:w="709" w:type="dxa"/>
                  <w:vAlign w:val="center"/>
                </w:tcPr>
                <w:p w14:paraId="5BC7D528">
                  <w:pPr>
                    <w:jc w:val="center"/>
                    <w:rPr>
                      <w:rFonts w:ascii="Times New Roman" w:hAnsi="Times New Roman" w:cs="Times New Roman"/>
                      <w:color w:val="auto"/>
                      <w:szCs w:val="21"/>
                    </w:rPr>
                  </w:pPr>
                  <w:r>
                    <w:rPr>
                      <w:rFonts w:ascii="Times New Roman" w:hAnsi="Times New Roman" w:cs="Times New Roman"/>
                      <w:color w:val="auto"/>
                      <w:szCs w:val="21"/>
                    </w:rPr>
                    <w:t>废水治理</w:t>
                  </w:r>
                </w:p>
              </w:tc>
              <w:tc>
                <w:tcPr>
                  <w:tcW w:w="1020" w:type="dxa"/>
                  <w:vAlign w:val="center"/>
                </w:tcPr>
                <w:p w14:paraId="07F7EDA9">
                  <w:pPr>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6C2C1A13">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Cs w:val="21"/>
                      <w:vertAlign w:val="superscript"/>
                      <w:lang w:val="en-US" w:eastAsia="zh-CN"/>
                    </w:rPr>
                  </w:pPr>
                  <w:r>
                    <w:rPr>
                      <w:rFonts w:hint="default" w:ascii="Times New Roman" w:hAnsi="Times New Roman" w:eastAsia="宋体" w:cs="Times New Roman"/>
                      <w:color w:val="auto"/>
                      <w:sz w:val="21"/>
                      <w:szCs w:val="21"/>
                    </w:rPr>
                    <w:t>项目</w:t>
                  </w:r>
                  <w:r>
                    <w:rPr>
                      <w:rFonts w:hint="eastAsia" w:ascii="Times New Roman" w:hAnsi="Times New Roman" w:eastAsia="宋体" w:cs="Times New Roman"/>
                      <w:color w:val="auto"/>
                      <w:sz w:val="21"/>
                      <w:szCs w:val="21"/>
                      <w:lang w:val="en-US" w:eastAsia="zh-CN"/>
                    </w:rPr>
                    <w:t>检测试剂作为危废（化验室废液）处理，冲洗水通过吨桶收集排放至污水处理站</w:t>
                  </w:r>
                </w:p>
              </w:tc>
              <w:tc>
                <w:tcPr>
                  <w:tcW w:w="1290" w:type="dxa"/>
                  <w:vAlign w:val="center"/>
                </w:tcPr>
                <w:p w14:paraId="04280CB7">
                  <w:pPr>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eastAsia="zh-CN"/>
                    </w:rPr>
                    <w:t>依托</w:t>
                  </w:r>
                </w:p>
              </w:tc>
            </w:tr>
            <w:tr w14:paraId="26704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7" w:hRule="atLeast"/>
                <w:jc w:val="center"/>
              </w:trPr>
              <w:tc>
                <w:tcPr>
                  <w:tcW w:w="1047" w:type="dxa"/>
                  <w:vMerge w:val="continue"/>
                  <w:vAlign w:val="center"/>
                </w:tcPr>
                <w:p w14:paraId="4681C362">
                  <w:pPr>
                    <w:jc w:val="center"/>
                    <w:rPr>
                      <w:rFonts w:ascii="Times New Roman" w:hAnsi="Times New Roman" w:cs="Times New Roman"/>
                      <w:color w:val="auto"/>
                      <w:szCs w:val="21"/>
                    </w:rPr>
                  </w:pPr>
                </w:p>
              </w:tc>
              <w:tc>
                <w:tcPr>
                  <w:tcW w:w="709" w:type="dxa"/>
                  <w:vAlign w:val="center"/>
                </w:tcPr>
                <w:p w14:paraId="197492D4">
                  <w:pPr>
                    <w:jc w:val="center"/>
                    <w:rPr>
                      <w:rFonts w:ascii="Times New Roman" w:hAnsi="Times New Roman" w:cs="Times New Roman"/>
                      <w:color w:val="auto"/>
                      <w:szCs w:val="21"/>
                    </w:rPr>
                  </w:pPr>
                  <w:r>
                    <w:rPr>
                      <w:rFonts w:ascii="Times New Roman" w:hAnsi="Times New Roman" w:cs="Times New Roman"/>
                      <w:color w:val="auto"/>
                      <w:szCs w:val="21"/>
                    </w:rPr>
                    <w:t>废气治理</w:t>
                  </w:r>
                </w:p>
              </w:tc>
              <w:tc>
                <w:tcPr>
                  <w:tcW w:w="1020" w:type="dxa"/>
                  <w:vAlign w:val="center"/>
                </w:tcPr>
                <w:p w14:paraId="6FF95F9F">
                  <w:pPr>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644EEE7D">
                  <w:pPr>
                    <w:widowControl/>
                    <w:jc w:val="left"/>
                    <w:rPr>
                      <w:color w:val="auto"/>
                    </w:rPr>
                  </w:pPr>
                  <w:r>
                    <w:rPr>
                      <w:rFonts w:hint="default" w:ascii="Times New Roman" w:hAnsi="Times New Roman" w:cs="Times New Roman"/>
                      <w:color w:val="auto"/>
                      <w:lang w:eastAsia="zh-CN"/>
                    </w:rPr>
                    <w:t>通风橱</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水喷淋+脱水除雾器+</w:t>
                  </w:r>
                  <w:r>
                    <w:rPr>
                      <w:rFonts w:hint="default" w:ascii="Times New Roman" w:hAnsi="Times New Roman" w:cs="Times New Roman"/>
                      <w:color w:val="auto"/>
                      <w:lang w:val="en-US" w:eastAsia="zh-CN"/>
                    </w:rPr>
                    <w:t>两级活性炭+15m高排气筒（</w:t>
                  </w:r>
                  <w:r>
                    <w:rPr>
                      <w:rFonts w:hint="eastAsia" w:ascii="Times New Roman" w:hAnsi="Times New Roman" w:cs="Times New Roman"/>
                      <w:color w:val="auto"/>
                      <w:lang w:val="en-US" w:eastAsia="zh-CN"/>
                    </w:rPr>
                    <w:t>DA001</w:t>
                  </w:r>
                  <w:r>
                    <w:rPr>
                      <w:rFonts w:hint="default" w:ascii="Times New Roman" w:hAnsi="Times New Roman" w:cs="Times New Roman"/>
                      <w:color w:val="auto"/>
                      <w:lang w:val="en-US" w:eastAsia="zh-CN"/>
                    </w:rPr>
                    <w:t>）</w:t>
                  </w:r>
                  <w:r>
                    <w:rPr>
                      <w:rFonts w:hint="default" w:ascii="Times New Roman" w:hAnsi="Times New Roman" w:cs="Times New Roman"/>
                      <w:color w:val="auto"/>
                    </w:rPr>
                    <w:t>。</w:t>
                  </w:r>
                </w:p>
              </w:tc>
              <w:tc>
                <w:tcPr>
                  <w:tcW w:w="1290" w:type="dxa"/>
                  <w:vAlign w:val="center"/>
                </w:tcPr>
                <w:p w14:paraId="2434F1CE">
                  <w:pPr>
                    <w:jc w:val="center"/>
                    <w:rPr>
                      <w:rFonts w:ascii="Times New Roman" w:hAnsi="Times New Roman" w:cs="Times New Roman"/>
                      <w:color w:val="auto"/>
                      <w:szCs w:val="21"/>
                    </w:rPr>
                  </w:pPr>
                  <w:r>
                    <w:rPr>
                      <w:rFonts w:hint="eastAsia" w:ascii="Times New Roman" w:hAnsi="Times New Roman" w:cs="Times New Roman"/>
                      <w:color w:val="auto"/>
                      <w:szCs w:val="21"/>
                      <w:lang w:eastAsia="zh-CN"/>
                    </w:rPr>
                    <w:t>依托</w:t>
                  </w:r>
                </w:p>
              </w:tc>
            </w:tr>
            <w:tr w14:paraId="36E3E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Merge w:val="continue"/>
                  <w:vAlign w:val="center"/>
                </w:tcPr>
                <w:p w14:paraId="2B62280F">
                  <w:pPr>
                    <w:jc w:val="center"/>
                    <w:rPr>
                      <w:rFonts w:ascii="Times New Roman" w:hAnsi="Times New Roman" w:cs="Times New Roman"/>
                      <w:color w:val="auto"/>
                      <w:szCs w:val="21"/>
                    </w:rPr>
                  </w:pPr>
                </w:p>
              </w:tc>
              <w:tc>
                <w:tcPr>
                  <w:tcW w:w="709" w:type="dxa"/>
                  <w:vAlign w:val="center"/>
                </w:tcPr>
                <w:p w14:paraId="0E36F9AE">
                  <w:pPr>
                    <w:jc w:val="center"/>
                    <w:rPr>
                      <w:rFonts w:ascii="Times New Roman" w:hAnsi="Times New Roman" w:cs="Times New Roman"/>
                      <w:color w:val="auto"/>
                      <w:szCs w:val="21"/>
                    </w:rPr>
                  </w:pPr>
                  <w:r>
                    <w:rPr>
                      <w:rFonts w:ascii="Times New Roman" w:hAnsi="Times New Roman" w:cs="Times New Roman"/>
                      <w:color w:val="auto"/>
                      <w:szCs w:val="21"/>
                    </w:rPr>
                    <w:t>噪声治理</w:t>
                  </w:r>
                </w:p>
              </w:tc>
              <w:tc>
                <w:tcPr>
                  <w:tcW w:w="1020" w:type="dxa"/>
                  <w:vAlign w:val="center"/>
                </w:tcPr>
                <w:p w14:paraId="09A6453A">
                  <w:pPr>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1FF97233">
                  <w:pPr>
                    <w:widowControl/>
                    <w:ind w:firstLine="420" w:firstLineChars="200"/>
                    <w:jc w:val="left"/>
                    <w:rPr>
                      <w:rFonts w:ascii="Times New Roman" w:hAnsi="Times New Roman" w:cs="Times New Roman"/>
                      <w:color w:val="auto"/>
                      <w:kern w:val="0"/>
                    </w:rPr>
                  </w:pPr>
                  <w:r>
                    <w:rPr>
                      <w:rFonts w:ascii="Times New Roman" w:hAnsi="Times New Roman" w:cs="Times New Roman"/>
                      <w:color w:val="auto"/>
                      <w:szCs w:val="21"/>
                    </w:rPr>
                    <w:t>选用低噪设备、采取基础减震、柔性连接、建筑物隔声等，再通过屏蔽、阻挡及距离衰减作用进行噪声防治。</w:t>
                  </w:r>
                </w:p>
              </w:tc>
              <w:tc>
                <w:tcPr>
                  <w:tcW w:w="1290" w:type="dxa"/>
                  <w:vAlign w:val="center"/>
                </w:tcPr>
                <w:p w14:paraId="725CA3E1">
                  <w:pPr>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eastAsia="zh-CN"/>
                    </w:rPr>
                    <w:t>新建</w:t>
                  </w:r>
                </w:p>
              </w:tc>
            </w:tr>
            <w:tr w14:paraId="7AF36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1047" w:type="dxa"/>
                  <w:vMerge w:val="continue"/>
                  <w:vAlign w:val="center"/>
                </w:tcPr>
                <w:p w14:paraId="7A3FB5D0">
                  <w:pPr>
                    <w:jc w:val="center"/>
                    <w:rPr>
                      <w:rFonts w:ascii="Times New Roman" w:hAnsi="Times New Roman" w:cs="Times New Roman"/>
                      <w:color w:val="auto"/>
                      <w:szCs w:val="21"/>
                    </w:rPr>
                  </w:pPr>
                </w:p>
              </w:tc>
              <w:tc>
                <w:tcPr>
                  <w:tcW w:w="709" w:type="dxa"/>
                  <w:vAlign w:val="center"/>
                </w:tcPr>
                <w:p w14:paraId="6BED2479">
                  <w:pPr>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固废治理</w:t>
                  </w:r>
                </w:p>
              </w:tc>
              <w:tc>
                <w:tcPr>
                  <w:tcW w:w="1020" w:type="dxa"/>
                  <w:vAlign w:val="center"/>
                </w:tcPr>
                <w:p w14:paraId="03565AA7">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化验室</w:t>
                  </w:r>
                </w:p>
              </w:tc>
              <w:tc>
                <w:tcPr>
                  <w:tcW w:w="5572" w:type="dxa"/>
                  <w:vAlign w:val="center"/>
                </w:tcPr>
                <w:p w14:paraId="118DFD9A">
                  <w:pPr>
                    <w:ind w:firstLine="420" w:firstLineChars="200"/>
                    <w:jc w:val="left"/>
                    <w:rPr>
                      <w:rFonts w:ascii="Times New Roman" w:hAnsi="Times New Roman" w:cs="Times New Roman"/>
                      <w:color w:val="auto"/>
                      <w:szCs w:val="21"/>
                    </w:rPr>
                  </w:pPr>
                  <w:r>
                    <w:rPr>
                      <w:rFonts w:ascii="Times New Roman" w:hAnsi="Times New Roman" w:cs="Times New Roman"/>
                      <w:color w:val="auto"/>
                      <w:szCs w:val="21"/>
                    </w:rPr>
                    <w:t>危险废物：危险废物</w:t>
                  </w:r>
                  <w:r>
                    <w:rPr>
                      <w:rFonts w:hint="eastAsia" w:ascii="Times New Roman" w:hAnsi="Times New Roman" w:cs="Times New Roman"/>
                      <w:color w:val="auto"/>
                      <w:szCs w:val="21"/>
                      <w:lang w:val="en-US" w:eastAsia="zh-CN"/>
                    </w:rPr>
                    <w:t>现场收集暂存，超过20公斤后入危废库</w:t>
                  </w:r>
                  <w:r>
                    <w:rPr>
                      <w:rFonts w:hint="eastAsia" w:ascii="Times New Roman" w:hAnsi="Times New Roman" w:cs="Times New Roman"/>
                      <w:color w:val="auto"/>
                      <w:szCs w:val="21"/>
                    </w:rPr>
                    <w:t>。</w:t>
                  </w:r>
                </w:p>
              </w:tc>
              <w:tc>
                <w:tcPr>
                  <w:tcW w:w="1290" w:type="dxa"/>
                  <w:vAlign w:val="center"/>
                </w:tcPr>
                <w:p w14:paraId="4232F0E6">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依托</w:t>
                  </w:r>
                </w:p>
              </w:tc>
            </w:tr>
            <w:tr w14:paraId="29F5A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Merge w:val="continue"/>
                  <w:vAlign w:val="center"/>
                </w:tcPr>
                <w:p w14:paraId="14E02574">
                  <w:pPr>
                    <w:jc w:val="center"/>
                    <w:rPr>
                      <w:rFonts w:ascii="Times New Roman" w:hAnsi="Times New Roman" w:cs="Times New Roman"/>
                      <w:color w:val="auto"/>
                      <w:szCs w:val="21"/>
                    </w:rPr>
                  </w:pPr>
                </w:p>
              </w:tc>
              <w:tc>
                <w:tcPr>
                  <w:tcW w:w="709" w:type="dxa"/>
                  <w:vAlign w:val="center"/>
                </w:tcPr>
                <w:p w14:paraId="5E034DB6">
                  <w:pPr>
                    <w:jc w:val="center"/>
                    <w:rPr>
                      <w:rFonts w:ascii="Times New Roman" w:hAnsi="Times New Roman" w:cs="Times New Roman"/>
                      <w:color w:val="auto"/>
                      <w:szCs w:val="21"/>
                    </w:rPr>
                  </w:pPr>
                  <w:r>
                    <w:rPr>
                      <w:rFonts w:ascii="Times New Roman" w:hAnsi="Times New Roman" w:cs="Times New Roman"/>
                      <w:color w:val="auto"/>
                      <w:szCs w:val="21"/>
                    </w:rPr>
                    <w:t>地下水及土壤</w:t>
                  </w:r>
                </w:p>
              </w:tc>
              <w:tc>
                <w:tcPr>
                  <w:tcW w:w="1020" w:type="dxa"/>
                  <w:shd w:val="clear" w:color="auto" w:fill="auto"/>
                  <w:vAlign w:val="center"/>
                </w:tcPr>
                <w:p w14:paraId="3B354793">
                  <w:pPr>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Cs w:val="21"/>
                      <w:lang w:val="en-US" w:eastAsia="zh-CN"/>
                    </w:rPr>
                    <w:t>化验室</w:t>
                  </w:r>
                </w:p>
              </w:tc>
              <w:tc>
                <w:tcPr>
                  <w:tcW w:w="5572" w:type="dxa"/>
                  <w:shd w:val="clear" w:color="auto" w:fill="auto"/>
                  <w:vAlign w:val="center"/>
                </w:tcPr>
                <w:p w14:paraId="0DCD5B20">
                  <w:pPr>
                    <w:jc w:val="left"/>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Cs w:val="21"/>
                    </w:rPr>
                    <w:t>一般防渗区防渗技术要求：等效黏土防渗层Mb≧1.5m，K≦1*10</w:t>
                  </w:r>
                  <w:r>
                    <w:rPr>
                      <w:rFonts w:ascii="Times New Roman" w:hAnsi="Times New Roman" w:cs="Times New Roman"/>
                      <w:color w:val="auto"/>
                      <w:szCs w:val="21"/>
                      <w:vertAlign w:val="superscript"/>
                    </w:rPr>
                    <w:t>-7</w:t>
                  </w:r>
                  <w:r>
                    <w:rPr>
                      <w:rFonts w:ascii="Times New Roman" w:hAnsi="Times New Roman" w:cs="Times New Roman"/>
                      <w:color w:val="auto"/>
                      <w:szCs w:val="21"/>
                    </w:rPr>
                    <w:t>cm/s；重点防渗区防渗技术要求：等效黏土防渗层Mb≧6m，K≦1*10</w:t>
                  </w:r>
                  <w:r>
                    <w:rPr>
                      <w:rFonts w:ascii="Times New Roman" w:hAnsi="Times New Roman" w:cs="Times New Roman"/>
                      <w:color w:val="auto"/>
                      <w:szCs w:val="21"/>
                      <w:vertAlign w:val="superscript"/>
                    </w:rPr>
                    <w:t>-7</w:t>
                  </w:r>
                  <w:r>
                    <w:rPr>
                      <w:rFonts w:ascii="Times New Roman" w:hAnsi="Times New Roman" w:cs="Times New Roman"/>
                      <w:color w:val="auto"/>
                      <w:szCs w:val="21"/>
                    </w:rPr>
                    <w:t>cm/s；简单防渗区防渗技术要求：一般地面硬化。</w:t>
                  </w:r>
                </w:p>
              </w:tc>
              <w:tc>
                <w:tcPr>
                  <w:tcW w:w="1290" w:type="dxa"/>
                  <w:shd w:val="clear" w:color="auto" w:fill="auto"/>
                  <w:vAlign w:val="center"/>
                </w:tcPr>
                <w:p w14:paraId="593E8CFB">
                  <w:pPr>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eastAsia="zh-CN"/>
                    </w:rPr>
                    <w:t>新建</w:t>
                  </w:r>
                </w:p>
              </w:tc>
            </w:tr>
            <w:tr w14:paraId="27B7C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dxa"/>
                  <w:vMerge w:val="continue"/>
                  <w:vAlign w:val="center"/>
                </w:tcPr>
                <w:p w14:paraId="53A48CFD">
                  <w:pPr>
                    <w:jc w:val="center"/>
                    <w:rPr>
                      <w:rFonts w:ascii="Times New Roman" w:hAnsi="Times New Roman" w:cs="Times New Roman"/>
                      <w:color w:val="auto"/>
                      <w:szCs w:val="21"/>
                    </w:rPr>
                  </w:pPr>
                </w:p>
              </w:tc>
              <w:tc>
                <w:tcPr>
                  <w:tcW w:w="709" w:type="dxa"/>
                  <w:vAlign w:val="center"/>
                </w:tcPr>
                <w:p w14:paraId="69F548BD">
                  <w:pPr>
                    <w:jc w:val="center"/>
                    <w:rPr>
                      <w:rFonts w:ascii="Times New Roman" w:hAnsi="Times New Roman" w:cs="Times New Roman"/>
                      <w:color w:val="auto"/>
                      <w:szCs w:val="21"/>
                    </w:rPr>
                  </w:pPr>
                  <w:r>
                    <w:rPr>
                      <w:rFonts w:hint="eastAsia" w:ascii="Times New Roman" w:hAnsi="Times New Roman" w:cs="Times New Roman"/>
                      <w:color w:val="auto"/>
                      <w:szCs w:val="21"/>
                    </w:rPr>
                    <w:t>环境风险</w:t>
                  </w:r>
                </w:p>
              </w:tc>
              <w:tc>
                <w:tcPr>
                  <w:tcW w:w="1020" w:type="dxa"/>
                  <w:vAlign w:val="center"/>
                </w:tcPr>
                <w:p w14:paraId="670EA841">
                  <w:pPr>
                    <w:jc w:val="center"/>
                    <w:rPr>
                      <w:rFonts w:hint="eastAsia" w:ascii="Times New Roman" w:hAnsi="Times New Roman" w:cs="Times New Roman"/>
                      <w:color w:val="auto"/>
                      <w:szCs w:val="21"/>
                    </w:rPr>
                  </w:pPr>
                  <w:r>
                    <w:rPr>
                      <w:rFonts w:hint="eastAsia" w:ascii="Times New Roman" w:hAnsi="Times New Roman" w:eastAsia="宋体" w:cs="Times New Roman"/>
                      <w:color w:val="auto"/>
                      <w:szCs w:val="21"/>
                      <w:lang w:val="en-US" w:eastAsia="zh-CN"/>
                    </w:rPr>
                    <w:t>化验室</w:t>
                  </w:r>
                </w:p>
              </w:tc>
              <w:tc>
                <w:tcPr>
                  <w:tcW w:w="5572" w:type="dxa"/>
                  <w:vAlign w:val="center"/>
                </w:tcPr>
                <w:p w14:paraId="0E0FC6ED">
                  <w:pPr>
                    <w:jc w:val="left"/>
                    <w:rPr>
                      <w:rFonts w:ascii="Times New Roman" w:hAnsi="Times New Roman" w:cs="Times New Roman"/>
                      <w:color w:val="auto"/>
                      <w:szCs w:val="21"/>
                    </w:rPr>
                  </w:pPr>
                  <w:r>
                    <w:rPr>
                      <w:rFonts w:hint="eastAsia"/>
                      <w:bCs/>
                      <w:color w:val="auto"/>
                      <w:szCs w:val="21"/>
                    </w:rPr>
                    <w:t>编制突发环境事件应急预案</w:t>
                  </w:r>
                  <w:r>
                    <w:rPr>
                      <w:rFonts w:hint="eastAsia"/>
                      <w:bCs/>
                      <w:color w:val="auto"/>
                      <w:szCs w:val="21"/>
                      <w:lang w:eastAsia="zh-CN"/>
                    </w:rPr>
                    <w:t>（</w:t>
                  </w:r>
                  <w:r>
                    <w:rPr>
                      <w:rFonts w:hint="eastAsia"/>
                      <w:bCs/>
                      <w:color w:val="auto"/>
                      <w:szCs w:val="21"/>
                      <w:lang w:val="en-US" w:eastAsia="zh-CN"/>
                    </w:rPr>
                    <w:t>内部预案</w:t>
                  </w:r>
                  <w:r>
                    <w:rPr>
                      <w:rFonts w:hint="eastAsia"/>
                      <w:bCs/>
                      <w:color w:val="auto"/>
                      <w:szCs w:val="21"/>
                      <w:lang w:eastAsia="zh-CN"/>
                    </w:rPr>
                    <w:t>）</w:t>
                  </w:r>
                  <w:r>
                    <w:rPr>
                      <w:rFonts w:hint="eastAsia"/>
                      <w:bCs/>
                      <w:color w:val="auto"/>
                      <w:szCs w:val="21"/>
                    </w:rPr>
                    <w:t>，建立风险防范管控体系。</w:t>
                  </w:r>
                </w:p>
              </w:tc>
              <w:tc>
                <w:tcPr>
                  <w:tcW w:w="1290" w:type="dxa"/>
                  <w:vAlign w:val="center"/>
                </w:tcPr>
                <w:p w14:paraId="0FBE25DD">
                  <w:pPr>
                    <w:jc w:val="center"/>
                    <w:rPr>
                      <w:rFonts w:hint="eastAsia" w:ascii="Times New Roman" w:hAnsi="Times New Roman" w:cs="Times New Roman"/>
                      <w:color w:val="auto"/>
                      <w:szCs w:val="21"/>
                    </w:rPr>
                  </w:pPr>
                  <w:r>
                    <w:rPr>
                      <w:rFonts w:hint="eastAsia" w:ascii="Times New Roman" w:hAnsi="Times New Roman" w:cs="Times New Roman"/>
                      <w:color w:val="auto"/>
                      <w:szCs w:val="21"/>
                      <w:lang w:eastAsia="zh-CN"/>
                    </w:rPr>
                    <w:t>新建</w:t>
                  </w:r>
                </w:p>
              </w:tc>
            </w:tr>
          </w:tbl>
          <w:p w14:paraId="4C1555C5">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3</w:t>
            </w:r>
            <w:r>
              <w:rPr>
                <w:rFonts w:ascii="Times New Roman" w:hAnsi="Times New Roman" w:cs="Times New Roman"/>
                <w:b/>
                <w:bCs/>
                <w:color w:val="auto"/>
                <w:sz w:val="24"/>
              </w:rPr>
              <w:t>、建设项目主要</w:t>
            </w:r>
            <w:r>
              <w:rPr>
                <w:rFonts w:hint="eastAsia" w:ascii="Times New Roman" w:hAnsi="Times New Roman" w:cs="Times New Roman"/>
                <w:b/>
                <w:bCs/>
                <w:color w:val="auto"/>
                <w:sz w:val="24"/>
                <w:lang w:val="en-US" w:eastAsia="zh-CN"/>
              </w:rPr>
              <w:t>设备</w:t>
            </w:r>
            <w:r>
              <w:rPr>
                <w:rFonts w:ascii="Times New Roman" w:hAnsi="Times New Roman" w:cs="Times New Roman"/>
                <w:b/>
                <w:bCs/>
                <w:color w:val="auto"/>
                <w:sz w:val="24"/>
              </w:rPr>
              <w:t>设施</w:t>
            </w:r>
          </w:p>
          <w:p w14:paraId="2811EA90">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根据建设单位提供的资料，项目主要设备清单见表2.</w:t>
            </w:r>
            <w:r>
              <w:rPr>
                <w:rFonts w:hint="eastAsia" w:ascii="Times New Roman" w:hAnsi="Times New Roman" w:cs="Times New Roman"/>
                <w:color w:val="auto"/>
                <w:sz w:val="24"/>
              </w:rPr>
              <w:t>2</w:t>
            </w:r>
            <w:r>
              <w:rPr>
                <w:rFonts w:ascii="Times New Roman" w:hAnsi="Times New Roman" w:cs="Times New Roman"/>
                <w:color w:val="auto"/>
                <w:sz w:val="24"/>
              </w:rPr>
              <w:t>。</w:t>
            </w:r>
          </w:p>
          <w:p w14:paraId="3E25BD80">
            <w:pPr>
              <w:spacing w:line="360" w:lineRule="auto"/>
              <w:ind w:firstLine="482" w:firstLineChars="200"/>
              <w:jc w:val="center"/>
              <w:rPr>
                <w:rFonts w:ascii="Times New Roman" w:hAnsi="Times New Roman" w:cs="Times New Roman"/>
                <w:color w:val="auto"/>
                <w:sz w:val="24"/>
              </w:rPr>
            </w:pPr>
            <w:r>
              <w:rPr>
                <w:rFonts w:ascii="Times New Roman" w:hAnsi="Times New Roman" w:cs="Times New Roman"/>
                <w:b/>
                <w:bCs/>
                <w:color w:val="auto"/>
                <w:sz w:val="24"/>
              </w:rPr>
              <w:t>表2</w:t>
            </w:r>
            <w:r>
              <w:rPr>
                <w:rFonts w:hint="eastAsia" w:ascii="Times New Roman" w:hAnsi="Times New Roman" w:cs="Times New Roman"/>
                <w:b/>
                <w:bCs/>
                <w:color w:val="auto"/>
                <w:sz w:val="24"/>
              </w:rPr>
              <w:t>.2</w:t>
            </w:r>
            <w:r>
              <w:rPr>
                <w:rFonts w:ascii="Times New Roman" w:hAnsi="Times New Roman" w:cs="Times New Roman"/>
                <w:b/>
                <w:bCs/>
                <w:color w:val="auto"/>
                <w:sz w:val="24"/>
              </w:rPr>
              <w:t xml:space="preserve">  项目主要生产设施一览表</w:t>
            </w:r>
          </w:p>
          <w:tbl>
            <w:tblPr>
              <w:tblStyle w:val="28"/>
              <w:tblpPr w:leftFromText="180" w:rightFromText="180" w:vertAnchor="text" w:horzAnchor="page" w:tblpX="943" w:tblpY="297"/>
              <w:tblOverlap w:val="never"/>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2868"/>
              <w:gridCol w:w="1722"/>
              <w:gridCol w:w="697"/>
              <w:gridCol w:w="709"/>
              <w:gridCol w:w="1375"/>
              <w:gridCol w:w="1474"/>
            </w:tblGrid>
            <w:tr w14:paraId="6E8ED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4375A6F5">
                  <w:pPr>
                    <w:pStyle w:val="3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489" w:type="pct"/>
                  <w:vAlign w:val="center"/>
                </w:tcPr>
                <w:p w14:paraId="48723A69">
                  <w:pPr>
                    <w:pStyle w:val="3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设备名称</w:t>
                  </w:r>
                </w:p>
              </w:tc>
              <w:tc>
                <w:tcPr>
                  <w:tcW w:w="894" w:type="pct"/>
                  <w:vAlign w:val="center"/>
                </w:tcPr>
                <w:p w14:paraId="3A188B46">
                  <w:pPr>
                    <w:pStyle w:val="34"/>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型号规格</w:t>
                  </w:r>
                </w:p>
              </w:tc>
              <w:tc>
                <w:tcPr>
                  <w:tcW w:w="362" w:type="pct"/>
                  <w:vAlign w:val="center"/>
                </w:tcPr>
                <w:p w14:paraId="6DC9FBF5">
                  <w:pPr>
                    <w:pStyle w:val="3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单位</w:t>
                  </w:r>
                </w:p>
              </w:tc>
              <w:tc>
                <w:tcPr>
                  <w:tcW w:w="368" w:type="pct"/>
                  <w:vAlign w:val="center"/>
                </w:tcPr>
                <w:p w14:paraId="45CBFFAD">
                  <w:pPr>
                    <w:pStyle w:val="34"/>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数量</w:t>
                  </w:r>
                </w:p>
              </w:tc>
              <w:tc>
                <w:tcPr>
                  <w:tcW w:w="714" w:type="pct"/>
                  <w:vAlign w:val="center"/>
                </w:tcPr>
                <w:p w14:paraId="38B9E17E">
                  <w:pPr>
                    <w:pStyle w:val="34"/>
                    <w:jc w:val="center"/>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来源</w:t>
                  </w:r>
                </w:p>
              </w:tc>
              <w:tc>
                <w:tcPr>
                  <w:tcW w:w="765" w:type="pct"/>
                  <w:vAlign w:val="center"/>
                </w:tcPr>
                <w:p w14:paraId="416FD7F0">
                  <w:pPr>
                    <w:pStyle w:val="34"/>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使用部门</w:t>
                  </w:r>
                </w:p>
              </w:tc>
            </w:tr>
            <w:tr w14:paraId="0BF84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43D57A11">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489" w:type="pct"/>
                  <w:shd w:val="clear" w:color="auto" w:fill="auto"/>
                  <w:vAlign w:val="center"/>
                </w:tcPr>
                <w:p w14:paraId="37BF6936">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实验桌</w:t>
                  </w:r>
                </w:p>
              </w:tc>
              <w:tc>
                <w:tcPr>
                  <w:tcW w:w="894" w:type="pct"/>
                  <w:shd w:val="clear" w:color="auto" w:fill="auto"/>
                  <w:vAlign w:val="center"/>
                </w:tcPr>
                <w:p w14:paraId="7B436C3E">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w:t>
                  </w:r>
                </w:p>
              </w:tc>
              <w:tc>
                <w:tcPr>
                  <w:tcW w:w="362" w:type="pct"/>
                  <w:vAlign w:val="center"/>
                </w:tcPr>
                <w:p w14:paraId="3B14B0ED">
                  <w:pPr>
                    <w:pStyle w:val="34"/>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台</w:t>
                  </w:r>
                </w:p>
              </w:tc>
              <w:tc>
                <w:tcPr>
                  <w:tcW w:w="368" w:type="pct"/>
                  <w:shd w:val="clear" w:color="auto" w:fill="auto"/>
                  <w:vAlign w:val="center"/>
                </w:tcPr>
                <w:p w14:paraId="5DC27B44">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4</w:t>
                  </w:r>
                </w:p>
              </w:tc>
              <w:tc>
                <w:tcPr>
                  <w:tcW w:w="714" w:type="pct"/>
                  <w:vAlign w:val="center"/>
                </w:tcPr>
                <w:p w14:paraId="2DBE830E">
                  <w:pPr>
                    <w:keepNext w:val="0"/>
                    <w:keepLines w:val="0"/>
                    <w:widowControl/>
                    <w:suppressLineNumbers w:val="0"/>
                    <w:jc w:val="center"/>
                    <w:textAlignment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外购</w:t>
                  </w:r>
                </w:p>
              </w:tc>
              <w:tc>
                <w:tcPr>
                  <w:tcW w:w="765" w:type="pct"/>
                  <w:vAlign w:val="center"/>
                </w:tcPr>
                <w:p w14:paraId="52EF8A87">
                  <w:pPr>
                    <w:keepNext w:val="0"/>
                    <w:keepLines w:val="0"/>
                    <w:widowControl/>
                    <w:suppressLineNumbers w:val="0"/>
                    <w:jc w:val="center"/>
                    <w:textAlignment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技术中心</w:t>
                  </w:r>
                </w:p>
              </w:tc>
            </w:tr>
            <w:tr w14:paraId="30304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7BCB6597">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1489" w:type="pct"/>
                  <w:shd w:val="clear" w:color="auto" w:fill="auto"/>
                  <w:vAlign w:val="center"/>
                </w:tcPr>
                <w:p w14:paraId="64DBBFC7">
                  <w:pPr>
                    <w:autoSpaceDE w:val="0"/>
                    <w:autoSpaceDN w:val="0"/>
                    <w:adjustRightInd w:val="0"/>
                    <w:snapToGrid w:val="0"/>
                    <w:jc w:val="center"/>
                    <w:rPr>
                      <w:rFonts w:hint="default" w:eastAsia="宋体" w:asciiTheme="minorHAnsi" w:hAnsiTheme="minorHAnsi" w:cstheme="minorBidi"/>
                      <w:spacing w:val="8"/>
                      <w:kern w:val="10"/>
                      <w:sz w:val="21"/>
                      <w:szCs w:val="21"/>
                      <w:lang w:val="en-US" w:eastAsia="zh-CN" w:bidi="ar-SA"/>
                    </w:rPr>
                  </w:pPr>
                  <w:r>
                    <w:rPr>
                      <w:rFonts w:hint="eastAsia"/>
                      <w:spacing w:val="8"/>
                      <w:kern w:val="10"/>
                      <w:sz w:val="21"/>
                      <w:szCs w:val="21"/>
                      <w:lang w:val="en-US" w:eastAsia="zh-CN"/>
                    </w:rPr>
                    <w:t>燃烧箱</w:t>
                  </w:r>
                </w:p>
              </w:tc>
              <w:tc>
                <w:tcPr>
                  <w:tcW w:w="894" w:type="pct"/>
                  <w:shd w:val="clear" w:color="auto" w:fill="auto"/>
                  <w:vAlign w:val="center"/>
                </w:tcPr>
                <w:p w14:paraId="14CF1CAD">
                  <w:pPr>
                    <w:autoSpaceDE w:val="0"/>
                    <w:autoSpaceDN w:val="0"/>
                    <w:adjustRightInd w:val="0"/>
                    <w:snapToGrid w:val="0"/>
                    <w:jc w:val="center"/>
                    <w:rPr>
                      <w:rFonts w:hint="default" w:asciiTheme="minorHAnsi" w:hAnsiTheme="minorHAnsi" w:eastAsiaTheme="minorEastAsia" w:cstheme="minorBidi"/>
                      <w:kern w:val="2"/>
                      <w:sz w:val="21"/>
                      <w:szCs w:val="21"/>
                      <w:lang w:val="en-US" w:eastAsia="zh-CN" w:bidi="ar-SA"/>
                    </w:rPr>
                  </w:pPr>
                  <w:r>
                    <w:rPr>
                      <w:rFonts w:hint="eastAsia"/>
                      <w:kern w:val="2"/>
                      <w:sz w:val="21"/>
                      <w:szCs w:val="21"/>
                      <w:lang w:val="en-US" w:eastAsia="zh-CN" w:bidi="ar-SA"/>
                    </w:rPr>
                    <w:t>/</w:t>
                  </w:r>
                </w:p>
              </w:tc>
              <w:tc>
                <w:tcPr>
                  <w:tcW w:w="362" w:type="pct"/>
                  <w:vAlign w:val="center"/>
                </w:tcPr>
                <w:p w14:paraId="18C1067C">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个</w:t>
                  </w:r>
                </w:p>
              </w:tc>
              <w:tc>
                <w:tcPr>
                  <w:tcW w:w="368" w:type="pct"/>
                  <w:shd w:val="clear" w:color="auto" w:fill="auto"/>
                  <w:vAlign w:val="center"/>
                </w:tcPr>
                <w:p w14:paraId="45167407">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2</w:t>
                  </w:r>
                </w:p>
              </w:tc>
              <w:tc>
                <w:tcPr>
                  <w:tcW w:w="714" w:type="pct"/>
                  <w:vAlign w:val="center"/>
                </w:tcPr>
                <w:p w14:paraId="4281CD4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7C7A3CD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6D35A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4B4C9F61">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1489" w:type="pct"/>
                  <w:shd w:val="clear" w:color="auto" w:fill="auto"/>
                  <w:vAlign w:val="center"/>
                </w:tcPr>
                <w:p w14:paraId="1956F795">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分析天平</w:t>
                  </w:r>
                </w:p>
              </w:tc>
              <w:tc>
                <w:tcPr>
                  <w:tcW w:w="894" w:type="pct"/>
                  <w:shd w:val="clear" w:color="auto" w:fill="auto"/>
                  <w:vAlign w:val="center"/>
                </w:tcPr>
                <w:p w14:paraId="10ECB21E">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AL204</w:t>
                  </w:r>
                </w:p>
              </w:tc>
              <w:tc>
                <w:tcPr>
                  <w:tcW w:w="362" w:type="pct"/>
                  <w:vAlign w:val="center"/>
                </w:tcPr>
                <w:p w14:paraId="4EB2A0D7">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368" w:type="pct"/>
                  <w:shd w:val="clear" w:color="auto" w:fill="auto"/>
                  <w:vAlign w:val="center"/>
                </w:tcPr>
                <w:p w14:paraId="674E8F18">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1</w:t>
                  </w:r>
                </w:p>
              </w:tc>
              <w:tc>
                <w:tcPr>
                  <w:tcW w:w="714" w:type="pct"/>
                  <w:vAlign w:val="center"/>
                </w:tcPr>
                <w:p w14:paraId="61A0C82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12C14A9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7112B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1E7F90D6">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1489" w:type="pct"/>
                  <w:shd w:val="clear" w:color="auto" w:fill="auto"/>
                  <w:vAlign w:val="center"/>
                </w:tcPr>
                <w:p w14:paraId="407D660F">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水分检测仪</w:t>
                  </w:r>
                </w:p>
              </w:tc>
              <w:tc>
                <w:tcPr>
                  <w:tcW w:w="894" w:type="pct"/>
                  <w:shd w:val="clear" w:color="auto" w:fill="auto"/>
                  <w:vAlign w:val="center"/>
                </w:tcPr>
                <w:p w14:paraId="3D8F027C">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w:t>
                  </w:r>
                </w:p>
              </w:tc>
              <w:tc>
                <w:tcPr>
                  <w:tcW w:w="362" w:type="pct"/>
                  <w:vAlign w:val="center"/>
                </w:tcPr>
                <w:p w14:paraId="5AE00A37">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368" w:type="pct"/>
                  <w:shd w:val="clear" w:color="auto" w:fill="auto"/>
                  <w:vAlign w:val="center"/>
                </w:tcPr>
                <w:p w14:paraId="012EA939">
                  <w:pPr>
                    <w:spacing w:line="240" w:lineRule="auto"/>
                    <w:jc w:val="center"/>
                    <w:rPr>
                      <w:rFonts w:hint="default" w:ascii="Times New Roman" w:hAnsi="Times New Roman" w:eastAsia="宋体" w:cs="Times New Roman"/>
                      <w:b w:val="0"/>
                      <w:bCs w:val="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bidi="ar-SA"/>
                    </w:rPr>
                    <w:t>1</w:t>
                  </w:r>
                </w:p>
              </w:tc>
              <w:tc>
                <w:tcPr>
                  <w:tcW w:w="714" w:type="pct"/>
                  <w:vAlign w:val="center"/>
                </w:tcPr>
                <w:p w14:paraId="14FE7D0D">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58FFBAF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0E51F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2DD26B38">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489" w:type="pct"/>
                  <w:shd w:val="clear" w:color="auto" w:fill="auto"/>
                  <w:vAlign w:val="center"/>
                </w:tcPr>
                <w:p w14:paraId="478B3781">
                  <w:pPr>
                    <w:autoSpaceDE w:val="0"/>
                    <w:autoSpaceDN w:val="0"/>
                    <w:adjustRightInd w:val="0"/>
                    <w:snapToGrid w:val="0"/>
                    <w:jc w:val="center"/>
                    <w:rPr>
                      <w:rFonts w:hint="default" w:eastAsia="宋体" w:asciiTheme="minorHAnsi" w:hAnsiTheme="minorHAnsi" w:cstheme="minorBidi"/>
                      <w:spacing w:val="8"/>
                      <w:kern w:val="10"/>
                      <w:sz w:val="21"/>
                      <w:szCs w:val="21"/>
                      <w:lang w:val="en-US" w:eastAsia="zh-CN" w:bidi="ar-SA"/>
                    </w:rPr>
                  </w:pPr>
                  <w:r>
                    <w:rPr>
                      <w:rFonts w:hint="eastAsia"/>
                      <w:spacing w:val="8"/>
                      <w:kern w:val="10"/>
                      <w:sz w:val="21"/>
                      <w:szCs w:val="21"/>
                      <w:lang w:val="en-US" w:eastAsia="zh-CN"/>
                    </w:rPr>
                    <w:t>电导率仪</w:t>
                  </w:r>
                </w:p>
              </w:tc>
              <w:tc>
                <w:tcPr>
                  <w:tcW w:w="894" w:type="pct"/>
                  <w:shd w:val="clear" w:color="auto" w:fill="auto"/>
                  <w:vAlign w:val="center"/>
                </w:tcPr>
                <w:p w14:paraId="24A09492">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GDS-307N</w:t>
                  </w:r>
                </w:p>
              </w:tc>
              <w:tc>
                <w:tcPr>
                  <w:tcW w:w="362" w:type="pct"/>
                  <w:vAlign w:val="center"/>
                </w:tcPr>
                <w:p w14:paraId="7511CC85">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个</w:t>
                  </w:r>
                </w:p>
              </w:tc>
              <w:tc>
                <w:tcPr>
                  <w:tcW w:w="368" w:type="pct"/>
                  <w:shd w:val="clear" w:color="auto" w:fill="auto"/>
                  <w:vAlign w:val="center"/>
                </w:tcPr>
                <w:p w14:paraId="1F42A45F">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1</w:t>
                  </w:r>
                </w:p>
              </w:tc>
              <w:tc>
                <w:tcPr>
                  <w:tcW w:w="714" w:type="pct"/>
                  <w:vAlign w:val="center"/>
                </w:tcPr>
                <w:p w14:paraId="484F1CF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7024536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1AA66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32E3AE88">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c>
                <w:tcPr>
                  <w:tcW w:w="1489" w:type="pct"/>
                  <w:shd w:val="clear" w:color="auto" w:fill="auto"/>
                  <w:vAlign w:val="center"/>
                </w:tcPr>
                <w:p w14:paraId="6AD1BAC2">
                  <w:pPr>
                    <w:spacing w:line="240" w:lineRule="auto"/>
                    <w:jc w:val="center"/>
                    <w:rPr>
                      <w:rFonts w:hint="default" w:cs="Times New Roman" w:asciiTheme="minorHAnsi" w:hAnsiTheme="minorHAnsi" w:eastAsiaTheme="minorEastAsia"/>
                      <w:b w:val="0"/>
                      <w:bCs w:val="0"/>
                      <w:kern w:val="2"/>
                      <w:sz w:val="21"/>
                      <w:szCs w:val="21"/>
                      <w:vertAlign w:val="baseline"/>
                      <w:lang w:val="en-US" w:eastAsia="zh-CN" w:bidi="ar-SA"/>
                    </w:rPr>
                  </w:pPr>
                  <w:r>
                    <w:rPr>
                      <w:rFonts w:hint="eastAsia" w:cs="Times New Roman"/>
                      <w:b w:val="0"/>
                      <w:bCs w:val="0"/>
                      <w:kern w:val="2"/>
                      <w:sz w:val="21"/>
                      <w:szCs w:val="21"/>
                      <w:vertAlign w:val="baseline"/>
                      <w:lang w:val="en-US" w:eastAsia="zh-CN" w:bidi="ar-SA"/>
                    </w:rPr>
                    <w:t>烘箱</w:t>
                  </w:r>
                </w:p>
              </w:tc>
              <w:tc>
                <w:tcPr>
                  <w:tcW w:w="894" w:type="pct"/>
                  <w:shd w:val="clear" w:color="auto" w:fill="auto"/>
                  <w:vAlign w:val="center"/>
                </w:tcPr>
                <w:p w14:paraId="74CCDB43">
                  <w:pPr>
                    <w:spacing w:line="240" w:lineRule="auto"/>
                    <w:jc w:val="center"/>
                    <w:rPr>
                      <w:rFonts w:hint="default" w:cs="Times New Roman" w:asciiTheme="minorHAnsi" w:hAnsiTheme="minorHAnsi" w:eastAsiaTheme="minorEastAsia"/>
                      <w:b w:val="0"/>
                      <w:bCs w:val="0"/>
                      <w:kern w:val="2"/>
                      <w:sz w:val="21"/>
                      <w:szCs w:val="21"/>
                      <w:vertAlign w:val="baseline"/>
                      <w:lang w:val="en-US" w:eastAsia="zh-CN" w:bidi="ar-SA"/>
                    </w:rPr>
                  </w:pPr>
                  <w:r>
                    <w:rPr>
                      <w:rFonts w:hint="eastAsia" w:cs="Times New Roman"/>
                      <w:b w:val="0"/>
                      <w:bCs w:val="0"/>
                      <w:kern w:val="2"/>
                      <w:sz w:val="21"/>
                      <w:szCs w:val="21"/>
                      <w:vertAlign w:val="baseline"/>
                      <w:lang w:val="en-US" w:eastAsia="zh-CN" w:bidi="ar-SA"/>
                    </w:rPr>
                    <w:t>SHW-3L</w:t>
                  </w:r>
                </w:p>
              </w:tc>
              <w:tc>
                <w:tcPr>
                  <w:tcW w:w="362" w:type="pct"/>
                  <w:vAlign w:val="center"/>
                </w:tcPr>
                <w:p w14:paraId="54BAB956">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个</w:t>
                  </w:r>
                </w:p>
              </w:tc>
              <w:tc>
                <w:tcPr>
                  <w:tcW w:w="368" w:type="pct"/>
                  <w:shd w:val="clear" w:color="auto" w:fill="auto"/>
                  <w:vAlign w:val="center"/>
                </w:tcPr>
                <w:p w14:paraId="72A0BE70">
                  <w:pPr>
                    <w:spacing w:line="240" w:lineRule="auto"/>
                    <w:jc w:val="center"/>
                    <w:rPr>
                      <w:rFonts w:hint="default" w:cs="Times New Roman" w:asciiTheme="minorHAnsi" w:hAnsiTheme="minorHAnsi" w:eastAsiaTheme="minorEastAsia"/>
                      <w:b w:val="0"/>
                      <w:bCs w:val="0"/>
                      <w:kern w:val="2"/>
                      <w:sz w:val="21"/>
                      <w:szCs w:val="21"/>
                      <w:vertAlign w:val="baseline"/>
                      <w:lang w:val="en-US" w:eastAsia="zh-CN" w:bidi="ar-SA"/>
                    </w:rPr>
                  </w:pPr>
                  <w:r>
                    <w:rPr>
                      <w:rFonts w:hint="eastAsia" w:cs="Times New Roman"/>
                      <w:b w:val="0"/>
                      <w:bCs w:val="0"/>
                      <w:kern w:val="2"/>
                      <w:sz w:val="21"/>
                      <w:szCs w:val="21"/>
                      <w:vertAlign w:val="baseline"/>
                      <w:lang w:val="en-US" w:eastAsia="zh-CN" w:bidi="ar-SA"/>
                    </w:rPr>
                    <w:t>2</w:t>
                  </w:r>
                </w:p>
              </w:tc>
              <w:tc>
                <w:tcPr>
                  <w:tcW w:w="714" w:type="pct"/>
                  <w:vAlign w:val="center"/>
                </w:tcPr>
                <w:p w14:paraId="29C15F6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38A0992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2EC42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44936CE4">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w:t>
                  </w:r>
                </w:p>
              </w:tc>
              <w:tc>
                <w:tcPr>
                  <w:tcW w:w="1489" w:type="pct"/>
                  <w:shd w:val="clear" w:color="auto" w:fill="auto"/>
                  <w:vAlign w:val="center"/>
                </w:tcPr>
                <w:p w14:paraId="57E47297">
                  <w:pPr>
                    <w:spacing w:line="240" w:lineRule="auto"/>
                    <w:jc w:val="center"/>
                    <w:rPr>
                      <w:rFonts w:hint="eastAsia" w:cs="Times New Roman" w:asciiTheme="minorHAnsi" w:hAnsiTheme="minorHAnsi" w:eastAsiaTheme="minorEastAsia"/>
                      <w:b w:val="0"/>
                      <w:bCs w:val="0"/>
                      <w:kern w:val="2"/>
                      <w:sz w:val="21"/>
                      <w:szCs w:val="21"/>
                      <w:vertAlign w:val="baseline"/>
                      <w:lang w:val="en-US" w:eastAsia="zh-CN" w:bidi="ar-SA"/>
                    </w:rPr>
                  </w:pPr>
                  <w:r>
                    <w:rPr>
                      <w:rFonts w:hint="eastAsia" w:cs="Times New Roman"/>
                      <w:b w:val="0"/>
                      <w:bCs w:val="0"/>
                      <w:kern w:val="2"/>
                      <w:sz w:val="21"/>
                      <w:szCs w:val="21"/>
                      <w:vertAlign w:val="baseline"/>
                      <w:lang w:val="en-US" w:eastAsia="zh-CN" w:bidi="ar-SA"/>
                    </w:rPr>
                    <w:t>通风橱</w:t>
                  </w:r>
                </w:p>
              </w:tc>
              <w:tc>
                <w:tcPr>
                  <w:tcW w:w="894" w:type="pct"/>
                  <w:shd w:val="clear" w:color="auto" w:fill="auto"/>
                  <w:vAlign w:val="center"/>
                </w:tcPr>
                <w:p w14:paraId="7C9BA34B">
                  <w:pPr>
                    <w:spacing w:line="240" w:lineRule="auto"/>
                    <w:jc w:val="center"/>
                    <w:rPr>
                      <w:rFonts w:hint="default" w:cs="Times New Roman" w:asciiTheme="minorHAnsi" w:hAnsiTheme="minorHAnsi" w:eastAsiaTheme="minorEastAsia"/>
                      <w:b w:val="0"/>
                      <w:bCs w:val="0"/>
                      <w:kern w:val="2"/>
                      <w:sz w:val="21"/>
                      <w:szCs w:val="21"/>
                      <w:vertAlign w:val="baseline"/>
                      <w:lang w:val="en-US" w:eastAsia="zh-CN" w:bidi="ar-SA"/>
                    </w:rPr>
                  </w:pPr>
                  <w:r>
                    <w:rPr>
                      <w:rFonts w:hint="eastAsia" w:cs="Times New Roman"/>
                      <w:b w:val="0"/>
                      <w:bCs w:val="0"/>
                      <w:kern w:val="2"/>
                      <w:sz w:val="21"/>
                      <w:szCs w:val="21"/>
                      <w:vertAlign w:val="baseline"/>
                      <w:lang w:val="en-US" w:eastAsia="zh-CN" w:bidi="ar-SA"/>
                    </w:rPr>
                    <w:t>/</w:t>
                  </w:r>
                </w:p>
              </w:tc>
              <w:tc>
                <w:tcPr>
                  <w:tcW w:w="362" w:type="pct"/>
                  <w:vAlign w:val="center"/>
                </w:tcPr>
                <w:p w14:paraId="6E90DBE5">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个</w:t>
                  </w:r>
                </w:p>
              </w:tc>
              <w:tc>
                <w:tcPr>
                  <w:tcW w:w="368" w:type="pct"/>
                  <w:shd w:val="clear" w:color="auto" w:fill="auto"/>
                  <w:vAlign w:val="center"/>
                </w:tcPr>
                <w:p w14:paraId="72739985">
                  <w:pPr>
                    <w:spacing w:line="240" w:lineRule="auto"/>
                    <w:jc w:val="center"/>
                    <w:rPr>
                      <w:rFonts w:hint="default" w:cs="Times New Roman" w:asciiTheme="minorHAnsi" w:hAnsiTheme="minorHAnsi" w:eastAsiaTheme="minorEastAsia"/>
                      <w:b w:val="0"/>
                      <w:bCs w:val="0"/>
                      <w:kern w:val="2"/>
                      <w:sz w:val="21"/>
                      <w:szCs w:val="21"/>
                      <w:vertAlign w:val="baseline"/>
                      <w:lang w:val="en-US" w:eastAsia="zh-CN" w:bidi="ar-SA"/>
                    </w:rPr>
                  </w:pPr>
                  <w:r>
                    <w:rPr>
                      <w:rFonts w:hint="eastAsia" w:cs="Times New Roman"/>
                      <w:b w:val="0"/>
                      <w:bCs w:val="0"/>
                      <w:kern w:val="2"/>
                      <w:sz w:val="21"/>
                      <w:szCs w:val="21"/>
                      <w:vertAlign w:val="baseline"/>
                      <w:lang w:val="en-US" w:eastAsia="zh-CN" w:bidi="ar-SA"/>
                    </w:rPr>
                    <w:t>2</w:t>
                  </w:r>
                </w:p>
              </w:tc>
              <w:tc>
                <w:tcPr>
                  <w:tcW w:w="714" w:type="pct"/>
                  <w:vAlign w:val="center"/>
                </w:tcPr>
                <w:p w14:paraId="10EDF92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2200373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25153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05CE4B3D">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w:t>
                  </w:r>
                </w:p>
              </w:tc>
              <w:tc>
                <w:tcPr>
                  <w:tcW w:w="1489" w:type="pct"/>
                  <w:shd w:val="clear" w:color="auto" w:fill="auto"/>
                  <w:vAlign w:val="center"/>
                </w:tcPr>
                <w:p w14:paraId="4A0888F5">
                  <w:pPr>
                    <w:autoSpaceDE w:val="0"/>
                    <w:autoSpaceDN w:val="0"/>
                    <w:adjustRightInd w:val="0"/>
                    <w:snapToGrid w:val="0"/>
                    <w:jc w:val="center"/>
                    <w:rPr>
                      <w:rFonts w:hint="eastAsia" w:eastAsia="宋体" w:asciiTheme="minorHAnsi" w:hAnsiTheme="minorHAnsi" w:cstheme="minorBidi"/>
                      <w:spacing w:val="8"/>
                      <w:kern w:val="10"/>
                      <w:sz w:val="21"/>
                      <w:szCs w:val="21"/>
                      <w:lang w:val="en-US" w:eastAsia="zh-CN" w:bidi="ar-SA"/>
                    </w:rPr>
                  </w:pPr>
                  <w:r>
                    <w:rPr>
                      <w:rFonts w:hint="eastAsia" w:eastAsia="宋体"/>
                      <w:spacing w:val="8"/>
                      <w:kern w:val="10"/>
                      <w:sz w:val="21"/>
                      <w:szCs w:val="21"/>
                      <w:lang w:val="en-US" w:eastAsia="zh-CN"/>
                    </w:rPr>
                    <w:t>超声波分散器</w:t>
                  </w:r>
                </w:p>
              </w:tc>
              <w:tc>
                <w:tcPr>
                  <w:tcW w:w="894" w:type="pct"/>
                  <w:shd w:val="clear" w:color="auto" w:fill="auto"/>
                  <w:vAlign w:val="center"/>
                </w:tcPr>
                <w:p w14:paraId="6BFDE6EA">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B-50</w:t>
                  </w:r>
                </w:p>
              </w:tc>
              <w:tc>
                <w:tcPr>
                  <w:tcW w:w="362" w:type="pct"/>
                  <w:vAlign w:val="center"/>
                </w:tcPr>
                <w:p w14:paraId="170EA93C">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个</w:t>
                  </w:r>
                </w:p>
              </w:tc>
              <w:tc>
                <w:tcPr>
                  <w:tcW w:w="368" w:type="pct"/>
                  <w:shd w:val="clear" w:color="auto" w:fill="auto"/>
                  <w:vAlign w:val="center"/>
                </w:tcPr>
                <w:p w14:paraId="1762B5E9">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1</w:t>
                  </w:r>
                </w:p>
              </w:tc>
              <w:tc>
                <w:tcPr>
                  <w:tcW w:w="714" w:type="pct"/>
                  <w:vAlign w:val="center"/>
                </w:tcPr>
                <w:p w14:paraId="35BCF52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70A57FB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586A8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612C7B4F">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w:t>
                  </w:r>
                </w:p>
              </w:tc>
              <w:tc>
                <w:tcPr>
                  <w:tcW w:w="1489" w:type="pct"/>
                  <w:shd w:val="clear" w:color="auto" w:fill="auto"/>
                  <w:vAlign w:val="center"/>
                </w:tcPr>
                <w:p w14:paraId="5FE9232E">
                  <w:pPr>
                    <w:autoSpaceDE w:val="0"/>
                    <w:autoSpaceDN w:val="0"/>
                    <w:adjustRightInd w:val="0"/>
                    <w:snapToGrid w:val="0"/>
                    <w:jc w:val="center"/>
                    <w:rPr>
                      <w:rFonts w:hint="eastAsia" w:eastAsia="宋体" w:asciiTheme="minorHAnsi" w:hAnsiTheme="minorHAnsi" w:cstheme="minorBidi"/>
                      <w:spacing w:val="8"/>
                      <w:kern w:val="10"/>
                      <w:sz w:val="21"/>
                      <w:szCs w:val="21"/>
                      <w:lang w:val="en-US" w:eastAsia="zh-CN" w:bidi="ar-SA"/>
                    </w:rPr>
                  </w:pPr>
                  <w:r>
                    <w:rPr>
                      <w:rFonts w:hint="eastAsia" w:eastAsia="宋体"/>
                      <w:spacing w:val="8"/>
                      <w:kern w:val="10"/>
                      <w:sz w:val="21"/>
                      <w:szCs w:val="21"/>
                      <w:lang w:val="en-US" w:eastAsia="zh-CN"/>
                    </w:rPr>
                    <w:t>水浴锅</w:t>
                  </w:r>
                </w:p>
              </w:tc>
              <w:tc>
                <w:tcPr>
                  <w:tcW w:w="894" w:type="pct"/>
                  <w:shd w:val="clear" w:color="auto" w:fill="auto"/>
                  <w:vAlign w:val="center"/>
                </w:tcPr>
                <w:p w14:paraId="3935FD04">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ZKYY-5L</w:t>
                  </w:r>
                </w:p>
              </w:tc>
              <w:tc>
                <w:tcPr>
                  <w:tcW w:w="362" w:type="pct"/>
                  <w:vAlign w:val="center"/>
                </w:tcPr>
                <w:p w14:paraId="19B21254">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个</w:t>
                  </w:r>
                </w:p>
              </w:tc>
              <w:tc>
                <w:tcPr>
                  <w:tcW w:w="368" w:type="pct"/>
                  <w:shd w:val="clear" w:color="auto" w:fill="auto"/>
                  <w:vAlign w:val="center"/>
                </w:tcPr>
                <w:p w14:paraId="20E3BBC2">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3</w:t>
                  </w:r>
                </w:p>
              </w:tc>
              <w:tc>
                <w:tcPr>
                  <w:tcW w:w="714" w:type="pct"/>
                  <w:vAlign w:val="center"/>
                </w:tcPr>
                <w:p w14:paraId="7B084AB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250DDF5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2B858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12DC7AFC">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489" w:type="pct"/>
                  <w:shd w:val="clear" w:color="auto" w:fill="auto"/>
                  <w:vAlign w:val="center"/>
                </w:tcPr>
                <w:p w14:paraId="6EC29837">
                  <w:pPr>
                    <w:autoSpaceDE w:val="0"/>
                    <w:autoSpaceDN w:val="0"/>
                    <w:adjustRightInd w:val="0"/>
                    <w:snapToGrid w:val="0"/>
                    <w:jc w:val="center"/>
                    <w:rPr>
                      <w:rFonts w:hint="default" w:eastAsia="宋体" w:asciiTheme="minorHAnsi" w:hAnsiTheme="minorHAnsi" w:cstheme="minorBidi"/>
                      <w:spacing w:val="8"/>
                      <w:kern w:val="10"/>
                      <w:sz w:val="21"/>
                      <w:szCs w:val="21"/>
                      <w:lang w:val="en-US" w:eastAsia="zh-CN" w:bidi="ar-SA"/>
                    </w:rPr>
                  </w:pPr>
                  <w:r>
                    <w:rPr>
                      <w:rFonts w:hint="eastAsia"/>
                      <w:spacing w:val="8"/>
                      <w:kern w:val="10"/>
                      <w:sz w:val="21"/>
                      <w:szCs w:val="21"/>
                      <w:lang w:val="en-US" w:eastAsia="zh-CN"/>
                    </w:rPr>
                    <w:t>激光粒度分析仪</w:t>
                  </w:r>
                </w:p>
              </w:tc>
              <w:tc>
                <w:tcPr>
                  <w:tcW w:w="894" w:type="pct"/>
                  <w:shd w:val="clear" w:color="auto" w:fill="auto"/>
                  <w:vAlign w:val="center"/>
                </w:tcPr>
                <w:p w14:paraId="15BED7D8">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BG-9300H</w:t>
                  </w:r>
                </w:p>
              </w:tc>
              <w:tc>
                <w:tcPr>
                  <w:tcW w:w="362" w:type="pct"/>
                  <w:vAlign w:val="center"/>
                </w:tcPr>
                <w:p w14:paraId="71C14036">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个</w:t>
                  </w:r>
                </w:p>
              </w:tc>
              <w:tc>
                <w:tcPr>
                  <w:tcW w:w="368" w:type="pct"/>
                  <w:shd w:val="clear" w:color="auto" w:fill="auto"/>
                  <w:vAlign w:val="center"/>
                </w:tcPr>
                <w:p w14:paraId="1C0FACFB">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1</w:t>
                  </w:r>
                </w:p>
              </w:tc>
              <w:tc>
                <w:tcPr>
                  <w:tcW w:w="714" w:type="pct"/>
                  <w:vAlign w:val="center"/>
                </w:tcPr>
                <w:p w14:paraId="1F98DB0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0B057B2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479BC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316CE584">
                  <w:pPr>
                    <w:pStyle w:val="34"/>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11</w:t>
                  </w:r>
                </w:p>
              </w:tc>
              <w:tc>
                <w:tcPr>
                  <w:tcW w:w="1489" w:type="pct"/>
                  <w:shd w:val="clear" w:color="auto" w:fill="auto"/>
                  <w:vAlign w:val="center"/>
                </w:tcPr>
                <w:p w14:paraId="3EAE9849">
                  <w:pPr>
                    <w:autoSpaceDE w:val="0"/>
                    <w:autoSpaceDN w:val="0"/>
                    <w:adjustRightInd w:val="0"/>
                    <w:snapToGrid w:val="0"/>
                    <w:jc w:val="center"/>
                    <w:rPr>
                      <w:rFonts w:hint="default" w:eastAsia="宋体" w:asciiTheme="minorHAnsi" w:hAnsiTheme="minorHAnsi" w:cstheme="minorBidi"/>
                      <w:spacing w:val="8"/>
                      <w:kern w:val="10"/>
                      <w:sz w:val="21"/>
                      <w:szCs w:val="21"/>
                      <w:lang w:val="en-US" w:eastAsia="zh-CN" w:bidi="ar-SA"/>
                    </w:rPr>
                  </w:pPr>
                  <w:r>
                    <w:rPr>
                      <w:rFonts w:hint="eastAsia"/>
                      <w:spacing w:val="8"/>
                      <w:kern w:val="10"/>
                      <w:sz w:val="21"/>
                      <w:szCs w:val="21"/>
                      <w:lang w:val="en-US" w:eastAsia="zh-CN"/>
                    </w:rPr>
                    <w:t>氧指数检测仪</w:t>
                  </w:r>
                </w:p>
              </w:tc>
              <w:tc>
                <w:tcPr>
                  <w:tcW w:w="894" w:type="pct"/>
                  <w:shd w:val="clear" w:color="auto" w:fill="auto"/>
                  <w:vAlign w:val="center"/>
                </w:tcPr>
                <w:p w14:paraId="6A527656">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JF-3</w:t>
                  </w:r>
                </w:p>
              </w:tc>
              <w:tc>
                <w:tcPr>
                  <w:tcW w:w="362" w:type="pct"/>
                  <w:vAlign w:val="center"/>
                </w:tcPr>
                <w:p w14:paraId="7A88F9D2">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368" w:type="pct"/>
                  <w:shd w:val="clear" w:color="auto" w:fill="auto"/>
                  <w:vAlign w:val="center"/>
                </w:tcPr>
                <w:p w14:paraId="4DD1DF69">
                  <w:pPr>
                    <w:autoSpaceDE w:val="0"/>
                    <w:autoSpaceDN w:val="0"/>
                    <w:adjustRightInd w:val="0"/>
                    <w:snapToGrid w:val="0"/>
                    <w:jc w:val="center"/>
                    <w:rPr>
                      <w:rFonts w:hint="default" w:eastAsia="宋体" w:asciiTheme="minorHAnsi" w:hAnsiTheme="minorHAnsi" w:cstheme="minorBidi"/>
                      <w:kern w:val="2"/>
                      <w:sz w:val="21"/>
                      <w:szCs w:val="21"/>
                      <w:lang w:val="en-US" w:eastAsia="zh-CN" w:bidi="ar-SA"/>
                    </w:rPr>
                  </w:pPr>
                  <w:r>
                    <w:rPr>
                      <w:rFonts w:hint="eastAsia"/>
                      <w:sz w:val="21"/>
                      <w:szCs w:val="21"/>
                      <w:lang w:val="en-US" w:eastAsia="zh-CN"/>
                    </w:rPr>
                    <w:t>1</w:t>
                  </w:r>
                </w:p>
              </w:tc>
              <w:tc>
                <w:tcPr>
                  <w:tcW w:w="714" w:type="pct"/>
                  <w:vAlign w:val="center"/>
                </w:tcPr>
                <w:p w14:paraId="75D0458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外购</w:t>
                  </w:r>
                </w:p>
              </w:tc>
              <w:tc>
                <w:tcPr>
                  <w:tcW w:w="765" w:type="pct"/>
                  <w:vAlign w:val="center"/>
                </w:tcPr>
                <w:p w14:paraId="796C6CA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技术中心</w:t>
                  </w:r>
                </w:p>
              </w:tc>
            </w:tr>
            <w:tr w14:paraId="78155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7C710505">
                  <w:pPr>
                    <w:pStyle w:val="34"/>
                    <w:jc w:val="center"/>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1489" w:type="pct"/>
                  <w:vAlign w:val="center"/>
                </w:tcPr>
                <w:p w14:paraId="50D0E2A3">
                  <w:pPr>
                    <w:pStyle w:val="34"/>
                    <w:jc w:val="center"/>
                    <w:rPr>
                      <w:rFonts w:hint="eastAsia" w:cs="Times New Roman"/>
                      <w:color w:val="auto"/>
                      <w:sz w:val="21"/>
                      <w:szCs w:val="21"/>
                      <w:lang w:eastAsia="zh-CN"/>
                    </w:rPr>
                  </w:pPr>
                  <w:r>
                    <w:rPr>
                      <w:rFonts w:hint="eastAsia" w:cs="Times New Roman"/>
                      <w:color w:val="auto"/>
                      <w:sz w:val="21"/>
                      <w:szCs w:val="21"/>
                      <w:lang w:eastAsia="zh-CN"/>
                    </w:rPr>
                    <w:t>风机</w:t>
                  </w:r>
                </w:p>
              </w:tc>
              <w:tc>
                <w:tcPr>
                  <w:tcW w:w="894" w:type="pct"/>
                  <w:vAlign w:val="center"/>
                </w:tcPr>
                <w:p w14:paraId="599E2211">
                  <w:pPr>
                    <w:pStyle w:val="34"/>
                    <w:jc w:val="center"/>
                    <w:rPr>
                      <w:rFonts w:hint="eastAsia" w:cs="Times New Roman"/>
                      <w:color w:val="auto"/>
                      <w:sz w:val="21"/>
                      <w:szCs w:val="21"/>
                      <w:lang w:val="en-US" w:eastAsia="zh-CN"/>
                    </w:rPr>
                  </w:pPr>
                  <w:r>
                    <w:rPr>
                      <w:rFonts w:hint="eastAsia" w:cs="Times New Roman"/>
                      <w:color w:val="auto"/>
                      <w:sz w:val="21"/>
                      <w:szCs w:val="21"/>
                      <w:lang w:val="en-US" w:eastAsia="zh-CN"/>
                    </w:rPr>
                    <w:t>30000m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/h</w:t>
                  </w:r>
                </w:p>
              </w:tc>
              <w:tc>
                <w:tcPr>
                  <w:tcW w:w="362" w:type="pct"/>
                  <w:vAlign w:val="center"/>
                </w:tcPr>
                <w:p w14:paraId="4BDF8579">
                  <w:pPr>
                    <w:pStyle w:val="34"/>
                    <w:jc w:val="center"/>
                    <w:rPr>
                      <w:rFonts w:hint="eastAsia" w:ascii="Times New Roman" w:hAnsi="Times New Roman" w:cs="Times New Roman"/>
                      <w:color w:val="auto"/>
                      <w:sz w:val="21"/>
                      <w:szCs w:val="21"/>
                      <w:lang w:eastAsia="zh-CN"/>
                    </w:rPr>
                  </w:pPr>
                  <w:r>
                    <w:rPr>
                      <w:rFonts w:hint="eastAsia" w:cs="Times New Roman"/>
                      <w:color w:val="auto"/>
                      <w:sz w:val="21"/>
                      <w:szCs w:val="21"/>
                      <w:lang w:eastAsia="zh-CN"/>
                    </w:rPr>
                    <w:t>台</w:t>
                  </w:r>
                </w:p>
              </w:tc>
              <w:tc>
                <w:tcPr>
                  <w:tcW w:w="368" w:type="pct"/>
                  <w:vAlign w:val="center"/>
                </w:tcPr>
                <w:p w14:paraId="561CF90E">
                  <w:pPr>
                    <w:pStyle w:val="34"/>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w:t>
                  </w:r>
                </w:p>
              </w:tc>
              <w:tc>
                <w:tcPr>
                  <w:tcW w:w="714" w:type="pct"/>
                  <w:vAlign w:val="center"/>
                </w:tcPr>
                <w:p w14:paraId="01FF0978">
                  <w:pPr>
                    <w:pStyle w:val="34"/>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765" w:type="pct"/>
                  <w:vAlign w:val="center"/>
                </w:tcPr>
                <w:p w14:paraId="4F4A5AEC">
                  <w:pPr>
                    <w:pStyle w:val="34"/>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0B2DE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Merge w:val="restart"/>
                  <w:vAlign w:val="center"/>
                </w:tcPr>
                <w:p w14:paraId="34FD244E">
                  <w:pPr>
                    <w:pStyle w:val="34"/>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1489" w:type="pct"/>
                  <w:vAlign w:val="center"/>
                </w:tcPr>
                <w:p w14:paraId="3C58CE45">
                  <w:pPr>
                    <w:pStyle w:val="34"/>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水喷淋</w:t>
                  </w:r>
                  <w:r>
                    <w:rPr>
                      <w:rFonts w:hint="eastAsia" w:ascii="Times New Roman" w:hAnsi="Times New Roman" w:cs="Times New Roman"/>
                      <w:color w:val="auto"/>
                      <w:sz w:val="21"/>
                      <w:szCs w:val="21"/>
                      <w:lang w:val="en-US" w:eastAsia="zh-CN"/>
                    </w:rPr>
                    <w:t>+二级活性炭箱</w:t>
                  </w:r>
                </w:p>
              </w:tc>
              <w:tc>
                <w:tcPr>
                  <w:tcW w:w="894" w:type="pct"/>
                  <w:vAlign w:val="center"/>
                </w:tcPr>
                <w:p w14:paraId="3C8FC96B">
                  <w:pPr>
                    <w:pStyle w:val="34"/>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362" w:type="pct"/>
                  <w:vAlign w:val="center"/>
                </w:tcPr>
                <w:p w14:paraId="22EC475D">
                  <w:pPr>
                    <w:pStyle w:val="34"/>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套</w:t>
                  </w:r>
                </w:p>
              </w:tc>
              <w:tc>
                <w:tcPr>
                  <w:tcW w:w="368" w:type="pct"/>
                  <w:vAlign w:val="center"/>
                </w:tcPr>
                <w:p w14:paraId="229A2D72">
                  <w:pPr>
                    <w:pStyle w:val="34"/>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714" w:type="pct"/>
                  <w:vAlign w:val="center"/>
                </w:tcPr>
                <w:p w14:paraId="0723182C">
                  <w:pPr>
                    <w:pStyle w:val="34"/>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765" w:type="pct"/>
                  <w:vAlign w:val="center"/>
                </w:tcPr>
                <w:p w14:paraId="45D2F45F">
                  <w:pPr>
                    <w:pStyle w:val="34"/>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5091C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 w:type="pct"/>
                  <w:vMerge w:val="continue"/>
                  <w:vAlign w:val="center"/>
                </w:tcPr>
                <w:p w14:paraId="0586D99D">
                  <w:pPr>
                    <w:pStyle w:val="34"/>
                    <w:jc w:val="center"/>
                    <w:rPr>
                      <w:rFonts w:hint="eastAsia" w:ascii="Times New Roman" w:hAnsi="Times New Roman" w:eastAsia="宋体" w:cs="Times New Roman"/>
                      <w:color w:val="auto"/>
                      <w:sz w:val="21"/>
                      <w:szCs w:val="21"/>
                      <w:lang w:val="en-US" w:eastAsia="zh-CN"/>
                    </w:rPr>
                  </w:pPr>
                </w:p>
              </w:tc>
              <w:tc>
                <w:tcPr>
                  <w:tcW w:w="1489" w:type="pct"/>
                  <w:vAlign w:val="center"/>
                </w:tcPr>
                <w:p w14:paraId="4E201C37">
                  <w:pPr>
                    <w:pStyle w:val="34"/>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风机</w:t>
                  </w:r>
                </w:p>
              </w:tc>
              <w:tc>
                <w:tcPr>
                  <w:tcW w:w="894" w:type="pct"/>
                  <w:vAlign w:val="center"/>
                </w:tcPr>
                <w:p w14:paraId="23891ADE">
                  <w:pPr>
                    <w:pStyle w:val="34"/>
                    <w:jc w:val="center"/>
                    <w:rPr>
                      <w:rFonts w:hint="default" w:ascii="Times New Roman" w:hAnsi="Times New Roman" w:cs="Times New Roman"/>
                      <w:color w:val="auto"/>
                      <w:sz w:val="21"/>
                      <w:szCs w:val="21"/>
                      <w:lang w:val="en-US"/>
                    </w:rPr>
                  </w:pPr>
                  <w:r>
                    <w:rPr>
                      <w:rFonts w:hint="eastAsia" w:cs="Times New Roman"/>
                      <w:color w:val="auto"/>
                      <w:sz w:val="21"/>
                      <w:szCs w:val="21"/>
                      <w:lang w:val="en-US" w:eastAsia="zh-CN"/>
                    </w:rPr>
                    <w:t>10000m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/h</w:t>
                  </w:r>
                </w:p>
              </w:tc>
              <w:tc>
                <w:tcPr>
                  <w:tcW w:w="362" w:type="pct"/>
                  <w:vAlign w:val="center"/>
                </w:tcPr>
                <w:p w14:paraId="6411ACC7">
                  <w:pPr>
                    <w:pStyle w:val="34"/>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台</w:t>
                  </w:r>
                </w:p>
              </w:tc>
              <w:tc>
                <w:tcPr>
                  <w:tcW w:w="368" w:type="pct"/>
                  <w:vAlign w:val="center"/>
                </w:tcPr>
                <w:p w14:paraId="5F2EFA45">
                  <w:pPr>
                    <w:pStyle w:val="34"/>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714" w:type="pct"/>
                  <w:vAlign w:val="center"/>
                </w:tcPr>
                <w:p w14:paraId="46AEA534">
                  <w:pPr>
                    <w:pStyle w:val="34"/>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765" w:type="pct"/>
                  <w:vAlign w:val="center"/>
                </w:tcPr>
                <w:p w14:paraId="6ED586E8">
                  <w:pPr>
                    <w:pStyle w:val="34"/>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bl>
          <w:p w14:paraId="4D5052BD">
            <w:pPr>
              <w:jc w:val="center"/>
              <w:rPr>
                <w:rFonts w:ascii="Times New Roman" w:hAnsi="Times New Roman" w:cs="Times New Roman"/>
                <w:b/>
                <w:bCs/>
                <w:color w:val="auto"/>
                <w:sz w:val="24"/>
              </w:rPr>
            </w:pPr>
          </w:p>
          <w:p w14:paraId="3E9E8401">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4</w:t>
            </w:r>
            <w:r>
              <w:rPr>
                <w:rFonts w:ascii="Times New Roman" w:hAnsi="Times New Roman" w:cs="Times New Roman"/>
                <w:b/>
                <w:bCs/>
                <w:color w:val="auto"/>
                <w:sz w:val="24"/>
              </w:rPr>
              <w:t>、建设项目原辅材料及燃料</w:t>
            </w:r>
          </w:p>
          <w:p w14:paraId="247BFA3D">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根据建设单位提供的资料，项目主要原辅材料及消耗见表2.</w:t>
            </w:r>
            <w:r>
              <w:rPr>
                <w:rFonts w:hint="eastAsia" w:ascii="Times New Roman" w:hAnsi="Times New Roman" w:cs="Times New Roman"/>
                <w:color w:val="auto"/>
                <w:sz w:val="24"/>
              </w:rPr>
              <w:t>3</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小试的各种原料均来自一期工程生产线，不新增用量</w:t>
            </w:r>
            <w:r>
              <w:rPr>
                <w:rFonts w:ascii="Times New Roman" w:hAnsi="Times New Roman" w:cs="Times New Roman"/>
                <w:color w:val="auto"/>
                <w:sz w:val="24"/>
              </w:rPr>
              <w:t>。</w:t>
            </w:r>
          </w:p>
          <w:p w14:paraId="7E035AA7">
            <w:pPr>
              <w:ind w:firstLine="482" w:firstLineChars="200"/>
              <w:jc w:val="center"/>
              <w:rPr>
                <w:rFonts w:ascii="Times New Roman" w:hAnsi="Times New Roman" w:cs="Times New Roman"/>
                <w:b/>
                <w:bCs/>
                <w:color w:val="auto"/>
                <w:sz w:val="24"/>
              </w:rPr>
            </w:pPr>
            <w:r>
              <w:rPr>
                <w:rFonts w:ascii="Times New Roman" w:hAnsi="Times New Roman" w:cs="Times New Roman"/>
                <w:b/>
                <w:bCs/>
                <w:color w:val="auto"/>
                <w:sz w:val="24"/>
              </w:rPr>
              <w:t>表2.</w:t>
            </w:r>
            <w:r>
              <w:rPr>
                <w:rFonts w:hint="eastAsia" w:ascii="Times New Roman" w:hAnsi="Times New Roman" w:cs="Times New Roman"/>
                <w:b/>
                <w:bCs/>
                <w:color w:val="auto"/>
                <w:sz w:val="24"/>
              </w:rPr>
              <w:t>3</w:t>
            </w:r>
            <w:r>
              <w:rPr>
                <w:rFonts w:ascii="Times New Roman" w:hAnsi="Times New Roman" w:cs="Times New Roman"/>
                <w:b/>
                <w:bCs/>
                <w:color w:val="auto"/>
                <w:sz w:val="24"/>
              </w:rPr>
              <w:t xml:space="preserve">  项目主要原辅材料消耗一览表</w:t>
            </w:r>
          </w:p>
          <w:tbl>
            <w:tblPr>
              <w:tblStyle w:val="28"/>
              <w:tblW w:w="9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2286"/>
              <w:gridCol w:w="1172"/>
              <w:gridCol w:w="1061"/>
              <w:gridCol w:w="964"/>
              <w:gridCol w:w="3305"/>
            </w:tblGrid>
            <w:tr w14:paraId="1E69B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4F1AA9E2">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序号</w:t>
                  </w:r>
                </w:p>
              </w:tc>
              <w:tc>
                <w:tcPr>
                  <w:tcW w:w="2286" w:type="dxa"/>
                  <w:vAlign w:val="center"/>
                </w:tcPr>
                <w:p w14:paraId="174E7731">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名称</w:t>
                  </w:r>
                </w:p>
              </w:tc>
              <w:tc>
                <w:tcPr>
                  <w:tcW w:w="1172" w:type="dxa"/>
                  <w:vAlign w:val="center"/>
                </w:tcPr>
                <w:p w14:paraId="38D3FA6E">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eastAsia="zh-CN"/>
                    </w:rPr>
                    <w:t>规格</w:t>
                  </w:r>
                </w:p>
              </w:tc>
              <w:tc>
                <w:tcPr>
                  <w:tcW w:w="1061" w:type="dxa"/>
                  <w:vAlign w:val="center"/>
                </w:tcPr>
                <w:p w14:paraId="6469F86E">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单位</w:t>
                  </w:r>
                </w:p>
              </w:tc>
              <w:tc>
                <w:tcPr>
                  <w:tcW w:w="964" w:type="dxa"/>
                  <w:vAlign w:val="center"/>
                </w:tcPr>
                <w:p w14:paraId="5C322D59">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hint="eastAsia" w:ascii="Times New Roman" w:hAnsi="Times New Roman" w:cs="Times New Roman"/>
                      <w:color w:val="auto"/>
                      <w:szCs w:val="21"/>
                    </w:rPr>
                    <w:t>用量</w:t>
                  </w:r>
                </w:p>
              </w:tc>
              <w:tc>
                <w:tcPr>
                  <w:tcW w:w="3305" w:type="dxa"/>
                  <w:vAlign w:val="center"/>
                </w:tcPr>
                <w:p w14:paraId="1A2CD006">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hint="eastAsia" w:ascii="Times New Roman" w:hAnsi="Times New Roman" w:cs="Times New Roman"/>
                      <w:color w:val="auto"/>
                      <w:szCs w:val="21"/>
                    </w:rPr>
                    <w:t>备注</w:t>
                  </w:r>
                </w:p>
              </w:tc>
            </w:tr>
            <w:tr w14:paraId="3EA70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7D6D93EA">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2286" w:type="dxa"/>
                  <w:vAlign w:val="center"/>
                </w:tcPr>
                <w:p w14:paraId="040B9E33">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溴</w:t>
                  </w:r>
                </w:p>
              </w:tc>
              <w:tc>
                <w:tcPr>
                  <w:tcW w:w="1172" w:type="dxa"/>
                  <w:vAlign w:val="center"/>
                </w:tcPr>
                <w:p w14:paraId="1CD4CB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500g/瓶</w:t>
                  </w:r>
                </w:p>
              </w:tc>
              <w:tc>
                <w:tcPr>
                  <w:tcW w:w="1061" w:type="dxa"/>
                  <w:vAlign w:val="center"/>
                </w:tcPr>
                <w:p w14:paraId="41F6B740">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t</w:t>
                  </w:r>
                </w:p>
              </w:tc>
              <w:tc>
                <w:tcPr>
                  <w:tcW w:w="964" w:type="dxa"/>
                  <w:vAlign w:val="center"/>
                </w:tcPr>
                <w:p w14:paraId="469C10D7">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0.025</w:t>
                  </w:r>
                </w:p>
              </w:tc>
              <w:tc>
                <w:tcPr>
                  <w:tcW w:w="3305" w:type="dxa"/>
                  <w:vAlign w:val="center"/>
                </w:tcPr>
                <w:p w14:paraId="78A02F3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实验室</w:t>
                  </w:r>
                </w:p>
              </w:tc>
            </w:tr>
            <w:tr w14:paraId="697F8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0544AEB7">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2286" w:type="dxa"/>
                  <w:vAlign w:val="center"/>
                </w:tcPr>
                <w:p w14:paraId="4594EDB1">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盐酸</w:t>
                  </w:r>
                </w:p>
              </w:tc>
              <w:tc>
                <w:tcPr>
                  <w:tcW w:w="1172" w:type="dxa"/>
                  <w:vAlign w:val="center"/>
                </w:tcPr>
                <w:p w14:paraId="097039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500g/瓶</w:t>
                  </w:r>
                </w:p>
              </w:tc>
              <w:tc>
                <w:tcPr>
                  <w:tcW w:w="1061" w:type="dxa"/>
                  <w:vAlign w:val="center"/>
                </w:tcPr>
                <w:p w14:paraId="53835872">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t</w:t>
                  </w:r>
                </w:p>
              </w:tc>
              <w:tc>
                <w:tcPr>
                  <w:tcW w:w="964" w:type="dxa"/>
                  <w:vAlign w:val="center"/>
                </w:tcPr>
                <w:p w14:paraId="2BD7DCF6">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0.050</w:t>
                  </w:r>
                </w:p>
              </w:tc>
              <w:tc>
                <w:tcPr>
                  <w:tcW w:w="3305" w:type="dxa"/>
                  <w:vAlign w:val="center"/>
                </w:tcPr>
                <w:p w14:paraId="5CA3B8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color w:val="auto"/>
                      <w:szCs w:val="21"/>
                    </w:rPr>
                  </w:pPr>
                </w:p>
              </w:tc>
            </w:tr>
            <w:tr w14:paraId="01E90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32150326">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2286" w:type="dxa"/>
                  <w:shd w:val="clear" w:color="auto" w:fill="auto"/>
                  <w:vAlign w:val="center"/>
                </w:tcPr>
                <w:p w14:paraId="0D03A652">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硝酸</w:t>
                  </w:r>
                </w:p>
              </w:tc>
              <w:tc>
                <w:tcPr>
                  <w:tcW w:w="1172" w:type="dxa"/>
                  <w:shd w:val="clear" w:color="auto" w:fill="auto"/>
                  <w:vAlign w:val="center"/>
                </w:tcPr>
                <w:p w14:paraId="460671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28D43A61">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338B6BA7">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0.025</w:t>
                  </w:r>
                </w:p>
              </w:tc>
              <w:tc>
                <w:tcPr>
                  <w:tcW w:w="3305" w:type="dxa"/>
                  <w:shd w:val="clear" w:color="auto" w:fill="auto"/>
                  <w:vAlign w:val="center"/>
                </w:tcPr>
                <w:p w14:paraId="6B1FE06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6870A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0B715A86">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2286" w:type="dxa"/>
                  <w:shd w:val="clear" w:color="auto" w:fill="auto"/>
                  <w:vAlign w:val="center"/>
                </w:tcPr>
                <w:p w14:paraId="00738B3F">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丙酮</w:t>
                  </w:r>
                </w:p>
              </w:tc>
              <w:tc>
                <w:tcPr>
                  <w:tcW w:w="1172" w:type="dxa"/>
                  <w:shd w:val="clear" w:color="auto" w:fill="auto"/>
                  <w:vAlign w:val="center"/>
                </w:tcPr>
                <w:p w14:paraId="1A0DB25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1E01EA05">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37D9F421">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b/>
                      <w:bCs/>
                      <w:color w:val="auto"/>
                      <w:kern w:val="2"/>
                      <w:sz w:val="21"/>
                      <w:szCs w:val="21"/>
                      <w:lang w:val="en-US" w:eastAsia="zh-CN" w:bidi="ar-SA"/>
                    </w:rPr>
                  </w:pPr>
                  <w:r>
                    <w:rPr>
                      <w:rFonts w:hint="eastAsia" w:ascii="Times New Roman" w:hAnsi="Times New Roman" w:cs="Times New Roman"/>
                      <w:color w:val="auto"/>
                      <w:szCs w:val="21"/>
                      <w:lang w:val="en-US" w:eastAsia="zh-CN"/>
                    </w:rPr>
                    <w:t>0.025</w:t>
                  </w:r>
                </w:p>
              </w:tc>
              <w:tc>
                <w:tcPr>
                  <w:tcW w:w="3305" w:type="dxa"/>
                  <w:shd w:val="clear" w:color="auto" w:fill="auto"/>
                  <w:vAlign w:val="center"/>
                </w:tcPr>
                <w:p w14:paraId="6B4394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50A16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792C422F">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2286" w:type="dxa"/>
                  <w:shd w:val="clear" w:color="auto" w:fill="auto"/>
                  <w:vAlign w:val="center"/>
                </w:tcPr>
                <w:p w14:paraId="3E7D7C88">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苯</w:t>
                  </w:r>
                </w:p>
              </w:tc>
              <w:tc>
                <w:tcPr>
                  <w:tcW w:w="1172" w:type="dxa"/>
                  <w:shd w:val="clear" w:color="auto" w:fill="auto"/>
                  <w:vAlign w:val="center"/>
                </w:tcPr>
                <w:p w14:paraId="1E440EF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67F4018C">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45E62660">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0.025</w:t>
                  </w:r>
                </w:p>
              </w:tc>
              <w:tc>
                <w:tcPr>
                  <w:tcW w:w="3305" w:type="dxa"/>
                  <w:shd w:val="clear" w:color="auto" w:fill="auto"/>
                  <w:vAlign w:val="center"/>
                </w:tcPr>
                <w:p w14:paraId="085A7C0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085BA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2C7DED81">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2286" w:type="dxa"/>
                  <w:shd w:val="clear" w:color="auto" w:fill="auto"/>
                  <w:vAlign w:val="center"/>
                </w:tcPr>
                <w:p w14:paraId="3C646018">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乙醇</w:t>
                  </w:r>
                </w:p>
              </w:tc>
              <w:tc>
                <w:tcPr>
                  <w:tcW w:w="1172" w:type="dxa"/>
                  <w:shd w:val="clear" w:color="auto" w:fill="auto"/>
                  <w:vAlign w:val="center"/>
                </w:tcPr>
                <w:p w14:paraId="64AB53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47DE8A8E">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0D131945">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0.025</w:t>
                  </w:r>
                </w:p>
              </w:tc>
              <w:tc>
                <w:tcPr>
                  <w:tcW w:w="3305" w:type="dxa"/>
                  <w:shd w:val="clear" w:color="auto" w:fill="auto"/>
                  <w:vAlign w:val="center"/>
                </w:tcPr>
                <w:p w14:paraId="6834CD9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68EE5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5908A9BD">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2286" w:type="dxa"/>
                  <w:shd w:val="clear" w:color="auto" w:fill="auto"/>
                  <w:vAlign w:val="center"/>
                </w:tcPr>
                <w:p w14:paraId="25CC9AF5">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钼酸钠</w:t>
                  </w:r>
                </w:p>
              </w:tc>
              <w:tc>
                <w:tcPr>
                  <w:tcW w:w="1172" w:type="dxa"/>
                  <w:shd w:val="clear" w:color="auto" w:fill="auto"/>
                  <w:vAlign w:val="center"/>
                </w:tcPr>
                <w:p w14:paraId="67C0943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313A2600">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27034A32">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0.005</w:t>
                  </w:r>
                </w:p>
              </w:tc>
              <w:tc>
                <w:tcPr>
                  <w:tcW w:w="3305" w:type="dxa"/>
                  <w:shd w:val="clear" w:color="auto" w:fill="auto"/>
                  <w:vAlign w:val="center"/>
                </w:tcPr>
                <w:p w14:paraId="5BA7537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0DED7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1E58227E">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8</w:t>
                  </w:r>
                </w:p>
              </w:tc>
              <w:tc>
                <w:tcPr>
                  <w:tcW w:w="2286" w:type="dxa"/>
                  <w:shd w:val="clear" w:color="auto" w:fill="auto"/>
                  <w:vAlign w:val="center"/>
                </w:tcPr>
                <w:p w14:paraId="1AB9F5D9">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碳酸钾</w:t>
                  </w:r>
                </w:p>
              </w:tc>
              <w:tc>
                <w:tcPr>
                  <w:tcW w:w="1172" w:type="dxa"/>
                  <w:shd w:val="clear" w:color="auto" w:fill="auto"/>
                  <w:vAlign w:val="center"/>
                </w:tcPr>
                <w:p w14:paraId="0996668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6228169C">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7D5B0986">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0.005</w:t>
                  </w:r>
                </w:p>
              </w:tc>
              <w:tc>
                <w:tcPr>
                  <w:tcW w:w="3305" w:type="dxa"/>
                  <w:shd w:val="clear" w:color="auto" w:fill="auto"/>
                  <w:vAlign w:val="center"/>
                </w:tcPr>
                <w:p w14:paraId="233B962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00FE5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29B32F51">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9</w:t>
                  </w:r>
                </w:p>
              </w:tc>
              <w:tc>
                <w:tcPr>
                  <w:tcW w:w="2286" w:type="dxa"/>
                  <w:shd w:val="clear" w:color="auto" w:fill="auto"/>
                  <w:vAlign w:val="center"/>
                </w:tcPr>
                <w:p w14:paraId="768F42F8">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柠檬酸</w:t>
                  </w:r>
                </w:p>
              </w:tc>
              <w:tc>
                <w:tcPr>
                  <w:tcW w:w="1172" w:type="dxa"/>
                  <w:shd w:val="clear" w:color="auto" w:fill="auto"/>
                  <w:vAlign w:val="center"/>
                </w:tcPr>
                <w:p w14:paraId="7BECD1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263B6286">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6376A603">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0.005</w:t>
                  </w:r>
                </w:p>
              </w:tc>
              <w:tc>
                <w:tcPr>
                  <w:tcW w:w="3305" w:type="dxa"/>
                  <w:shd w:val="clear" w:color="auto" w:fill="auto"/>
                  <w:vAlign w:val="center"/>
                </w:tcPr>
                <w:p w14:paraId="3F3F43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4735D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79F79FF0">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10</w:t>
                  </w:r>
                </w:p>
              </w:tc>
              <w:tc>
                <w:tcPr>
                  <w:tcW w:w="2286" w:type="dxa"/>
                  <w:vAlign w:val="center"/>
                </w:tcPr>
                <w:p w14:paraId="42FDBA9F">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氯化钠</w:t>
                  </w:r>
                </w:p>
              </w:tc>
              <w:tc>
                <w:tcPr>
                  <w:tcW w:w="1172" w:type="dxa"/>
                  <w:vAlign w:val="center"/>
                </w:tcPr>
                <w:p w14:paraId="5460E87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500g/瓶</w:t>
                  </w:r>
                </w:p>
              </w:tc>
              <w:tc>
                <w:tcPr>
                  <w:tcW w:w="1061" w:type="dxa"/>
                  <w:vAlign w:val="center"/>
                </w:tcPr>
                <w:p w14:paraId="0C7D72A6">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t</w:t>
                  </w:r>
                </w:p>
              </w:tc>
              <w:tc>
                <w:tcPr>
                  <w:tcW w:w="964" w:type="dxa"/>
                  <w:vAlign w:val="center"/>
                </w:tcPr>
                <w:p w14:paraId="26FE58A0">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0.010</w:t>
                  </w:r>
                </w:p>
              </w:tc>
              <w:tc>
                <w:tcPr>
                  <w:tcW w:w="3305" w:type="dxa"/>
                  <w:vAlign w:val="center"/>
                </w:tcPr>
                <w:p w14:paraId="57483B0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color w:val="auto"/>
                      <w:szCs w:val="21"/>
                    </w:rPr>
                  </w:pPr>
                </w:p>
              </w:tc>
            </w:tr>
            <w:tr w14:paraId="071C9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66406856">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11</w:t>
                  </w:r>
                </w:p>
              </w:tc>
              <w:tc>
                <w:tcPr>
                  <w:tcW w:w="2286" w:type="dxa"/>
                  <w:vAlign w:val="center"/>
                </w:tcPr>
                <w:p w14:paraId="5530DBE2">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氢氧化钠</w:t>
                  </w:r>
                </w:p>
              </w:tc>
              <w:tc>
                <w:tcPr>
                  <w:tcW w:w="1172" w:type="dxa"/>
                  <w:vAlign w:val="center"/>
                </w:tcPr>
                <w:p w14:paraId="67C8FCB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500g/瓶</w:t>
                  </w:r>
                </w:p>
              </w:tc>
              <w:tc>
                <w:tcPr>
                  <w:tcW w:w="1061" w:type="dxa"/>
                  <w:vAlign w:val="center"/>
                </w:tcPr>
                <w:p w14:paraId="1E6C8579">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t</w:t>
                  </w:r>
                </w:p>
              </w:tc>
              <w:tc>
                <w:tcPr>
                  <w:tcW w:w="964" w:type="dxa"/>
                  <w:vAlign w:val="center"/>
                </w:tcPr>
                <w:p w14:paraId="10E0C35C">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0.050</w:t>
                  </w:r>
                </w:p>
              </w:tc>
              <w:tc>
                <w:tcPr>
                  <w:tcW w:w="3305" w:type="dxa"/>
                  <w:vAlign w:val="center"/>
                </w:tcPr>
                <w:p w14:paraId="1BD7BE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color w:val="auto"/>
                      <w:szCs w:val="21"/>
                    </w:rPr>
                  </w:pPr>
                </w:p>
              </w:tc>
            </w:tr>
            <w:tr w14:paraId="66D4D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23B4AB60">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12</w:t>
                  </w:r>
                </w:p>
              </w:tc>
              <w:tc>
                <w:tcPr>
                  <w:tcW w:w="2286" w:type="dxa"/>
                  <w:vAlign w:val="center"/>
                </w:tcPr>
                <w:p w14:paraId="28D132A9">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硝酸银</w:t>
                  </w:r>
                </w:p>
              </w:tc>
              <w:tc>
                <w:tcPr>
                  <w:tcW w:w="1172" w:type="dxa"/>
                  <w:shd w:val="clear" w:color="auto" w:fill="auto"/>
                  <w:vAlign w:val="center"/>
                </w:tcPr>
                <w:p w14:paraId="1390EB1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50g/瓶</w:t>
                  </w:r>
                </w:p>
              </w:tc>
              <w:tc>
                <w:tcPr>
                  <w:tcW w:w="1061" w:type="dxa"/>
                  <w:shd w:val="clear" w:color="auto" w:fill="auto"/>
                  <w:vAlign w:val="center"/>
                </w:tcPr>
                <w:p w14:paraId="74423328">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6796B2B9">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0.005</w:t>
                  </w:r>
                </w:p>
              </w:tc>
              <w:tc>
                <w:tcPr>
                  <w:tcW w:w="3305" w:type="dxa"/>
                  <w:shd w:val="clear" w:color="auto" w:fill="auto"/>
                  <w:vAlign w:val="center"/>
                </w:tcPr>
                <w:p w14:paraId="552D9E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Times New Roman" w:hAnsi="Times New Roman" w:cs="Times New Roman" w:eastAsiaTheme="minorEastAsia"/>
                      <w:color w:val="auto"/>
                      <w:kern w:val="2"/>
                      <w:sz w:val="21"/>
                      <w:szCs w:val="21"/>
                      <w:lang w:val="en-US" w:eastAsia="zh-CN" w:bidi="ar-SA"/>
                    </w:rPr>
                  </w:pPr>
                </w:p>
              </w:tc>
            </w:tr>
            <w:tr w14:paraId="23BB0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591945AC">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13</w:t>
                  </w:r>
                </w:p>
              </w:tc>
              <w:tc>
                <w:tcPr>
                  <w:tcW w:w="2286" w:type="dxa"/>
                  <w:shd w:val="clear" w:color="auto" w:fill="auto"/>
                  <w:vAlign w:val="center"/>
                </w:tcPr>
                <w:p w14:paraId="75C2DF89">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硫酸</w:t>
                  </w:r>
                </w:p>
              </w:tc>
              <w:tc>
                <w:tcPr>
                  <w:tcW w:w="1172" w:type="dxa"/>
                  <w:shd w:val="clear" w:color="auto" w:fill="auto"/>
                  <w:vAlign w:val="center"/>
                </w:tcPr>
                <w:p w14:paraId="255C85D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500g/瓶</w:t>
                  </w:r>
                </w:p>
              </w:tc>
              <w:tc>
                <w:tcPr>
                  <w:tcW w:w="1061" w:type="dxa"/>
                  <w:shd w:val="clear" w:color="auto" w:fill="auto"/>
                  <w:vAlign w:val="center"/>
                </w:tcPr>
                <w:p w14:paraId="53F2F7CC">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t</w:t>
                  </w:r>
                </w:p>
              </w:tc>
              <w:tc>
                <w:tcPr>
                  <w:tcW w:w="964" w:type="dxa"/>
                  <w:shd w:val="clear" w:color="auto" w:fill="auto"/>
                  <w:vAlign w:val="center"/>
                </w:tcPr>
                <w:p w14:paraId="2C1DA916">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0.050</w:t>
                  </w:r>
                </w:p>
              </w:tc>
              <w:tc>
                <w:tcPr>
                  <w:tcW w:w="3305" w:type="dxa"/>
                  <w:shd w:val="clear" w:color="auto" w:fill="auto"/>
                  <w:vAlign w:val="center"/>
                </w:tcPr>
                <w:p w14:paraId="30196162">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eastAsiaTheme="minorEastAsia"/>
                      <w:color w:val="auto"/>
                      <w:kern w:val="2"/>
                      <w:sz w:val="21"/>
                      <w:szCs w:val="21"/>
                      <w:lang w:val="en-US" w:eastAsia="zh-CN" w:bidi="ar-SA"/>
                    </w:rPr>
                  </w:pPr>
                </w:p>
              </w:tc>
            </w:tr>
            <w:tr w14:paraId="32BC7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21E6DFE4">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1</w:t>
                  </w:r>
                  <w:r>
                    <w:rPr>
                      <w:rFonts w:hint="eastAsia" w:ascii="Times New Roman" w:hAnsi="Times New Roman" w:cs="Times New Roman"/>
                      <w:color w:val="auto"/>
                      <w:szCs w:val="21"/>
                    </w:rPr>
                    <w:t>4</w:t>
                  </w:r>
                </w:p>
              </w:tc>
              <w:tc>
                <w:tcPr>
                  <w:tcW w:w="2286" w:type="dxa"/>
                  <w:vAlign w:val="center"/>
                </w:tcPr>
                <w:p w14:paraId="4A930F8B">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氯酸钾</w:t>
                  </w:r>
                </w:p>
              </w:tc>
              <w:tc>
                <w:tcPr>
                  <w:tcW w:w="1172" w:type="dxa"/>
                  <w:vAlign w:val="center"/>
                </w:tcPr>
                <w:p w14:paraId="2A616B72">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 w:val="21"/>
                      <w:szCs w:val="21"/>
                      <w:lang w:val="en-US" w:eastAsia="zh-CN"/>
                    </w:rPr>
                    <w:t>500g/瓶</w:t>
                  </w:r>
                </w:p>
              </w:tc>
              <w:tc>
                <w:tcPr>
                  <w:tcW w:w="1061" w:type="dxa"/>
                  <w:vAlign w:val="center"/>
                </w:tcPr>
                <w:p w14:paraId="1AD9D75D">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t</w:t>
                  </w:r>
                </w:p>
              </w:tc>
              <w:tc>
                <w:tcPr>
                  <w:tcW w:w="964" w:type="dxa"/>
                  <w:vAlign w:val="center"/>
                </w:tcPr>
                <w:p w14:paraId="4B941CEF">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0.005</w:t>
                  </w:r>
                </w:p>
              </w:tc>
              <w:tc>
                <w:tcPr>
                  <w:tcW w:w="3305" w:type="dxa"/>
                  <w:vAlign w:val="center"/>
                </w:tcPr>
                <w:p w14:paraId="1743A598">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cs="Times New Roman" w:eastAsiaTheme="minorEastAsia"/>
                      <w:color w:val="auto"/>
                      <w:szCs w:val="21"/>
                      <w:lang w:eastAsia="zh-CN"/>
                    </w:rPr>
                  </w:pPr>
                </w:p>
              </w:tc>
            </w:tr>
            <w:tr w14:paraId="5D2E3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558" w:type="dxa"/>
                  <w:gridSpan w:val="6"/>
                  <w:vAlign w:val="center"/>
                </w:tcPr>
                <w:p w14:paraId="37F648AE">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b/>
                      <w:bCs/>
                      <w:color w:val="auto"/>
                      <w:szCs w:val="21"/>
                      <w:lang w:eastAsia="zh-CN"/>
                    </w:rPr>
                    <w:t>其他</w:t>
                  </w:r>
                </w:p>
              </w:tc>
            </w:tr>
            <w:tr w14:paraId="773A2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6E48DBAA">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2286" w:type="dxa"/>
                  <w:vAlign w:val="center"/>
                </w:tcPr>
                <w:p w14:paraId="267ECDAE">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新鲜水</w:t>
                  </w:r>
                </w:p>
              </w:tc>
              <w:tc>
                <w:tcPr>
                  <w:tcW w:w="1172" w:type="dxa"/>
                  <w:vAlign w:val="center"/>
                </w:tcPr>
                <w:p w14:paraId="7EF5A7C6">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p>
              </w:tc>
              <w:tc>
                <w:tcPr>
                  <w:tcW w:w="1061" w:type="dxa"/>
                  <w:vAlign w:val="center"/>
                </w:tcPr>
                <w:p w14:paraId="29082595">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t/a</w:t>
                  </w:r>
                </w:p>
              </w:tc>
              <w:tc>
                <w:tcPr>
                  <w:tcW w:w="964" w:type="dxa"/>
                  <w:vAlign w:val="center"/>
                </w:tcPr>
                <w:p w14:paraId="54F7E330">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3150</w:t>
                  </w:r>
                </w:p>
              </w:tc>
              <w:tc>
                <w:tcPr>
                  <w:tcW w:w="3305" w:type="dxa"/>
                  <w:vAlign w:val="center"/>
                </w:tcPr>
                <w:p w14:paraId="3FAF40C4">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市政供水管网</w:t>
                  </w:r>
                </w:p>
              </w:tc>
            </w:tr>
            <w:tr w14:paraId="3DC0A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0" w:type="dxa"/>
                  <w:vAlign w:val="center"/>
                </w:tcPr>
                <w:p w14:paraId="177CEEC0">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2286" w:type="dxa"/>
                  <w:vAlign w:val="center"/>
                </w:tcPr>
                <w:p w14:paraId="565C3357">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电</w:t>
                  </w:r>
                </w:p>
              </w:tc>
              <w:tc>
                <w:tcPr>
                  <w:tcW w:w="1172" w:type="dxa"/>
                  <w:vAlign w:val="center"/>
                </w:tcPr>
                <w:p w14:paraId="208347B3">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p>
              </w:tc>
              <w:tc>
                <w:tcPr>
                  <w:tcW w:w="1061" w:type="dxa"/>
                  <w:vAlign w:val="center"/>
                </w:tcPr>
                <w:p w14:paraId="3326C6C8">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kW</w:t>
                  </w:r>
                  <w:r>
                    <w:rPr>
                      <w:rFonts w:hint="eastAsia" w:ascii="Times New Roman" w:hAnsi="Times New Roman" w:cs="Times New Roman"/>
                      <w:color w:val="auto"/>
                      <w:szCs w:val="21"/>
                    </w:rPr>
                    <w:t>·</w:t>
                  </w:r>
                  <w:r>
                    <w:rPr>
                      <w:rFonts w:ascii="Times New Roman" w:hAnsi="Times New Roman" w:cs="Times New Roman"/>
                      <w:color w:val="auto"/>
                      <w:szCs w:val="21"/>
                    </w:rPr>
                    <w:t>h/a</w:t>
                  </w:r>
                </w:p>
              </w:tc>
              <w:tc>
                <w:tcPr>
                  <w:tcW w:w="964" w:type="dxa"/>
                  <w:vAlign w:val="center"/>
                </w:tcPr>
                <w:p w14:paraId="4D0E262B">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3万</w:t>
                  </w:r>
                </w:p>
              </w:tc>
              <w:tc>
                <w:tcPr>
                  <w:tcW w:w="3305" w:type="dxa"/>
                  <w:vAlign w:val="center"/>
                </w:tcPr>
                <w:p w14:paraId="541C9B95">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市政供电</w:t>
                  </w:r>
                  <w:r>
                    <w:rPr>
                      <w:rFonts w:hint="eastAsia" w:ascii="Times New Roman" w:hAnsi="Times New Roman" w:cs="Times New Roman"/>
                      <w:color w:val="auto"/>
                      <w:szCs w:val="21"/>
                    </w:rPr>
                    <w:t>电</w:t>
                  </w:r>
                  <w:r>
                    <w:rPr>
                      <w:rFonts w:ascii="Times New Roman" w:hAnsi="Times New Roman" w:cs="Times New Roman"/>
                      <w:color w:val="auto"/>
                      <w:szCs w:val="21"/>
                    </w:rPr>
                    <w:t>网</w:t>
                  </w:r>
                </w:p>
              </w:tc>
            </w:tr>
            <w:tr w14:paraId="17C54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70" w:type="dxa"/>
                  <w:vAlign w:val="center"/>
                </w:tcPr>
                <w:p w14:paraId="1BEDAE8D">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2286" w:type="dxa"/>
                  <w:vAlign w:val="center"/>
                </w:tcPr>
                <w:p w14:paraId="4BCF9482">
                  <w:pPr>
                    <w:keepNext w:val="0"/>
                    <w:keepLines w:val="0"/>
                    <w:pageBreakBefore w:val="0"/>
                    <w:kinsoku/>
                    <w:wordWrap/>
                    <w:overflowPunct/>
                    <w:topLinePunct w:val="0"/>
                    <w:autoSpaceDE/>
                    <w:autoSpaceDN/>
                    <w:bidi w:val="0"/>
                    <w:adjustRightInd/>
                    <w:snapToGrid/>
                    <w:spacing w:line="240" w:lineRule="exact"/>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val="en-US" w:eastAsia="zh-CN"/>
                    </w:rPr>
                    <w:t>丙烷</w:t>
                  </w:r>
                </w:p>
              </w:tc>
              <w:tc>
                <w:tcPr>
                  <w:tcW w:w="1172" w:type="dxa"/>
                  <w:vAlign w:val="center"/>
                </w:tcPr>
                <w:p w14:paraId="2F1AD9FF">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p>
              </w:tc>
              <w:tc>
                <w:tcPr>
                  <w:tcW w:w="1061" w:type="dxa"/>
                  <w:vAlign w:val="center"/>
                </w:tcPr>
                <w:p w14:paraId="04D59DE0">
                  <w:pPr>
                    <w:keepNext w:val="0"/>
                    <w:keepLines w:val="0"/>
                    <w:pageBreakBefore w:val="0"/>
                    <w:kinsoku/>
                    <w:wordWrap/>
                    <w:overflowPunct/>
                    <w:topLinePunct w:val="0"/>
                    <w:autoSpaceDE/>
                    <w:autoSpaceDN/>
                    <w:bidi w:val="0"/>
                    <w:adjustRightInd/>
                    <w:snapToGrid/>
                    <w:spacing w:line="240" w:lineRule="exact"/>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kg</w:t>
                  </w:r>
                  <w:r>
                    <w:rPr>
                      <w:rFonts w:ascii="Times New Roman" w:hAnsi="Times New Roman" w:cs="Times New Roman"/>
                      <w:color w:val="auto"/>
                      <w:szCs w:val="21"/>
                    </w:rPr>
                    <w:t>/a</w:t>
                  </w:r>
                </w:p>
              </w:tc>
              <w:tc>
                <w:tcPr>
                  <w:tcW w:w="964" w:type="dxa"/>
                  <w:vAlign w:val="center"/>
                </w:tcPr>
                <w:p w14:paraId="2E23A065">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p>
              </w:tc>
              <w:tc>
                <w:tcPr>
                  <w:tcW w:w="3305" w:type="dxa"/>
                  <w:vAlign w:val="center"/>
                </w:tcPr>
                <w:p w14:paraId="3C33937C">
                  <w:pPr>
                    <w:keepNext w:val="0"/>
                    <w:keepLines w:val="0"/>
                    <w:pageBreakBefore w:val="0"/>
                    <w:kinsoku/>
                    <w:wordWrap/>
                    <w:overflowPunct/>
                    <w:topLinePunct w:val="0"/>
                    <w:autoSpaceDE/>
                    <w:autoSpaceDN/>
                    <w:bidi w:val="0"/>
                    <w:adjustRightInd/>
                    <w:snapToGrid/>
                    <w:spacing w:line="240" w:lineRule="exact"/>
                    <w:jc w:val="center"/>
                    <w:rPr>
                      <w:rFonts w:hint="default" w:ascii="Times New Roman" w:hAnsi="Times New Roman" w:cs="Times New Roman" w:eastAsiaTheme="minorEastAsia"/>
                      <w:color w:val="auto"/>
                      <w:szCs w:val="21"/>
                      <w:lang w:val="en-US" w:eastAsia="zh-CN"/>
                    </w:rPr>
                  </w:pPr>
                </w:p>
              </w:tc>
            </w:tr>
          </w:tbl>
          <w:p w14:paraId="077F3B52">
            <w:pPr>
              <w:widowControl/>
              <w:spacing w:line="360" w:lineRule="auto"/>
              <w:ind w:firstLine="480" w:firstLineChars="200"/>
              <w:rPr>
                <w:rFonts w:ascii="Times New Roman" w:hAnsi="Times New Roman" w:cs="Times New Roman"/>
                <w:bCs/>
                <w:color w:val="auto"/>
                <w:kern w:val="0"/>
                <w:sz w:val="24"/>
              </w:rPr>
            </w:pPr>
            <w:r>
              <w:rPr>
                <w:rFonts w:hint="eastAsia" w:ascii="Times New Roman" w:hAnsi="Times New Roman" w:cs="Times New Roman"/>
                <w:bCs/>
                <w:color w:val="auto"/>
                <w:kern w:val="0"/>
                <w:sz w:val="24"/>
              </w:rPr>
              <w:t>部分</w:t>
            </w:r>
            <w:r>
              <w:rPr>
                <w:rFonts w:ascii="Times New Roman" w:hAnsi="Times New Roman" w:cs="Times New Roman"/>
                <w:bCs/>
                <w:color w:val="auto"/>
                <w:kern w:val="0"/>
                <w:sz w:val="24"/>
              </w:rPr>
              <w:t>原辅材料</w:t>
            </w:r>
            <w:r>
              <w:rPr>
                <w:rFonts w:hint="eastAsia" w:ascii="Times New Roman" w:hAnsi="Times New Roman" w:cs="Times New Roman"/>
                <w:bCs/>
                <w:color w:val="auto"/>
                <w:kern w:val="0"/>
                <w:sz w:val="24"/>
              </w:rPr>
              <w:t>理化特性简介见表2.4。</w:t>
            </w:r>
          </w:p>
          <w:p w14:paraId="4F146DF6">
            <w:pPr>
              <w:widowControl/>
              <w:jc w:val="center"/>
              <w:rPr>
                <w:rFonts w:ascii="Times New Roman" w:hAnsi="Times New Roman" w:cs="Times New Roman"/>
                <w:b/>
                <w:color w:val="auto"/>
                <w:kern w:val="0"/>
                <w:sz w:val="24"/>
              </w:rPr>
            </w:pPr>
            <w:r>
              <w:rPr>
                <w:rFonts w:ascii="Times New Roman" w:hAnsi="Times New Roman" w:cs="Times New Roman"/>
                <w:b/>
                <w:color w:val="auto"/>
                <w:kern w:val="0"/>
                <w:sz w:val="24"/>
              </w:rPr>
              <w:t>表</w:t>
            </w:r>
            <w:r>
              <w:rPr>
                <w:rFonts w:hint="eastAsia" w:ascii="Times New Roman" w:hAnsi="Times New Roman" w:cs="Times New Roman"/>
                <w:b/>
                <w:color w:val="auto"/>
                <w:kern w:val="0"/>
                <w:sz w:val="24"/>
              </w:rPr>
              <w:t>2.4  部分原辅材料理化特性简介</w:t>
            </w:r>
          </w:p>
          <w:tbl>
            <w:tblPr>
              <w:tblStyle w:val="2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1916"/>
              <w:gridCol w:w="6757"/>
            </w:tblGrid>
            <w:tr w14:paraId="287F2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965" w:type="dxa"/>
                  <w:vAlign w:val="center"/>
                </w:tcPr>
                <w:p w14:paraId="08C7C756">
                  <w:pPr>
                    <w:jc w:val="center"/>
                    <w:rPr>
                      <w:rFonts w:ascii="Times New Roman" w:hAnsi="Times New Roman" w:cs="Times New Roman"/>
                      <w:color w:val="auto"/>
                      <w:szCs w:val="21"/>
                    </w:rPr>
                  </w:pPr>
                  <w:r>
                    <w:rPr>
                      <w:rFonts w:ascii="Times New Roman" w:hAnsi="Times New Roman" w:cs="Times New Roman"/>
                      <w:color w:val="auto"/>
                      <w:szCs w:val="21"/>
                    </w:rPr>
                    <w:t>序号</w:t>
                  </w:r>
                </w:p>
              </w:tc>
              <w:tc>
                <w:tcPr>
                  <w:tcW w:w="1916" w:type="dxa"/>
                  <w:vAlign w:val="center"/>
                </w:tcPr>
                <w:p w14:paraId="2B1C7833">
                  <w:pPr>
                    <w:jc w:val="center"/>
                    <w:rPr>
                      <w:rFonts w:ascii="Times New Roman" w:hAnsi="Times New Roman" w:cs="Times New Roman"/>
                      <w:color w:val="auto"/>
                      <w:szCs w:val="21"/>
                    </w:rPr>
                  </w:pPr>
                  <w:r>
                    <w:rPr>
                      <w:rFonts w:hint="eastAsia" w:ascii="Times New Roman" w:hAnsi="Times New Roman" w:cs="Times New Roman"/>
                      <w:color w:val="auto"/>
                      <w:szCs w:val="21"/>
                    </w:rPr>
                    <w:t>原辅材料名称</w:t>
                  </w:r>
                </w:p>
              </w:tc>
              <w:tc>
                <w:tcPr>
                  <w:tcW w:w="6757" w:type="dxa"/>
                  <w:vAlign w:val="center"/>
                </w:tcPr>
                <w:p w14:paraId="4B581573">
                  <w:pPr>
                    <w:jc w:val="center"/>
                    <w:rPr>
                      <w:rFonts w:ascii="Times New Roman" w:hAnsi="Times New Roman" w:cs="Times New Roman"/>
                      <w:color w:val="auto"/>
                      <w:szCs w:val="21"/>
                    </w:rPr>
                  </w:pPr>
                  <w:r>
                    <w:rPr>
                      <w:rFonts w:hint="eastAsia" w:ascii="Times New Roman" w:hAnsi="Times New Roman" w:cs="Times New Roman"/>
                      <w:color w:val="auto"/>
                      <w:szCs w:val="21"/>
                    </w:rPr>
                    <w:t>理化特性</w:t>
                  </w:r>
                </w:p>
              </w:tc>
            </w:tr>
            <w:tr w14:paraId="0AE12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64FA3F95">
                  <w:pPr>
                    <w:jc w:val="center"/>
                    <w:rPr>
                      <w:rFonts w:ascii="Times New Roman" w:hAnsi="Times New Roman" w:cs="Times New Roman"/>
                      <w:color w:val="auto"/>
                      <w:szCs w:val="21"/>
                    </w:rPr>
                  </w:pPr>
                  <w:r>
                    <w:rPr>
                      <w:rFonts w:hint="eastAsia" w:ascii="Times New Roman" w:hAnsi="Times New Roman" w:cs="Times New Roman"/>
                      <w:color w:val="auto"/>
                      <w:szCs w:val="21"/>
                    </w:rPr>
                    <w:t>1</w:t>
                  </w:r>
                </w:p>
              </w:tc>
              <w:tc>
                <w:tcPr>
                  <w:tcW w:w="1916" w:type="dxa"/>
                  <w:vAlign w:val="center"/>
                </w:tcPr>
                <w:p w14:paraId="4B9D43BF">
                  <w:pPr>
                    <w:jc w:val="center"/>
                    <w:rPr>
                      <w:rFonts w:ascii="Times New Roman" w:hAnsi="Times New Roman" w:cs="Times New Roman"/>
                      <w:color w:val="auto"/>
                      <w:szCs w:val="21"/>
                    </w:rPr>
                  </w:pPr>
                  <w:r>
                    <w:rPr>
                      <w:rFonts w:hint="eastAsia" w:ascii="Times New Roman" w:hAnsi="Times New Roman" w:cs="Times New Roman"/>
                      <w:color w:val="auto"/>
                      <w:sz w:val="21"/>
                      <w:szCs w:val="21"/>
                      <w:lang w:val="en-US" w:eastAsia="zh-CN"/>
                    </w:rPr>
                    <w:t>酒精（乙醇）</w:t>
                  </w:r>
                </w:p>
              </w:tc>
              <w:tc>
                <w:tcPr>
                  <w:tcW w:w="6757" w:type="dxa"/>
                  <w:vAlign w:val="center"/>
                </w:tcPr>
                <w:p w14:paraId="5FA1A3ED">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ascii="Times New Roman" w:hAnsi="Times New Roman" w:cs="Times New Roman"/>
                      <w:color w:val="auto"/>
                      <w:szCs w:val="21"/>
                    </w:rPr>
                  </w:pPr>
                  <w:r>
                    <w:rPr>
                      <w:rFonts w:hint="eastAsia" w:ascii="Times New Roman" w:hAnsi="Times New Roman" w:cs="Times New Roman"/>
                      <w:color w:val="auto"/>
                      <w:sz w:val="21"/>
                      <w:szCs w:val="21"/>
                      <w:lang w:val="en-US" w:eastAsia="zh-CN"/>
                    </w:rPr>
                    <w:t>理化性质：性状：无色液体，有酒香；溶解性：与水混溶，可溶于醚、氯仿、甘油等多数有机溶剂；熔点（℃）：-114.1；沸点（℃）：78.3；相对密度（水=1）：0.79；临界温度（℃）：243.1；临界压力（MPa）：6.38；相对密度（空气=1）：1.59；燃烧热（KJ/mol）：1365.5；饱和蒸气压（UPa）：5.33（℃）。毒性资料：LD</w:t>
                  </w:r>
                  <w:r>
                    <w:rPr>
                      <w:rFonts w:hint="eastAsia" w:ascii="Times New Roman" w:hAnsi="Times New Roman" w:cs="Times New Roman"/>
                      <w:color w:val="auto"/>
                      <w:sz w:val="21"/>
                      <w:szCs w:val="21"/>
                      <w:vertAlign w:val="subscript"/>
                      <w:lang w:val="en-US" w:eastAsia="zh-CN"/>
                    </w:rPr>
                    <w:t>50</w:t>
                  </w:r>
                  <w:r>
                    <w:rPr>
                      <w:rFonts w:hint="eastAsia" w:ascii="Times New Roman" w:hAnsi="Times New Roman" w:cs="Times New Roman"/>
                      <w:color w:val="auto"/>
                      <w:sz w:val="21"/>
                      <w:szCs w:val="21"/>
                      <w:lang w:val="en-US" w:eastAsia="zh-CN"/>
                    </w:rPr>
                    <w:t>-7060mg/kg（兔经口），7430mg/kg（兔经皮）；LC</w:t>
                  </w:r>
                  <w:r>
                    <w:rPr>
                      <w:rFonts w:hint="eastAsia" w:ascii="Times New Roman" w:hAnsi="Times New Roman" w:cs="Times New Roman"/>
                      <w:color w:val="auto"/>
                      <w:sz w:val="21"/>
                      <w:szCs w:val="21"/>
                      <w:vertAlign w:val="subscript"/>
                      <w:lang w:val="en-US" w:eastAsia="zh-CN"/>
                    </w:rPr>
                    <w:t>50</w:t>
                  </w:r>
                  <w:r>
                    <w:rPr>
                      <w:rFonts w:hint="eastAsia" w:ascii="Times New Roman" w:hAnsi="Times New Roman" w:cs="Times New Roman"/>
                      <w:color w:val="auto"/>
                      <w:sz w:val="21"/>
                      <w:szCs w:val="21"/>
                      <w:lang w:val="en-US" w:eastAsia="zh-CN"/>
                    </w:rPr>
                    <w:t>-37620mg/m，10小时（大鼠吸入0）。燃烧爆炸危险性：燃烧性：易燃；燃烧分解产物：一氧化碳、二氧化碳；闪点（℃）：12；聚合危害：不聚合；爆炸下限（%）：3.3；爆炸上限（%）：19.0；引燃温度（℃）：363；稳定性：稳定；最大爆炸压力（MPa）：无；禁忌物：强氧化剂、酸类、酸酐、碱金属、胺类。</w:t>
                  </w:r>
                </w:p>
              </w:tc>
            </w:tr>
            <w:tr w14:paraId="3CD2E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416AACB5">
                  <w:pPr>
                    <w:jc w:val="center"/>
                    <w:rPr>
                      <w:rFonts w:ascii="Times New Roman" w:hAnsi="Times New Roman" w:cs="Times New Roman"/>
                      <w:color w:val="auto"/>
                      <w:szCs w:val="21"/>
                    </w:rPr>
                  </w:pPr>
                  <w:r>
                    <w:rPr>
                      <w:rFonts w:hint="eastAsia" w:ascii="Times New Roman" w:hAnsi="Times New Roman" w:cs="Times New Roman"/>
                      <w:color w:val="auto"/>
                      <w:szCs w:val="21"/>
                    </w:rPr>
                    <w:t>2</w:t>
                  </w:r>
                </w:p>
              </w:tc>
              <w:tc>
                <w:tcPr>
                  <w:tcW w:w="1916" w:type="dxa"/>
                  <w:shd w:val="clear" w:color="auto" w:fill="auto"/>
                  <w:vAlign w:val="center"/>
                </w:tcPr>
                <w:p w14:paraId="2A1687C8">
                  <w:pPr>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氢氧化钾</w:t>
                  </w:r>
                </w:p>
              </w:tc>
              <w:tc>
                <w:tcPr>
                  <w:tcW w:w="6757" w:type="dxa"/>
                  <w:shd w:val="clear" w:color="auto" w:fill="auto"/>
                  <w:vAlign w:val="center"/>
                </w:tcPr>
                <w:p w14:paraId="6DE629CF">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eastAsia="zh-CN"/>
                    </w:rPr>
                    <w:t>理化性质：性状：白色晶体，易潮解；溶解性：易溶于水、乙醇、微溶于醚；熔点：</w:t>
                  </w:r>
                  <w:r>
                    <w:rPr>
                      <w:rFonts w:hint="eastAsia" w:ascii="Times New Roman" w:hAnsi="Times New Roman" w:cs="Times New Roman"/>
                      <w:color w:val="auto"/>
                      <w:szCs w:val="21"/>
                      <w:lang w:val="en-US" w:eastAsia="zh-CN"/>
                    </w:rPr>
                    <w:t>360.4</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沸点：1320℃；相对密度（水=1）：2.04；饱和蒸气压（kPa）：0.13（739℃）。燃烧爆炸危险性：燃烧性：不燃；燃烧分解物：可能产生有害的毒性烟雾；禁忌物：强酸、易燃或可燃物、二氧化碳、酸酐、酰基氯；危险特性：与酸发生中和反应并放热，本品不会燃烧，遇水和水蒸气大量放热，形成腐蚀性溶液，具有强腐蚀性。</w:t>
                  </w:r>
                </w:p>
              </w:tc>
            </w:tr>
            <w:tr w14:paraId="05B2E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55B15A2B">
                  <w:pPr>
                    <w:jc w:val="center"/>
                    <w:rPr>
                      <w:rFonts w:ascii="Times New Roman" w:hAnsi="Times New Roman" w:cs="Times New Roman"/>
                      <w:color w:val="auto"/>
                      <w:szCs w:val="21"/>
                    </w:rPr>
                  </w:pPr>
                  <w:r>
                    <w:rPr>
                      <w:rFonts w:hint="eastAsia" w:ascii="Times New Roman" w:hAnsi="Times New Roman" w:cs="Times New Roman"/>
                      <w:color w:val="auto"/>
                      <w:szCs w:val="21"/>
                    </w:rPr>
                    <w:t>3</w:t>
                  </w:r>
                </w:p>
              </w:tc>
              <w:tc>
                <w:tcPr>
                  <w:tcW w:w="1916" w:type="dxa"/>
                  <w:shd w:val="clear" w:color="auto" w:fill="auto"/>
                  <w:vAlign w:val="center"/>
                </w:tcPr>
                <w:p w14:paraId="61FC67C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酚酞</w:t>
                  </w:r>
                </w:p>
              </w:tc>
              <w:tc>
                <w:tcPr>
                  <w:tcW w:w="6757" w:type="dxa"/>
                  <w:shd w:val="clear" w:color="auto" w:fill="auto"/>
                  <w:vAlign w:val="center"/>
                </w:tcPr>
                <w:p w14:paraId="04DD3ED3">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酚酞，化学名称为3,3-二(4-羟苯基)-3</w:t>
                  </w:r>
                  <w:r>
                    <w:rPr>
                      <w:rFonts w:hint="default" w:ascii="Times New Roman" w:hAnsi="Times New Roman" w:cs="Times New Roman"/>
                      <w:color w:val="auto"/>
                      <w:szCs w:val="21"/>
                      <w:lang w:val="en-US" w:eastAsia="zh-CN"/>
                    </w:rPr>
                    <w:t>H-异苯并呋喃酮，是一种</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"https://baike.baidu.com/item/%E6%9C%89%E6%9C%BA%E5%8C%96%E5%90%88%E7%89%A9/2950156?fromModule=lemma_inlink"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有机化合物</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，化学式为C</w:t>
                  </w:r>
                  <w:r>
                    <w:rPr>
                      <w:rFonts w:hint="default" w:ascii="Times New Roman" w:hAnsi="Times New Roman" w:cs="Times New Roman"/>
                      <w:color w:val="auto"/>
                      <w:szCs w:val="21"/>
                      <w:vertAlign w:val="subscript"/>
                      <w:lang w:val="en-US" w:eastAsia="zh-CN"/>
                    </w:rPr>
                    <w:t>20</w:t>
                  </w:r>
                  <w:r>
                    <w:rPr>
                      <w:rFonts w:hint="default" w:ascii="Times New Roman" w:hAnsi="Times New Roman" w:cs="Times New Roman"/>
                      <w:color w:val="auto"/>
                      <w:szCs w:val="21"/>
                      <w:lang w:val="en-US" w:eastAsia="zh-CN"/>
                    </w:rPr>
                    <w:t>H</w:t>
                  </w:r>
                  <w:r>
                    <w:rPr>
                      <w:rFonts w:hint="default" w:ascii="Times New Roman" w:hAnsi="Times New Roman" w:cs="Times New Roman"/>
                      <w:color w:val="auto"/>
                      <w:szCs w:val="21"/>
                      <w:vertAlign w:val="subscript"/>
                      <w:lang w:val="en-US" w:eastAsia="zh-CN"/>
                    </w:rPr>
                    <w:t>14</w:t>
                  </w:r>
                  <w:r>
                    <w:rPr>
                      <w:rFonts w:hint="default" w:ascii="Times New Roman" w:hAnsi="Times New Roman" w:cs="Times New Roman"/>
                      <w:color w:val="auto"/>
                      <w:szCs w:val="21"/>
                      <w:lang w:val="en-US" w:eastAsia="zh-CN"/>
                    </w:rPr>
                    <w:t>O</w:t>
                  </w:r>
                  <w:r>
                    <w:rPr>
                      <w:rFonts w:hint="default" w:ascii="Times New Roman" w:hAnsi="Times New Roman" w:cs="Times New Roman"/>
                      <w:color w:val="auto"/>
                      <w:szCs w:val="21"/>
                      <w:vertAlign w:val="subscript"/>
                      <w:lang w:val="en-US" w:eastAsia="zh-CN"/>
                    </w:rPr>
                    <w:t>4</w:t>
                  </w:r>
                  <w:r>
                    <w:rPr>
                      <w:rFonts w:hint="default" w:ascii="Times New Roman" w:hAnsi="Times New Roman" w:cs="Times New Roman"/>
                      <w:color w:val="auto"/>
                      <w:szCs w:val="21"/>
                      <w:lang w:val="en-US" w:eastAsia="zh-CN"/>
                    </w:rPr>
                    <w:t>，为白色至微黄色结晶性粉末，溶于</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"https://baike.baidu.com/item/%E4%B9%99%E9%86%87/135334?fromModule=lemma_inlink"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乙醇</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和碱溶液，在</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"https://baike.baidu.com/item/%E4%B9%99%E9%86%9A/316922?fromModule=lemma_inlink"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乙醚</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中略溶，极微溶于</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"https://baike.baidu.com/item/%E6%B0%AF%E4%BB%BF/521847?fromModule=lemma_inlink"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氯仿</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，不溶于</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"https://baike.baidu.com/item/%E6%B0%B4/34133?fromModule=lemma_inlink"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水</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，其特性是在</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"https://baike.baidu.com/item/%E9%85%B8%E6%80%A7/8564466?fromModule=lemma_inlink"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酸性</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和中性溶液中为无色，在</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"https://baike.baidu.com/item/%E7%A2%B1%E6%80%A7/1246225?fromModule=lemma_inlink"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碱性</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溶液中为紫红色。常被人们用作</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"https://baike.baidu.com/item/%E9%85%B8%E7%A2%B1%E6%8C%87%E7%A4%BA%E5%89%82/4479887?fromModule=lemma_inlink"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酸碱指示剂</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eastAsia="zh-CN"/>
                    </w:rPr>
                    <w:t>熔点：</w:t>
                  </w:r>
                  <w:r>
                    <w:rPr>
                      <w:rFonts w:hint="eastAsia" w:ascii="Times New Roman" w:hAnsi="Times New Roman" w:cs="Times New Roman"/>
                      <w:color w:val="auto"/>
                      <w:szCs w:val="21"/>
                      <w:lang w:val="en-US" w:eastAsia="zh-CN"/>
                    </w:rPr>
                    <w:t>258-263</w:t>
                  </w:r>
                  <w:r>
                    <w:rPr>
                      <w:rFonts w:hint="eastAsia" w:ascii="Times New Roman" w:hAnsi="Times New Roman" w:cs="Times New Roman"/>
                      <w:color w:val="auto"/>
                      <w:szCs w:val="21"/>
                      <w:lang w:eastAsia="zh-CN"/>
                    </w:rPr>
                    <w:t>℃；沸点：</w:t>
                  </w:r>
                  <w:r>
                    <w:rPr>
                      <w:rFonts w:hint="eastAsia" w:ascii="Times New Roman" w:hAnsi="Times New Roman" w:cs="Times New Roman"/>
                      <w:color w:val="auto"/>
                      <w:szCs w:val="21"/>
                      <w:lang w:val="en-US" w:eastAsia="zh-CN"/>
                    </w:rPr>
                    <w:t>548.7</w:t>
                  </w:r>
                  <w:r>
                    <w:rPr>
                      <w:rFonts w:hint="eastAsia" w:ascii="Times New Roman" w:hAnsi="Times New Roman" w:cs="Times New Roman"/>
                      <w:color w:val="auto"/>
                      <w:szCs w:val="21"/>
                      <w:lang w:eastAsia="zh-CN"/>
                    </w:rPr>
                    <w:t>℃；密度：</w:t>
                  </w:r>
                  <w:r>
                    <w:rPr>
                      <w:rFonts w:hint="eastAsia" w:ascii="Times New Roman" w:hAnsi="Times New Roman" w:cs="Times New Roman"/>
                      <w:color w:val="auto"/>
                      <w:szCs w:val="21"/>
                      <w:lang w:val="en-US" w:eastAsia="zh-CN"/>
                    </w:rPr>
                    <w:t>1.299g/cm</w:t>
                  </w:r>
                  <w:r>
                    <w:rPr>
                      <w:rFonts w:hint="eastAsia" w:ascii="Times New Roman" w:hAnsi="Times New Roman" w:cs="Times New Roman"/>
                      <w:color w:val="auto"/>
                      <w:szCs w:val="21"/>
                      <w:vertAlign w:val="superscript"/>
                      <w:lang w:val="en-US" w:eastAsia="zh-CN"/>
                    </w:rPr>
                    <w:t>3</w:t>
                  </w:r>
                  <w:r>
                    <w:rPr>
                      <w:rFonts w:hint="eastAsia" w:ascii="Times New Roman" w:hAnsi="Times New Roman" w:cs="Times New Roman"/>
                      <w:color w:val="auto"/>
                      <w:szCs w:val="21"/>
                      <w:lang w:val="en-US" w:eastAsia="zh-CN"/>
                    </w:rPr>
                    <w:t>，闪点：4</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；溶解性：</w:t>
                  </w:r>
                  <w:r>
                    <w:rPr>
                      <w:rFonts w:ascii="Helvetica" w:hAnsi="Helvetica" w:eastAsia="Helvetica" w:cs="Helvetica"/>
                      <w:i w:val="0"/>
                      <w:iCs w:val="0"/>
                      <w:caps w:val="0"/>
                      <w:color w:val="auto"/>
                      <w:spacing w:val="0"/>
                      <w:sz w:val="21"/>
                      <w:szCs w:val="21"/>
                      <w:shd w:val="clear" w:fill="FFFFFF"/>
                    </w:rPr>
                    <w:t>溶于乙醇和碱溶液，在乙醚中略溶，极微溶于氯仿，不溶于水</w:t>
                  </w:r>
                  <w:r>
                    <w:rPr>
                      <w:rFonts w:hint="eastAsia" w:ascii="Helvetica" w:hAnsi="Helvetica" w:eastAsia="宋体" w:cs="Helvetica"/>
                      <w:i w:val="0"/>
                      <w:iCs w:val="0"/>
                      <w:caps w:val="0"/>
                      <w:color w:val="auto"/>
                      <w:spacing w:val="0"/>
                      <w:sz w:val="21"/>
                      <w:szCs w:val="21"/>
                      <w:shd w:val="clear" w:fill="FFFFFF"/>
                      <w:lang w:eastAsia="zh-CN"/>
                    </w:rPr>
                    <w:t>。</w:t>
                  </w:r>
                </w:p>
              </w:tc>
            </w:tr>
            <w:tr w14:paraId="4EB92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44A8F92D">
                  <w:pPr>
                    <w:jc w:val="center"/>
                    <w:rPr>
                      <w:rFonts w:ascii="Times New Roman" w:hAnsi="Times New Roman" w:cs="Times New Roman"/>
                      <w:color w:val="auto"/>
                      <w:szCs w:val="21"/>
                    </w:rPr>
                  </w:pPr>
                  <w:r>
                    <w:rPr>
                      <w:rFonts w:hint="eastAsia" w:ascii="Times New Roman" w:hAnsi="Times New Roman" w:cs="Times New Roman"/>
                      <w:color w:val="auto"/>
                      <w:szCs w:val="21"/>
                    </w:rPr>
                    <w:t>4</w:t>
                  </w:r>
                </w:p>
              </w:tc>
              <w:tc>
                <w:tcPr>
                  <w:tcW w:w="1916" w:type="dxa"/>
                  <w:shd w:val="clear" w:color="auto" w:fill="auto"/>
                  <w:vAlign w:val="center"/>
                </w:tcPr>
                <w:p w14:paraId="1ABC1141">
                  <w:pPr>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甲苯</w:t>
                  </w:r>
                </w:p>
              </w:tc>
              <w:tc>
                <w:tcPr>
                  <w:tcW w:w="6757" w:type="dxa"/>
                  <w:shd w:val="clear" w:color="auto" w:fill="auto"/>
                  <w:vAlign w:val="center"/>
                </w:tcPr>
                <w:p w14:paraId="1663EEA3">
                  <w:pPr>
                    <w:ind w:firstLine="420" w:firstLineChars="200"/>
                    <w:jc w:val="left"/>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eastAsia="zh-CN"/>
                    </w:rPr>
                    <w:t>理化性质：性状：无色透明液体，有类似苯的芳香气味；溶解性：不溶于水，可混溶与苯、醇、醚等多数有机溶剂；熔点：</w:t>
                  </w:r>
                  <w:r>
                    <w:rPr>
                      <w:rFonts w:hint="eastAsia" w:ascii="Times New Roman" w:hAnsi="Times New Roman" w:cs="Times New Roman"/>
                      <w:color w:val="auto"/>
                      <w:szCs w:val="21"/>
                      <w:lang w:val="en-US" w:eastAsia="zh-CN"/>
                    </w:rPr>
                    <w:t>-94.9</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；沸点：110.6℃；相对密度（水=1）：0.87；临界温度：318.6</w:t>
                  </w:r>
                  <w:r>
                    <w:rPr>
                      <w:rFonts w:hint="eastAsia" w:ascii="Times New Roman" w:hAnsi="Times New Roman" w:cs="Times New Roman"/>
                      <w:color w:val="auto"/>
                      <w:szCs w:val="21"/>
                      <w:lang w:eastAsia="zh-CN"/>
                    </w:rPr>
                    <w:t>℃；临界压力：</w:t>
                  </w:r>
                  <w:r>
                    <w:rPr>
                      <w:rFonts w:hint="eastAsia" w:ascii="Times New Roman" w:hAnsi="Times New Roman" w:cs="Times New Roman"/>
                      <w:color w:val="auto"/>
                      <w:szCs w:val="21"/>
                      <w:lang w:val="en-US" w:eastAsia="zh-CN"/>
                    </w:rPr>
                    <w:t>4.11MPa；饱和蒸气压（kPa）：4.89（30℃）。燃烧爆炸危险性：燃烧性：易燃；燃烧分解物：一氧化碳、二氧化碳；闪点：4</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；聚合危害：不聚合；稳定性：稳定；爆炸下限（%）：1.2；爆炸上限（%）：7.0；引燃温度：535</w:t>
                  </w:r>
                  <w:r>
                    <w:rPr>
                      <w:rFonts w:hint="eastAsia" w:ascii="Times New Roman" w:hAnsi="Times New Roman" w:cs="Times New Roman"/>
                      <w:color w:val="auto"/>
                      <w:szCs w:val="21"/>
                      <w:lang w:eastAsia="zh-CN"/>
                    </w:rPr>
                    <w:t>℃；最大爆炸压力：</w:t>
                  </w:r>
                  <w:r>
                    <w:rPr>
                      <w:rFonts w:hint="eastAsia" w:ascii="Times New Roman" w:hAnsi="Times New Roman" w:cs="Times New Roman"/>
                      <w:color w:val="auto"/>
                      <w:szCs w:val="21"/>
                      <w:lang w:val="en-US" w:eastAsia="zh-CN"/>
                    </w:rPr>
                    <w:t>0.666MPa；禁忌物：强氧化剂；危险特性：易燃，其蒸气与空气可形成爆炸性混合物。遇明火、高热能引起燃烧爆炸。与氧化剂能发生强烈反应。流速过快，容易产生和积聚静电。其蒸气比空气重，能在较低处扩散到相当远的地方，遇明火会引着回燃。</w:t>
                  </w:r>
                </w:p>
              </w:tc>
            </w:tr>
            <w:tr w14:paraId="5CA50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57BC872B">
                  <w:pPr>
                    <w:jc w:val="center"/>
                    <w:rPr>
                      <w:rFonts w:ascii="Times New Roman" w:hAnsi="Times New Roman" w:cs="Times New Roman"/>
                      <w:color w:val="auto"/>
                      <w:szCs w:val="21"/>
                    </w:rPr>
                  </w:pPr>
                  <w:r>
                    <w:rPr>
                      <w:rFonts w:hint="eastAsia" w:ascii="Times New Roman" w:hAnsi="Times New Roman" w:cs="Times New Roman"/>
                      <w:color w:val="auto"/>
                      <w:szCs w:val="21"/>
                    </w:rPr>
                    <w:t>5</w:t>
                  </w:r>
                </w:p>
              </w:tc>
              <w:tc>
                <w:tcPr>
                  <w:tcW w:w="1916" w:type="dxa"/>
                  <w:shd w:val="clear" w:color="auto" w:fill="auto"/>
                  <w:vAlign w:val="center"/>
                </w:tcPr>
                <w:p w14:paraId="24DDB6D3">
                  <w:pPr>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碳酸钾</w:t>
                  </w:r>
                </w:p>
              </w:tc>
              <w:tc>
                <w:tcPr>
                  <w:tcW w:w="6757" w:type="dxa"/>
                  <w:shd w:val="clear" w:color="auto" w:fill="auto"/>
                  <w:vAlign w:val="center"/>
                </w:tcPr>
                <w:p w14:paraId="115DD5BD">
                  <w:pPr>
                    <w:ind w:firstLine="420" w:firstLineChars="200"/>
                    <w:jc w:val="left"/>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一种无机化合物，化学式为KCO3，外观如同食盐，无臭、味咸。常用于低钠盐、矿物质水的添加剂。</w:t>
                  </w:r>
                  <w:r>
                    <w:rPr>
                      <w:rFonts w:hint="eastAsia" w:ascii="Times New Roman" w:hAnsi="Times New Roman" w:cs="Times New Roman"/>
                      <w:color w:val="auto"/>
                      <w:szCs w:val="21"/>
                      <w:lang w:eastAsia="zh-CN"/>
                    </w:rPr>
                    <w:t>外观与性状：白色晶体，味极咸，无臭无毒性。易溶于水、醚、甘油及碱类，微溶于乙醇，但不溶于无水乙醇，有吸湿性，易结块；在水中的溶解度随温度的升高而迅速地增加，与钠盐常起复分解作用而生成新的钾盐。</w:t>
                  </w:r>
                </w:p>
              </w:tc>
            </w:tr>
            <w:tr w14:paraId="3CEAA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47B8CC04">
                  <w:pPr>
                    <w:jc w:val="center"/>
                    <w:rPr>
                      <w:rFonts w:ascii="Times New Roman" w:hAnsi="Times New Roman" w:cs="Times New Roman"/>
                      <w:color w:val="auto"/>
                      <w:szCs w:val="21"/>
                    </w:rPr>
                  </w:pPr>
                  <w:r>
                    <w:rPr>
                      <w:rFonts w:hint="eastAsia" w:ascii="Times New Roman" w:hAnsi="Times New Roman" w:cs="Times New Roman"/>
                      <w:color w:val="auto"/>
                      <w:szCs w:val="21"/>
                    </w:rPr>
                    <w:t>6</w:t>
                  </w:r>
                </w:p>
              </w:tc>
              <w:tc>
                <w:tcPr>
                  <w:tcW w:w="1916" w:type="dxa"/>
                  <w:shd w:val="clear" w:color="auto" w:fill="auto"/>
                  <w:vAlign w:val="center"/>
                </w:tcPr>
                <w:p w14:paraId="3DA96371">
                  <w:pPr>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钼酸钠</w:t>
                  </w:r>
                </w:p>
              </w:tc>
              <w:tc>
                <w:tcPr>
                  <w:tcW w:w="6757" w:type="dxa"/>
                  <w:shd w:val="clear" w:color="auto" w:fill="auto"/>
                  <w:vAlign w:val="center"/>
                </w:tcPr>
                <w:p w14:paraId="450939D8">
                  <w:pPr>
                    <w:ind w:firstLine="420" w:firstLineChars="200"/>
                    <w:jc w:val="left"/>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一种</w:t>
                  </w:r>
                  <w:r>
                    <w:rPr>
                      <w:rFonts w:hint="default" w:ascii="Times New Roman" w:hAnsi="Times New Roman" w:cs="Times New Roman"/>
                      <w:color w:val="auto"/>
                      <w:szCs w:val="21"/>
                      <w:lang w:val="en-US" w:eastAsia="zh-CN"/>
                    </w:rPr>
                    <w:fldChar w:fldCharType="begin"/>
                  </w:r>
                  <w:r>
                    <w:rPr>
                      <w:rFonts w:hint="default" w:ascii="Times New Roman" w:hAnsi="Times New Roman" w:cs="Times New Roman"/>
                      <w:color w:val="auto"/>
                      <w:szCs w:val="21"/>
                      <w:lang w:val="en-US" w:eastAsia="zh-CN"/>
                    </w:rPr>
                    <w:instrText xml:space="preserve"> HYPERLINK "https://baike.baidu.com/item/%E6%97%A0%E6%9C%BA%E5%8C%96%E5%90%88%E7%89%A9/10716655?fromModule=lemma_inlink" \t "https://baike.baidu.com/item/_blank" </w:instrText>
                  </w:r>
                  <w:r>
                    <w:rPr>
                      <w:rFonts w:hint="default" w:ascii="Times New Roman" w:hAnsi="Times New Roman" w:cs="Times New Roman"/>
                      <w:color w:val="auto"/>
                      <w:szCs w:val="21"/>
                      <w:lang w:val="en-US" w:eastAsia="zh-CN"/>
                    </w:rPr>
                    <w:fldChar w:fldCharType="separate"/>
                  </w:r>
                  <w:r>
                    <w:rPr>
                      <w:rFonts w:hint="default" w:ascii="Times New Roman" w:hAnsi="Times New Roman" w:cs="Times New Roman"/>
                      <w:color w:val="auto"/>
                      <w:szCs w:val="21"/>
                      <w:lang w:val="en-US" w:eastAsia="zh-CN"/>
                    </w:rPr>
                    <w:t>无机化合物</w:t>
                  </w:r>
                  <w:r>
                    <w:rPr>
                      <w:rFonts w:hint="default" w:ascii="Times New Roman" w:hAnsi="Times New Roman" w:cs="Times New Roman"/>
                      <w:color w:val="auto"/>
                      <w:szCs w:val="21"/>
                      <w:lang w:val="en-US" w:eastAsia="zh-CN"/>
                    </w:rPr>
                    <w:fldChar w:fldCharType="end"/>
                  </w:r>
                  <w:r>
                    <w:rPr>
                      <w:rFonts w:hint="default" w:ascii="Times New Roman" w:hAnsi="Times New Roman" w:cs="Times New Roman"/>
                      <w:color w:val="auto"/>
                      <w:szCs w:val="21"/>
                      <w:lang w:val="en-US" w:eastAsia="zh-CN"/>
                    </w:rPr>
                    <w:t>，为无色或白色的结晶性粉末，溶于水</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Cs w:val="21"/>
                      <w:lang w:val="en-US" w:eastAsia="zh-CN"/>
                    </w:rPr>
                    <w:t>溶解性：溶于水、甘油，不溶于乙醇。易风化</w:t>
                  </w:r>
                  <w:r>
                    <w:rPr>
                      <w:rFonts w:hint="eastAsia" w:ascii="Times New Roman" w:hAnsi="Times New Roman" w:cs="Times New Roman"/>
                      <w:color w:val="auto"/>
                      <w:szCs w:val="21"/>
                      <w:lang w:val="en-US" w:eastAsia="zh-CN"/>
                    </w:rPr>
                    <w:t>。</w:t>
                  </w:r>
                </w:p>
              </w:tc>
            </w:tr>
            <w:tr w14:paraId="378A2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746FB812">
                  <w:pPr>
                    <w:jc w:val="center"/>
                    <w:rPr>
                      <w:rFonts w:ascii="Times New Roman" w:hAnsi="Times New Roman" w:cs="Times New Roman"/>
                      <w:color w:val="auto"/>
                      <w:szCs w:val="21"/>
                    </w:rPr>
                  </w:pPr>
                  <w:r>
                    <w:rPr>
                      <w:rFonts w:hint="eastAsia" w:ascii="Times New Roman" w:hAnsi="Times New Roman" w:cs="Times New Roman"/>
                      <w:color w:val="auto"/>
                      <w:szCs w:val="21"/>
                    </w:rPr>
                    <w:t>7</w:t>
                  </w:r>
                </w:p>
              </w:tc>
              <w:tc>
                <w:tcPr>
                  <w:tcW w:w="1916" w:type="dxa"/>
                  <w:shd w:val="clear" w:color="auto" w:fill="auto"/>
                  <w:vAlign w:val="center"/>
                </w:tcPr>
                <w:p w14:paraId="708B35BC">
                  <w:pPr>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丙酮</w:t>
                  </w:r>
                </w:p>
              </w:tc>
              <w:tc>
                <w:tcPr>
                  <w:tcW w:w="6757" w:type="dxa"/>
                  <w:shd w:val="clear" w:color="auto" w:fill="auto"/>
                  <w:vAlign w:val="center"/>
                </w:tcPr>
                <w:p w14:paraId="3203949C">
                  <w:pPr>
                    <w:ind w:firstLine="420" w:firstLineChars="200"/>
                    <w:jc w:val="left"/>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eastAsia="zh-CN"/>
                    </w:rPr>
                    <w:t>理化性质：性状：无色透明易流动液体，有芳香气味，极易挥发；溶解性：与水混溶，可混溶于乙醇、乙醚、氯仿、油类、烃类等多数有机溶剂；熔点：</w:t>
                  </w:r>
                  <w:r>
                    <w:rPr>
                      <w:rFonts w:hint="eastAsia" w:ascii="Times New Roman" w:hAnsi="Times New Roman" w:cs="Times New Roman"/>
                      <w:color w:val="auto"/>
                      <w:szCs w:val="21"/>
                      <w:lang w:val="en-US" w:eastAsia="zh-CN"/>
                    </w:rPr>
                    <w:t>-94.6</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；沸点：56.5℃；相对密度（水=1）：0.80；临界温度：235.5</w:t>
                  </w:r>
                  <w:r>
                    <w:rPr>
                      <w:rFonts w:hint="eastAsia" w:ascii="Times New Roman" w:hAnsi="Times New Roman" w:cs="Times New Roman"/>
                      <w:color w:val="auto"/>
                      <w:szCs w:val="21"/>
                      <w:lang w:eastAsia="zh-CN"/>
                    </w:rPr>
                    <w:t>℃；临界压力：</w:t>
                  </w:r>
                  <w:r>
                    <w:rPr>
                      <w:rFonts w:hint="eastAsia" w:ascii="Times New Roman" w:hAnsi="Times New Roman" w:cs="Times New Roman"/>
                      <w:color w:val="auto"/>
                      <w:szCs w:val="21"/>
                      <w:lang w:val="en-US" w:eastAsia="zh-CN"/>
                    </w:rPr>
                    <w:t>39.5℃）；燃烧热：1788.7KJ/mol；最小点火能：1.157mJ。燃烧爆炸危险性：燃烧性：易燃；燃烧分解物：一氧化碳、二氧化碳；闪点：-20</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；聚合危害：不聚合；稳定性：稳定；爆炸下限（%）：2.5；爆炸上限（%）：13.0；引燃温度：465</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禁忌物：强氧化剂、强还原剂、碱；危险特性：其蒸气与空气可形成爆炸性混合物。遇明火、高热极易燃烧爆炸。与氧化剂能发生强烈反应。其蒸气比空气重，能在较低处扩散到相当远的地方，遇明火会引着回燃。若遇高热，容器内压增大，有开裂和爆炸的危险。</w:t>
                  </w:r>
                </w:p>
              </w:tc>
            </w:tr>
            <w:tr w14:paraId="410D1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1DF3028D">
                  <w:pPr>
                    <w:jc w:val="center"/>
                    <w:rPr>
                      <w:rFonts w:ascii="Times New Roman" w:hAnsi="Times New Roman" w:cs="Times New Roman"/>
                      <w:color w:val="auto"/>
                      <w:szCs w:val="21"/>
                    </w:rPr>
                  </w:pPr>
                  <w:r>
                    <w:rPr>
                      <w:rFonts w:hint="eastAsia" w:ascii="Times New Roman" w:hAnsi="Times New Roman" w:cs="Times New Roman"/>
                      <w:color w:val="auto"/>
                      <w:szCs w:val="21"/>
                    </w:rPr>
                    <w:t>8</w:t>
                  </w:r>
                </w:p>
              </w:tc>
              <w:tc>
                <w:tcPr>
                  <w:tcW w:w="1916" w:type="dxa"/>
                  <w:shd w:val="clear" w:color="auto" w:fill="auto"/>
                  <w:vAlign w:val="center"/>
                </w:tcPr>
                <w:p w14:paraId="4596AB72">
                  <w:pPr>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盐酸</w:t>
                  </w:r>
                </w:p>
              </w:tc>
              <w:tc>
                <w:tcPr>
                  <w:tcW w:w="6757" w:type="dxa"/>
                  <w:shd w:val="clear" w:color="auto" w:fill="auto"/>
                  <w:vAlign w:val="center"/>
                </w:tcPr>
                <w:p w14:paraId="0236D796">
                  <w:pPr>
                    <w:ind w:firstLine="420" w:firstLineChars="200"/>
                    <w:jc w:val="left"/>
                    <w:rPr>
                      <w:rFonts w:hint="eastAsia" w:ascii="Times New Roman" w:hAnsi="Times New Roman" w:cs="Times New Roman" w:eastAsiaTheme="minorEastAsia"/>
                      <w:color w:val="auto"/>
                      <w:kern w:val="2"/>
                      <w:sz w:val="21"/>
                      <w:szCs w:val="21"/>
                      <w:lang w:val="en-US" w:eastAsia="zh-CN" w:bidi="ar-SA"/>
                    </w:rPr>
                  </w:pPr>
                  <w:r>
                    <w:rPr>
                      <w:rFonts w:ascii="Helvetica" w:hAnsi="Helvetica" w:eastAsia="Helvetica" w:cs="Helvetica"/>
                      <w:i w:val="0"/>
                      <w:iCs w:val="0"/>
                      <w:caps w:val="0"/>
                      <w:color w:val="333333"/>
                      <w:spacing w:val="0"/>
                      <w:sz w:val="21"/>
                      <w:szCs w:val="21"/>
                      <w:shd w:val="clear" w:fill="FFFFFF"/>
                    </w:rPr>
                    <w:t>盐酸（hydrochloric acid）是氯化氢（HCl）的水溶液</w:t>
                  </w:r>
                  <w:r>
                    <w:rPr>
                      <w:rFonts w:hint="default" w:ascii="Helvetica" w:hAnsi="Helvetica" w:eastAsia="Helvetica" w:cs="Helvetica"/>
                      <w:i w:val="0"/>
                      <w:iCs w:val="0"/>
                      <w:caps w:val="0"/>
                      <w:color w:val="333333"/>
                      <w:spacing w:val="0"/>
                      <w:sz w:val="21"/>
                      <w:szCs w:val="21"/>
                      <w:shd w:val="clear" w:fill="FFFFFF"/>
                    </w:rPr>
                    <w:t>，工业用途广泛。盐酸为无色透明的液体，有强烈的刺鼻气味，具有较高的腐蚀性。浓盐酸（质量分数约为37%）具有极强的挥发性，因此盛有浓盐酸的容器打开后氯化氢气体会挥发，与空气中的水蒸气结合产生盐酸小液滴，使瓶口上方出现酸雾。盐酸是胃酸的主要成分，它能够促进食物消化、抵御微生物感染。</w:t>
                  </w:r>
                </w:p>
              </w:tc>
            </w:tr>
            <w:tr w14:paraId="556B1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965" w:type="dxa"/>
                  <w:vAlign w:val="center"/>
                </w:tcPr>
                <w:p w14:paraId="1DAE59EE">
                  <w:pPr>
                    <w:jc w:val="center"/>
                    <w:rPr>
                      <w:rFonts w:ascii="Times New Roman" w:hAnsi="Times New Roman" w:cs="Times New Roman"/>
                      <w:color w:val="auto"/>
                      <w:szCs w:val="21"/>
                    </w:rPr>
                  </w:pPr>
                  <w:r>
                    <w:rPr>
                      <w:rFonts w:hint="eastAsia" w:ascii="Times New Roman" w:hAnsi="Times New Roman" w:cs="Times New Roman"/>
                      <w:color w:val="auto"/>
                      <w:szCs w:val="21"/>
                    </w:rPr>
                    <w:t>9</w:t>
                  </w:r>
                </w:p>
              </w:tc>
              <w:tc>
                <w:tcPr>
                  <w:tcW w:w="1916" w:type="dxa"/>
                  <w:shd w:val="clear" w:color="auto" w:fill="auto"/>
                  <w:vAlign w:val="center"/>
                </w:tcPr>
                <w:p w14:paraId="4AACAC4C">
                  <w:pPr>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硝酸</w:t>
                  </w:r>
                </w:p>
              </w:tc>
              <w:tc>
                <w:tcPr>
                  <w:tcW w:w="6757" w:type="dxa"/>
                  <w:shd w:val="clear" w:color="auto" w:fill="auto"/>
                  <w:vAlign w:val="center"/>
                </w:tcPr>
                <w:p w14:paraId="4E9B3696">
                  <w:pPr>
                    <w:ind w:firstLine="420" w:firstLineChars="200"/>
                    <w:jc w:val="left"/>
                    <w:rPr>
                      <w:rFonts w:hint="eastAsia" w:ascii="Times New Roman" w:hAnsi="Times New Roman" w:cs="Times New Roman" w:eastAsiaTheme="minorEastAsia"/>
                      <w:color w:val="auto"/>
                      <w:kern w:val="2"/>
                      <w:sz w:val="21"/>
                      <w:szCs w:val="21"/>
                      <w:lang w:val="en-US" w:eastAsia="zh-CN" w:bidi="ar-SA"/>
                    </w:rPr>
                  </w:pPr>
                  <w:r>
                    <w:rPr>
                      <w:rFonts w:hint="default" w:ascii="Helvetica" w:hAnsi="Helvetica" w:eastAsia="Helvetica" w:cs="Helvetica"/>
                      <w:i w:val="0"/>
                      <w:iCs w:val="0"/>
                      <w:caps w:val="0"/>
                      <w:color w:val="333333"/>
                      <w:spacing w:val="0"/>
                      <w:sz w:val="21"/>
                      <w:szCs w:val="21"/>
                      <w:shd w:val="clear" w:fill="FFFFFF"/>
                    </w:rPr>
                    <w:t>硝酸，是一种具有强</w:t>
                  </w:r>
                  <w:r>
                    <w:rPr>
                      <w:rFonts w:hint="default" w:ascii="Helvetica" w:hAnsi="Helvetica" w:eastAsia="Helvetica" w:cs="Helvetica"/>
                      <w:i w:val="0"/>
                      <w:iCs w:val="0"/>
                      <w:caps w:val="0"/>
                      <w:color w:val="333333"/>
                      <w:spacing w:val="0"/>
                      <w:sz w:val="21"/>
                      <w:szCs w:val="21"/>
                      <w:shd w:val="clear" w:fill="FFFFFF"/>
                    </w:rPr>
                    <w:fldChar w:fldCharType="begin"/>
                  </w:r>
                  <w:r>
                    <w:rPr>
                      <w:rFonts w:hint="default" w:ascii="Helvetica" w:hAnsi="Helvetica" w:eastAsia="Helvetica" w:cs="Helvetica"/>
                      <w:i w:val="0"/>
                      <w:iCs w:val="0"/>
                      <w:caps w:val="0"/>
                      <w:color w:val="333333"/>
                      <w:spacing w:val="0"/>
                      <w:sz w:val="21"/>
                      <w:szCs w:val="21"/>
                      <w:shd w:val="clear" w:fill="FFFFFF"/>
                    </w:rPr>
                    <w:instrText xml:space="preserve"> HYPERLINK "https://baike.baidu.com/item/%E6%B0%A7%E5%8C%96%E6%80%A7/4826093?fromModule=lemma_inlink" \t "https://baike.baidu.com/item/_blank" </w:instrText>
                  </w:r>
                  <w:r>
                    <w:rPr>
                      <w:rFonts w:hint="default" w:ascii="Helvetica" w:hAnsi="Helvetica" w:eastAsia="Helvetica" w:cs="Helvetica"/>
                      <w:i w:val="0"/>
                      <w:iCs w:val="0"/>
                      <w:caps w:val="0"/>
                      <w:color w:val="333333"/>
                      <w:spacing w:val="0"/>
                      <w:sz w:val="21"/>
                      <w:szCs w:val="21"/>
                      <w:shd w:val="clear" w:fill="FFFFFF"/>
                    </w:rPr>
                    <w:fldChar w:fldCharType="separate"/>
                  </w:r>
                  <w:r>
                    <w:rPr>
                      <w:rFonts w:hint="default" w:ascii="Helvetica" w:hAnsi="Helvetica" w:eastAsia="Helvetica" w:cs="Helvetica"/>
                      <w:i w:val="0"/>
                      <w:iCs w:val="0"/>
                      <w:caps w:val="0"/>
                      <w:color w:val="333333"/>
                      <w:spacing w:val="0"/>
                      <w:sz w:val="21"/>
                      <w:szCs w:val="21"/>
                      <w:shd w:val="clear" w:fill="FFFFFF"/>
                    </w:rPr>
                    <w:t>氧化性</w:t>
                  </w:r>
                  <w:r>
                    <w:rPr>
                      <w:rFonts w:hint="default" w:ascii="Helvetica" w:hAnsi="Helvetica" w:eastAsia="Helvetica" w:cs="Helvetica"/>
                      <w:i w:val="0"/>
                      <w:iCs w:val="0"/>
                      <w:caps w:val="0"/>
                      <w:color w:val="333333"/>
                      <w:spacing w:val="0"/>
                      <w:sz w:val="21"/>
                      <w:szCs w:val="21"/>
                      <w:shd w:val="clear" w:fill="FFFFFF"/>
                    </w:rPr>
                    <w:fldChar w:fldCharType="end"/>
                  </w:r>
                  <w:r>
                    <w:rPr>
                      <w:rFonts w:hint="default" w:ascii="Helvetica" w:hAnsi="Helvetica" w:eastAsia="Helvetica" w:cs="Helvetica"/>
                      <w:i w:val="0"/>
                      <w:iCs w:val="0"/>
                      <w:caps w:val="0"/>
                      <w:color w:val="333333"/>
                      <w:spacing w:val="0"/>
                      <w:sz w:val="21"/>
                      <w:szCs w:val="21"/>
                      <w:shd w:val="clear" w:fill="FFFFFF"/>
                    </w:rPr>
                    <w:t>、腐蚀性的一元无机</w:t>
                  </w:r>
                  <w:r>
                    <w:rPr>
                      <w:rFonts w:hint="default" w:ascii="Helvetica" w:hAnsi="Helvetica" w:eastAsia="Helvetica" w:cs="Helvetica"/>
                      <w:i w:val="0"/>
                      <w:iCs w:val="0"/>
                      <w:caps w:val="0"/>
                      <w:color w:val="333333"/>
                      <w:spacing w:val="0"/>
                      <w:sz w:val="21"/>
                      <w:szCs w:val="21"/>
                      <w:shd w:val="clear" w:fill="FFFFFF"/>
                    </w:rPr>
                    <w:fldChar w:fldCharType="begin"/>
                  </w:r>
                  <w:r>
                    <w:rPr>
                      <w:rFonts w:hint="default" w:ascii="Helvetica" w:hAnsi="Helvetica" w:eastAsia="Helvetica" w:cs="Helvetica"/>
                      <w:i w:val="0"/>
                      <w:iCs w:val="0"/>
                      <w:caps w:val="0"/>
                      <w:color w:val="333333"/>
                      <w:spacing w:val="0"/>
                      <w:sz w:val="21"/>
                      <w:szCs w:val="21"/>
                      <w:shd w:val="clear" w:fill="FFFFFF"/>
                    </w:rPr>
                    <w:instrText xml:space="preserve"> HYPERLINK "https://baike.baidu.com/item/%E5%BC%BA%E9%85%B8/10424255?fromModule=lemma_inlink" \t "https://baike.baidu.com/item/_blank" </w:instrText>
                  </w:r>
                  <w:r>
                    <w:rPr>
                      <w:rFonts w:hint="default" w:ascii="Helvetica" w:hAnsi="Helvetica" w:eastAsia="Helvetica" w:cs="Helvetica"/>
                      <w:i w:val="0"/>
                      <w:iCs w:val="0"/>
                      <w:caps w:val="0"/>
                      <w:color w:val="333333"/>
                      <w:spacing w:val="0"/>
                      <w:sz w:val="21"/>
                      <w:szCs w:val="21"/>
                      <w:shd w:val="clear" w:fill="FFFFFF"/>
                    </w:rPr>
                    <w:fldChar w:fldCharType="separate"/>
                  </w:r>
                  <w:r>
                    <w:rPr>
                      <w:rFonts w:hint="default" w:ascii="Helvetica" w:hAnsi="Helvetica" w:eastAsia="Helvetica" w:cs="Helvetica"/>
                      <w:i w:val="0"/>
                      <w:iCs w:val="0"/>
                      <w:caps w:val="0"/>
                      <w:color w:val="333333"/>
                      <w:spacing w:val="0"/>
                      <w:sz w:val="21"/>
                      <w:szCs w:val="21"/>
                      <w:shd w:val="clear" w:fill="FFFFFF"/>
                    </w:rPr>
                    <w:t>强酸</w:t>
                  </w:r>
                  <w:r>
                    <w:rPr>
                      <w:rFonts w:hint="default" w:ascii="Helvetica" w:hAnsi="Helvetica" w:eastAsia="Helvetica" w:cs="Helvetica"/>
                      <w:i w:val="0"/>
                      <w:iCs w:val="0"/>
                      <w:caps w:val="0"/>
                      <w:color w:val="333333"/>
                      <w:spacing w:val="0"/>
                      <w:sz w:val="21"/>
                      <w:szCs w:val="21"/>
                      <w:shd w:val="clear" w:fill="FFFFFF"/>
                    </w:rPr>
                    <w:fldChar w:fldCharType="end"/>
                  </w:r>
                  <w:r>
                    <w:rPr>
                      <w:rFonts w:hint="default" w:ascii="Helvetica" w:hAnsi="Helvetica" w:eastAsia="Helvetica" w:cs="Helvetica"/>
                      <w:i w:val="0"/>
                      <w:iCs w:val="0"/>
                      <w:caps w:val="0"/>
                      <w:color w:val="333333"/>
                      <w:spacing w:val="0"/>
                      <w:sz w:val="21"/>
                      <w:szCs w:val="21"/>
                      <w:shd w:val="clear" w:fill="FFFFFF"/>
                    </w:rPr>
                    <w:t>。是六大无机强酸之一，也是一种重要的</w:t>
                  </w:r>
                  <w:r>
                    <w:rPr>
                      <w:rFonts w:hint="default" w:ascii="Helvetica" w:hAnsi="Helvetica" w:eastAsia="Helvetica" w:cs="Helvetica"/>
                      <w:i w:val="0"/>
                      <w:iCs w:val="0"/>
                      <w:caps w:val="0"/>
                      <w:color w:val="333333"/>
                      <w:spacing w:val="0"/>
                      <w:sz w:val="21"/>
                      <w:szCs w:val="21"/>
                      <w:shd w:val="clear" w:fill="FFFFFF"/>
                    </w:rPr>
                    <w:fldChar w:fldCharType="begin"/>
                  </w:r>
                  <w:r>
                    <w:rPr>
                      <w:rFonts w:hint="default" w:ascii="Helvetica" w:hAnsi="Helvetica" w:eastAsia="Helvetica" w:cs="Helvetica"/>
                      <w:i w:val="0"/>
                      <w:iCs w:val="0"/>
                      <w:caps w:val="0"/>
                      <w:color w:val="333333"/>
                      <w:spacing w:val="0"/>
                      <w:sz w:val="21"/>
                      <w:szCs w:val="21"/>
                      <w:shd w:val="clear" w:fill="FFFFFF"/>
                    </w:rPr>
                    <w:instrText xml:space="preserve"> HYPERLINK "https://baike.baidu.com/item/%E5%8C%96%E5%B7%A5%E5%8E%9F%E6%96%99/5139172?fromModule=lemma_inlink" \t "https://baike.baidu.com/item/_blank" </w:instrText>
                  </w:r>
                  <w:r>
                    <w:rPr>
                      <w:rFonts w:hint="default" w:ascii="Helvetica" w:hAnsi="Helvetica" w:eastAsia="Helvetica" w:cs="Helvetica"/>
                      <w:i w:val="0"/>
                      <w:iCs w:val="0"/>
                      <w:caps w:val="0"/>
                      <w:color w:val="333333"/>
                      <w:spacing w:val="0"/>
                      <w:sz w:val="21"/>
                      <w:szCs w:val="21"/>
                      <w:shd w:val="clear" w:fill="FFFFFF"/>
                    </w:rPr>
                    <w:fldChar w:fldCharType="separate"/>
                  </w:r>
                  <w:r>
                    <w:rPr>
                      <w:rFonts w:hint="default" w:ascii="Helvetica" w:hAnsi="Helvetica" w:eastAsia="Helvetica" w:cs="Helvetica"/>
                      <w:i w:val="0"/>
                      <w:iCs w:val="0"/>
                      <w:caps w:val="0"/>
                      <w:color w:val="333333"/>
                      <w:spacing w:val="0"/>
                      <w:sz w:val="21"/>
                      <w:szCs w:val="21"/>
                      <w:shd w:val="clear" w:fill="FFFFFF"/>
                    </w:rPr>
                    <w:t>化工原料</w:t>
                  </w:r>
                  <w:r>
                    <w:rPr>
                      <w:rFonts w:hint="default" w:ascii="Helvetica" w:hAnsi="Helvetica" w:eastAsia="Helvetica" w:cs="Helvetica"/>
                      <w:i w:val="0"/>
                      <w:iCs w:val="0"/>
                      <w:caps w:val="0"/>
                      <w:color w:val="333333"/>
                      <w:spacing w:val="0"/>
                      <w:sz w:val="21"/>
                      <w:szCs w:val="21"/>
                      <w:shd w:val="clear" w:fill="FFFFFF"/>
                    </w:rPr>
                    <w:fldChar w:fldCharType="end"/>
                  </w:r>
                  <w:r>
                    <w:rPr>
                      <w:rFonts w:hint="default" w:ascii="Helvetica" w:hAnsi="Helvetica" w:eastAsia="Helvetica" w:cs="Helvetica"/>
                      <w:i w:val="0"/>
                      <w:iCs w:val="0"/>
                      <w:caps w:val="0"/>
                      <w:color w:val="333333"/>
                      <w:spacing w:val="0"/>
                      <w:sz w:val="21"/>
                      <w:szCs w:val="21"/>
                      <w:shd w:val="clear" w:fill="FFFFFF"/>
                    </w:rPr>
                    <w:t>，化学式为HNO3，分子量为63.01，其水溶液俗称硝镪水或氨氮水，纯品为无色透明发烟液体，有酸味。在工业上可用于制化肥、农药、炸药、染料等；在有机化学中，</w:t>
                  </w:r>
                  <w:r>
                    <w:rPr>
                      <w:rFonts w:hint="default" w:ascii="Helvetica" w:hAnsi="Helvetica" w:eastAsia="Helvetica" w:cs="Helvetica"/>
                      <w:i w:val="0"/>
                      <w:iCs w:val="0"/>
                      <w:caps w:val="0"/>
                      <w:color w:val="333333"/>
                      <w:spacing w:val="0"/>
                      <w:sz w:val="21"/>
                      <w:szCs w:val="21"/>
                      <w:shd w:val="clear" w:fill="FFFFFF"/>
                    </w:rPr>
                    <w:fldChar w:fldCharType="begin"/>
                  </w:r>
                  <w:r>
                    <w:rPr>
                      <w:rFonts w:hint="default" w:ascii="Helvetica" w:hAnsi="Helvetica" w:eastAsia="Helvetica" w:cs="Helvetica"/>
                      <w:i w:val="0"/>
                      <w:iCs w:val="0"/>
                      <w:caps w:val="0"/>
                      <w:color w:val="333333"/>
                      <w:spacing w:val="0"/>
                      <w:sz w:val="21"/>
                      <w:szCs w:val="21"/>
                      <w:shd w:val="clear" w:fill="FFFFFF"/>
                    </w:rPr>
                    <w:instrText xml:space="preserve"> HYPERLINK "https://baike.baidu.com/item/%E6%B5%93%E7%A1%9D%E9%85%B8/7275542?fromModule=lemma_inlink" \t "https://baike.baidu.com/item/_blank" </w:instrText>
                  </w:r>
                  <w:r>
                    <w:rPr>
                      <w:rFonts w:hint="default" w:ascii="Helvetica" w:hAnsi="Helvetica" w:eastAsia="Helvetica" w:cs="Helvetica"/>
                      <w:i w:val="0"/>
                      <w:iCs w:val="0"/>
                      <w:caps w:val="0"/>
                      <w:color w:val="333333"/>
                      <w:spacing w:val="0"/>
                      <w:sz w:val="21"/>
                      <w:szCs w:val="21"/>
                      <w:shd w:val="clear" w:fill="FFFFFF"/>
                    </w:rPr>
                    <w:fldChar w:fldCharType="separate"/>
                  </w:r>
                  <w:r>
                    <w:rPr>
                      <w:rFonts w:hint="default" w:ascii="Helvetica" w:hAnsi="Helvetica" w:eastAsia="Helvetica" w:cs="Helvetica"/>
                      <w:i w:val="0"/>
                      <w:iCs w:val="0"/>
                      <w:caps w:val="0"/>
                      <w:color w:val="333333"/>
                      <w:spacing w:val="0"/>
                      <w:sz w:val="21"/>
                      <w:szCs w:val="21"/>
                      <w:shd w:val="clear" w:fill="FFFFFF"/>
                    </w:rPr>
                    <w:t>浓硝酸</w:t>
                  </w:r>
                  <w:r>
                    <w:rPr>
                      <w:rFonts w:hint="default" w:ascii="Helvetica" w:hAnsi="Helvetica" w:eastAsia="Helvetica" w:cs="Helvetica"/>
                      <w:i w:val="0"/>
                      <w:iCs w:val="0"/>
                      <w:caps w:val="0"/>
                      <w:color w:val="333333"/>
                      <w:spacing w:val="0"/>
                      <w:sz w:val="21"/>
                      <w:szCs w:val="21"/>
                      <w:shd w:val="clear" w:fill="FFFFFF"/>
                    </w:rPr>
                    <w:fldChar w:fldCharType="end"/>
                  </w:r>
                  <w:r>
                    <w:rPr>
                      <w:rFonts w:hint="default" w:ascii="Helvetica" w:hAnsi="Helvetica" w:eastAsia="Helvetica" w:cs="Helvetica"/>
                      <w:i w:val="0"/>
                      <w:iCs w:val="0"/>
                      <w:caps w:val="0"/>
                      <w:color w:val="333333"/>
                      <w:spacing w:val="0"/>
                      <w:sz w:val="21"/>
                      <w:szCs w:val="21"/>
                      <w:shd w:val="clear" w:fill="FFFFFF"/>
                    </w:rPr>
                    <w:t>与</w:t>
                  </w:r>
                  <w:r>
                    <w:rPr>
                      <w:rFonts w:hint="default" w:ascii="Helvetica" w:hAnsi="Helvetica" w:eastAsia="Helvetica" w:cs="Helvetica"/>
                      <w:i w:val="0"/>
                      <w:iCs w:val="0"/>
                      <w:caps w:val="0"/>
                      <w:color w:val="333333"/>
                      <w:spacing w:val="0"/>
                      <w:sz w:val="21"/>
                      <w:szCs w:val="21"/>
                      <w:shd w:val="clear" w:fill="FFFFFF"/>
                    </w:rPr>
                    <w:fldChar w:fldCharType="begin"/>
                  </w:r>
                  <w:r>
                    <w:rPr>
                      <w:rFonts w:hint="default" w:ascii="Helvetica" w:hAnsi="Helvetica" w:eastAsia="Helvetica" w:cs="Helvetica"/>
                      <w:i w:val="0"/>
                      <w:iCs w:val="0"/>
                      <w:caps w:val="0"/>
                      <w:color w:val="333333"/>
                      <w:spacing w:val="0"/>
                      <w:sz w:val="21"/>
                      <w:szCs w:val="21"/>
                      <w:shd w:val="clear" w:fill="FFFFFF"/>
                    </w:rPr>
                    <w:instrText xml:space="preserve"> HYPERLINK "https://baike.baidu.com/item/%E6%B5%93%E7%A1%AB%E9%85%B8/1101897?fromModule=lemma_inlink" \t "https://baike.baidu.com/item/_blank" </w:instrText>
                  </w:r>
                  <w:r>
                    <w:rPr>
                      <w:rFonts w:hint="default" w:ascii="Helvetica" w:hAnsi="Helvetica" w:eastAsia="Helvetica" w:cs="Helvetica"/>
                      <w:i w:val="0"/>
                      <w:iCs w:val="0"/>
                      <w:caps w:val="0"/>
                      <w:color w:val="333333"/>
                      <w:spacing w:val="0"/>
                      <w:sz w:val="21"/>
                      <w:szCs w:val="21"/>
                      <w:shd w:val="clear" w:fill="FFFFFF"/>
                    </w:rPr>
                    <w:fldChar w:fldCharType="separate"/>
                  </w:r>
                  <w:r>
                    <w:rPr>
                      <w:rFonts w:hint="default" w:ascii="Helvetica" w:hAnsi="Helvetica" w:eastAsia="Helvetica" w:cs="Helvetica"/>
                      <w:i w:val="0"/>
                      <w:iCs w:val="0"/>
                      <w:caps w:val="0"/>
                      <w:color w:val="333333"/>
                      <w:spacing w:val="0"/>
                      <w:sz w:val="21"/>
                      <w:szCs w:val="21"/>
                      <w:shd w:val="clear" w:fill="FFFFFF"/>
                    </w:rPr>
                    <w:t>浓硫酸</w:t>
                  </w:r>
                  <w:r>
                    <w:rPr>
                      <w:rFonts w:hint="default" w:ascii="Helvetica" w:hAnsi="Helvetica" w:eastAsia="Helvetica" w:cs="Helvetica"/>
                      <w:i w:val="0"/>
                      <w:iCs w:val="0"/>
                      <w:caps w:val="0"/>
                      <w:color w:val="333333"/>
                      <w:spacing w:val="0"/>
                      <w:sz w:val="21"/>
                      <w:szCs w:val="21"/>
                      <w:shd w:val="clear" w:fill="FFFFFF"/>
                    </w:rPr>
                    <w:fldChar w:fldCharType="end"/>
                  </w:r>
                  <w:r>
                    <w:rPr>
                      <w:rFonts w:hint="default" w:ascii="Helvetica" w:hAnsi="Helvetica" w:eastAsia="Helvetica" w:cs="Helvetica"/>
                      <w:i w:val="0"/>
                      <w:iCs w:val="0"/>
                      <w:caps w:val="0"/>
                      <w:color w:val="333333"/>
                      <w:spacing w:val="0"/>
                      <w:sz w:val="21"/>
                      <w:szCs w:val="21"/>
                      <w:shd w:val="clear" w:fill="FFFFFF"/>
                    </w:rPr>
                    <w:t>的混合液是重要的硝化试剂。</w:t>
                  </w:r>
                </w:p>
              </w:tc>
            </w:tr>
          </w:tbl>
          <w:p w14:paraId="7FD1B854">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5</w:t>
            </w:r>
            <w:r>
              <w:rPr>
                <w:rFonts w:ascii="Times New Roman" w:hAnsi="Times New Roman" w:cs="Times New Roman"/>
                <w:b/>
                <w:bCs/>
                <w:color w:val="auto"/>
                <w:sz w:val="24"/>
              </w:rPr>
              <w:t>、建设项目产品及产能</w:t>
            </w:r>
          </w:p>
          <w:p w14:paraId="4C8992D6">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lang w:val="en-US" w:eastAsia="zh-CN"/>
              </w:rPr>
              <w:t>本</w:t>
            </w:r>
            <w:r>
              <w:rPr>
                <w:rFonts w:hint="default" w:ascii="Times New Roman" w:hAnsi="Times New Roman" w:cs="Times New Roman"/>
                <w:color w:val="auto"/>
                <w:kern w:val="0"/>
                <w:sz w:val="24"/>
                <w:szCs w:val="24"/>
                <w:lang w:val="en-US" w:eastAsia="zh-CN"/>
              </w:rPr>
              <w:t>项目</w:t>
            </w:r>
            <w:r>
              <w:rPr>
                <w:rFonts w:hint="eastAsia" w:ascii="Times New Roman" w:hAnsi="Times New Roman" w:cs="Times New Roman"/>
                <w:b w:val="0"/>
                <w:bCs/>
                <w:color w:val="auto"/>
                <w:sz w:val="24"/>
                <w:szCs w:val="24"/>
                <w:lang w:val="en-US" w:eastAsia="zh-CN"/>
              </w:rPr>
              <w:t>主要从事</w:t>
            </w:r>
            <w:r>
              <w:rPr>
                <w:rFonts w:hint="eastAsia" w:ascii="Times New Roman" w:hAnsi="Times New Roman" w:cs="Times New Roman"/>
                <w:color w:val="auto"/>
                <w:kern w:val="0"/>
                <w:sz w:val="24"/>
                <w:szCs w:val="24"/>
                <w:lang w:val="en-US" w:eastAsia="zh-CN"/>
              </w:rPr>
              <w:t>粒径的检测、磷含量的检测、阻燃测试、包覆红磷实验、小螺杆机做实验，</w:t>
            </w:r>
            <w:r>
              <w:rPr>
                <w:rFonts w:hint="default" w:ascii="Times New Roman" w:hAnsi="Times New Roman" w:cs="Times New Roman"/>
                <w:color w:val="auto"/>
                <w:kern w:val="0"/>
                <w:sz w:val="24"/>
                <w:szCs w:val="24"/>
                <w:lang w:val="en-US" w:eastAsia="zh-CN"/>
              </w:rPr>
              <w:t>项目建成后，可具备年度检测金属非金属材料4000件次</w:t>
            </w:r>
            <w:r>
              <w:rPr>
                <w:rFonts w:hint="default" w:ascii="Times New Roman" w:hAnsi="Times New Roman" w:cs="Times New Roman"/>
                <w:color w:val="auto"/>
                <w:sz w:val="24"/>
                <w:szCs w:val="24"/>
              </w:rPr>
              <w:t>的</w:t>
            </w:r>
            <w:r>
              <w:rPr>
                <w:rFonts w:hint="eastAsia" w:ascii="Times New Roman" w:hAnsi="Times New Roman" w:cs="Times New Roman"/>
                <w:color w:val="auto"/>
                <w:sz w:val="24"/>
                <w:szCs w:val="24"/>
                <w:lang w:eastAsia="zh-CN"/>
              </w:rPr>
              <w:t>检验</w:t>
            </w:r>
            <w:r>
              <w:rPr>
                <w:rFonts w:hint="default" w:ascii="Times New Roman" w:hAnsi="Times New Roman" w:cs="Times New Roman"/>
                <w:color w:val="auto"/>
                <w:sz w:val="24"/>
                <w:szCs w:val="24"/>
              </w:rPr>
              <w:t>能力。</w:t>
            </w:r>
          </w:p>
          <w:p w14:paraId="40ECBE70">
            <w:pPr>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6</w:t>
            </w:r>
            <w:r>
              <w:rPr>
                <w:rFonts w:ascii="Times New Roman" w:hAnsi="Times New Roman" w:cs="Times New Roman"/>
                <w:b/>
                <w:bCs/>
                <w:color w:val="auto"/>
                <w:sz w:val="24"/>
              </w:rPr>
              <w:t>、建设项目劳动定员及工作制度</w:t>
            </w:r>
          </w:p>
          <w:p w14:paraId="4C850BAF">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本项目</w:t>
            </w:r>
            <w:r>
              <w:rPr>
                <w:rFonts w:hint="eastAsia" w:ascii="Times New Roman" w:hAnsi="Times New Roman" w:cs="Times New Roman"/>
                <w:color w:val="auto"/>
                <w:sz w:val="24"/>
                <w:lang w:eastAsia="zh-CN"/>
              </w:rPr>
              <w:t>劳动定员</w:t>
            </w:r>
            <w:r>
              <w:rPr>
                <w:rFonts w:hint="eastAsia" w:ascii="Times New Roman" w:hAnsi="Times New Roman" w:cs="Times New Roman"/>
                <w:color w:val="auto"/>
                <w:sz w:val="24"/>
                <w:lang w:val="en-US" w:eastAsia="zh-CN"/>
              </w:rPr>
              <w:t>5人，利用现有员工</w:t>
            </w:r>
            <w:r>
              <w:rPr>
                <w:rFonts w:ascii="Times New Roman" w:hAnsi="Times New Roman" w:cs="Times New Roman"/>
                <w:color w:val="auto"/>
                <w:sz w:val="24"/>
              </w:rPr>
              <w:t>。本项目工作制度为年工作</w:t>
            </w:r>
            <w:r>
              <w:rPr>
                <w:rFonts w:hint="eastAsia" w:ascii="Times New Roman" w:hAnsi="Times New Roman" w:cs="Times New Roman"/>
                <w:color w:val="auto"/>
                <w:sz w:val="24"/>
                <w:lang w:val="en-US" w:eastAsia="zh-CN"/>
              </w:rPr>
              <w:t>250</w:t>
            </w:r>
            <w:r>
              <w:rPr>
                <w:rFonts w:ascii="Times New Roman" w:hAnsi="Times New Roman" w:cs="Times New Roman"/>
                <w:color w:val="auto"/>
                <w:sz w:val="24"/>
              </w:rPr>
              <w:t>天，每天运行8h，一班制。</w:t>
            </w:r>
          </w:p>
          <w:p w14:paraId="53A0BDAC">
            <w:pPr>
              <w:spacing w:line="360" w:lineRule="auto"/>
              <w:ind w:firstLine="482" w:firstLineChars="200"/>
              <w:rPr>
                <w:rFonts w:ascii="Times New Roman" w:hAnsi="Times New Roman" w:cs="Times New Roman"/>
                <w:b/>
                <w:bCs/>
                <w:color w:val="auto"/>
                <w:sz w:val="24"/>
                <w:szCs w:val="24"/>
              </w:rPr>
            </w:pPr>
            <w:r>
              <w:rPr>
                <w:rFonts w:hint="eastAsia" w:ascii="Times New Roman" w:hAnsi="Times New Roman" w:cs="Times New Roman"/>
                <w:b/>
                <w:bCs/>
                <w:color w:val="auto"/>
                <w:sz w:val="24"/>
                <w:szCs w:val="24"/>
              </w:rPr>
              <w:t>7</w:t>
            </w:r>
            <w:r>
              <w:rPr>
                <w:rFonts w:ascii="Times New Roman" w:hAnsi="Times New Roman" w:cs="Times New Roman"/>
                <w:b/>
                <w:bCs/>
                <w:color w:val="auto"/>
                <w:sz w:val="24"/>
                <w:szCs w:val="24"/>
              </w:rPr>
              <w:t>、建设项目厂区平面布置</w:t>
            </w:r>
          </w:p>
          <w:p w14:paraId="6A97DAEE">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szCs w:val="24"/>
                <w:lang w:val="en-US" w:eastAsia="zh-CN"/>
              </w:rPr>
              <w:t>理化化验室</w:t>
            </w:r>
            <w:r>
              <w:rPr>
                <w:rFonts w:hint="eastAsia" w:ascii="Times New Roman" w:hAnsi="Times New Roman" w:cs="Times New Roman"/>
                <w:color w:val="auto"/>
                <w:kern w:val="0"/>
                <w:sz w:val="24"/>
                <w:szCs w:val="24"/>
                <w:lang w:val="en-US" w:eastAsia="zh-CN"/>
              </w:rPr>
              <w:t>、燃烧化验室、恒温室、制样室、办公区。</w:t>
            </w:r>
          </w:p>
          <w:p w14:paraId="39A14F03">
            <w:pPr>
              <w:spacing w:line="360" w:lineRule="auto"/>
              <w:ind w:firstLine="480" w:firstLineChars="200"/>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eastAsia="zh-CN"/>
              </w:rPr>
              <w:t>建设项目位置示意图见附图</w:t>
            </w:r>
            <w:r>
              <w:rPr>
                <w:rFonts w:hint="eastAsia" w:ascii="Times New Roman" w:hAnsi="Times New Roman" w:cs="Times New Roman"/>
                <w:color w:val="auto"/>
                <w:sz w:val="24"/>
                <w:lang w:val="en-US" w:eastAsia="zh-CN"/>
              </w:rPr>
              <w:t>。</w:t>
            </w:r>
          </w:p>
          <w:p w14:paraId="05A4984E">
            <w:pPr>
              <w:pStyle w:val="2"/>
              <w:rPr>
                <w:rFonts w:hint="eastAsia" w:ascii="Times New Roman" w:hAnsi="Times New Roman" w:cs="Times New Roman"/>
                <w:color w:val="auto"/>
                <w:sz w:val="24"/>
                <w:lang w:val="en-US" w:eastAsia="zh-CN"/>
              </w:rPr>
            </w:pPr>
          </w:p>
          <w:p w14:paraId="2E36BEFC">
            <w:pPr>
              <w:pStyle w:val="2"/>
              <w:rPr>
                <w:rFonts w:hint="eastAsia" w:ascii="Times New Roman" w:hAnsi="Times New Roman" w:cs="Times New Roman"/>
                <w:color w:val="auto"/>
                <w:sz w:val="24"/>
                <w:lang w:val="en-US" w:eastAsia="zh-CN"/>
              </w:rPr>
            </w:pPr>
          </w:p>
          <w:p w14:paraId="260610D1">
            <w:pPr>
              <w:pStyle w:val="2"/>
              <w:rPr>
                <w:rFonts w:hint="eastAsia" w:ascii="Times New Roman" w:hAnsi="Times New Roman" w:cs="Times New Roman"/>
                <w:color w:val="auto"/>
                <w:sz w:val="24"/>
                <w:lang w:val="en-US" w:eastAsia="zh-CN"/>
              </w:rPr>
            </w:pPr>
          </w:p>
          <w:p w14:paraId="66CF95A3">
            <w:pPr>
              <w:pStyle w:val="2"/>
              <w:rPr>
                <w:rFonts w:hint="eastAsia" w:ascii="Times New Roman" w:hAnsi="Times New Roman" w:cs="Times New Roman"/>
                <w:color w:val="auto"/>
                <w:sz w:val="24"/>
                <w:lang w:val="en-US" w:eastAsia="zh-CN"/>
              </w:rPr>
            </w:pPr>
          </w:p>
          <w:p w14:paraId="0EAF5177">
            <w:pPr>
              <w:pStyle w:val="2"/>
              <w:rPr>
                <w:rFonts w:hint="eastAsia" w:ascii="Times New Roman" w:hAnsi="Times New Roman" w:cs="Times New Roman"/>
                <w:color w:val="auto"/>
                <w:sz w:val="24"/>
                <w:lang w:val="en-US" w:eastAsia="zh-CN"/>
              </w:rPr>
            </w:pPr>
          </w:p>
          <w:p w14:paraId="7BFF31E7">
            <w:pPr>
              <w:pStyle w:val="2"/>
              <w:rPr>
                <w:rFonts w:hint="default" w:ascii="Times New Roman" w:hAnsi="Times New Roman" w:cs="Times New Roman"/>
                <w:color w:val="auto"/>
                <w:sz w:val="24"/>
                <w:lang w:val="en-US" w:eastAsia="zh-CN"/>
              </w:rPr>
            </w:pPr>
          </w:p>
        </w:tc>
      </w:tr>
      <w:tr w14:paraId="492A71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39" w:hRule="atLeast"/>
          <w:jc w:val="center"/>
        </w:trPr>
        <w:tc>
          <w:tcPr>
            <w:tcW w:w="426" w:type="dxa"/>
            <w:vAlign w:val="center"/>
          </w:tcPr>
          <w:p w14:paraId="114792E4">
            <w:pPr>
              <w:jc w:val="center"/>
              <w:rPr>
                <w:color w:val="auto"/>
                <w:szCs w:val="21"/>
              </w:rPr>
            </w:pPr>
            <w:r>
              <w:rPr>
                <w:rFonts w:hint="eastAsia"/>
                <w:color w:val="auto"/>
                <w:szCs w:val="21"/>
              </w:rPr>
              <w:t>工艺流程和产污环节</w:t>
            </w:r>
          </w:p>
        </w:tc>
        <w:tc>
          <w:tcPr>
            <w:tcW w:w="9013" w:type="dxa"/>
            <w:vAlign w:val="center"/>
          </w:tcPr>
          <w:p w14:paraId="15174675">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default"/>
                <w:color w:val="auto"/>
                <w:sz w:val="28"/>
                <w:szCs w:val="28"/>
              </w:rPr>
            </w:pPr>
            <w:r>
              <w:rPr>
                <w:rFonts w:hint="default"/>
                <w:color w:val="auto"/>
                <w:sz w:val="28"/>
                <w:szCs w:val="28"/>
                <w:lang w:val="en-US" w:eastAsia="zh-CN"/>
              </w:rPr>
              <w:t>1</w:t>
            </w:r>
            <w:r>
              <w:rPr>
                <w:rFonts w:hint="eastAsia"/>
                <w:color w:val="auto"/>
                <w:sz w:val="28"/>
                <w:szCs w:val="28"/>
                <w:lang w:val="en-US" w:eastAsia="zh-CN"/>
              </w:rPr>
              <w:t>.</w:t>
            </w:r>
            <w:r>
              <w:rPr>
                <w:rFonts w:hint="default"/>
                <w:color w:val="auto"/>
                <w:sz w:val="28"/>
                <w:szCs w:val="28"/>
              </w:rPr>
              <w:t>施工期工艺流程</w:t>
            </w:r>
          </w:p>
          <w:p w14:paraId="7E3156CB">
            <w:pPr>
              <w:spacing w:line="360" w:lineRule="auto"/>
              <w:ind w:firstLine="480" w:firstLineChars="200"/>
              <w:rPr>
                <w:rFonts w:hint="eastAsia" w:ascii="Times New Roman" w:hAnsi="Times New Roman"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利用现有公共用房，主要进行室内装修改造和设备安装、调试后即可投入生产。由于施工期在室内作业，且施工期较短，施工期影响可接受。</w:t>
            </w:r>
          </w:p>
          <w:p w14:paraId="409568F2">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default"/>
                <w:color w:val="auto"/>
                <w:sz w:val="28"/>
                <w:szCs w:val="28"/>
              </w:rPr>
            </w:pPr>
            <w:r>
              <w:rPr>
                <w:rFonts w:hint="eastAsia"/>
                <w:color w:val="auto"/>
                <w:sz w:val="28"/>
                <w:szCs w:val="28"/>
                <w:lang w:val="en-US" w:eastAsia="zh-CN"/>
              </w:rPr>
              <w:t>2.</w:t>
            </w:r>
            <w:r>
              <w:rPr>
                <w:rFonts w:hint="default"/>
                <w:color w:val="auto"/>
                <w:sz w:val="28"/>
                <w:szCs w:val="28"/>
                <w:lang w:val="en-US" w:eastAsia="zh-CN"/>
              </w:rPr>
              <w:t>营运</w:t>
            </w:r>
            <w:r>
              <w:rPr>
                <w:rFonts w:hint="default"/>
                <w:color w:val="auto"/>
                <w:sz w:val="28"/>
                <w:szCs w:val="28"/>
              </w:rPr>
              <w:t>期工</w:t>
            </w:r>
            <w:r>
              <w:rPr>
                <w:rFonts w:hint="default"/>
                <w:color w:val="auto"/>
                <w:sz w:val="28"/>
                <w:szCs w:val="28"/>
                <w:lang w:eastAsia="zh-CN"/>
              </w:rPr>
              <w:t>艺</w:t>
            </w:r>
            <w:r>
              <w:rPr>
                <w:rFonts w:hint="default"/>
                <w:color w:val="auto"/>
                <w:sz w:val="28"/>
                <w:szCs w:val="28"/>
              </w:rPr>
              <w:t>流程</w:t>
            </w:r>
          </w:p>
          <w:p w14:paraId="5D5BFB74">
            <w:pPr>
              <w:spacing w:line="360" w:lineRule="auto"/>
              <w:rPr>
                <w:rFonts w:ascii="Times New Roman" w:hAnsi="Times New Roman" w:cs="Times New Roman"/>
                <w:b/>
                <w:bCs/>
                <w:color w:val="auto"/>
                <w:sz w:val="24"/>
              </w:rPr>
            </w:pPr>
            <w:r>
              <w:rPr>
                <w:rFonts w:hint="eastAsia" w:ascii="Times New Roman" w:hAnsi="Times New Roman" w:cs="Times New Roman"/>
                <w:b/>
                <w:bCs/>
                <w:color w:val="auto"/>
                <w:sz w:val="24"/>
                <w:lang w:eastAsia="zh-CN"/>
              </w:rPr>
              <w:t>（</w:t>
            </w:r>
            <w:r>
              <w:rPr>
                <w:rFonts w:ascii="Times New Roman" w:hAnsi="Times New Roman" w:cs="Times New Roman"/>
                <w:b/>
                <w:bCs/>
                <w:color w:val="auto"/>
                <w:sz w:val="24"/>
              </w:rPr>
              <w:t>1</w:t>
            </w:r>
            <w:r>
              <w:rPr>
                <w:rFonts w:hint="eastAsia" w:ascii="Times New Roman" w:hAnsi="Times New Roman" w:cs="Times New Roman"/>
                <w:b/>
                <w:bCs/>
                <w:color w:val="auto"/>
                <w:sz w:val="24"/>
                <w:lang w:eastAsia="zh-CN"/>
              </w:rPr>
              <w:t>）</w:t>
            </w:r>
            <w:r>
              <w:rPr>
                <w:rFonts w:ascii="Times New Roman" w:hAnsi="Times New Roman" w:cs="Times New Roman"/>
                <w:b/>
                <w:bCs/>
                <w:color w:val="auto"/>
                <w:sz w:val="24"/>
              </w:rPr>
              <w:t>工艺流程和产排污环节</w:t>
            </w:r>
          </w:p>
          <w:p w14:paraId="4D2C132D">
            <w:pPr>
              <w:spacing w:line="360" w:lineRule="auto"/>
              <w:ind w:firstLine="480" w:firstLineChars="200"/>
              <w:jc w:val="center"/>
              <w:rPr>
                <w:rFonts w:hint="eastAsia" w:ascii="Times New Roman" w:hAnsi="Times New Roman" w:cs="Times New Roman"/>
                <w:color w:val="auto"/>
                <w:kern w:val="0"/>
                <w:sz w:val="24"/>
                <w:szCs w:val="24"/>
                <w:lang w:val="en-US" w:eastAsia="zh-CN"/>
              </w:rPr>
            </w:pPr>
            <w:r>
              <w:rPr>
                <w:sz w:val="24"/>
              </w:rPr>
              <w:drawing>
                <wp:inline distT="0" distB="0" distL="114300" distR="114300">
                  <wp:extent cx="4981575" cy="2914650"/>
                  <wp:effectExtent l="0" t="0" r="9525" b="0"/>
                  <wp:docPr id="48" name="图片 48" descr="175213913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52139138981"/>
                          <pic:cNvPicPr>
                            <a:picLocks noChangeAspect="1"/>
                          </pic:cNvPicPr>
                        </pic:nvPicPr>
                        <pic:blipFill>
                          <a:blip r:embed="rId10"/>
                          <a:stretch>
                            <a:fillRect/>
                          </a:stretch>
                        </pic:blipFill>
                        <pic:spPr>
                          <a:xfrm>
                            <a:off x="0" y="0"/>
                            <a:ext cx="4981575" cy="2914650"/>
                          </a:xfrm>
                          <a:prstGeom prst="rect">
                            <a:avLst/>
                          </a:prstGeom>
                        </pic:spPr>
                      </pic:pic>
                    </a:graphicData>
                  </a:graphic>
                </wp:inline>
              </w:drawing>
            </w:r>
          </w:p>
          <w:p w14:paraId="3997ED55">
            <w:pPr>
              <w:keepNext w:val="0"/>
              <w:keepLines w:val="0"/>
              <w:widowControl/>
              <w:suppressLineNumbers w:val="0"/>
              <w:jc w:val="center"/>
            </w:pPr>
            <w:r>
              <w:rPr>
                <w:rFonts w:hint="eastAsia" w:ascii="宋体" w:hAnsi="宋体" w:eastAsia="宋体" w:cs="宋体"/>
                <w:b/>
                <w:bCs/>
                <w:color w:val="000000"/>
                <w:kern w:val="0"/>
                <w:sz w:val="20"/>
                <w:szCs w:val="20"/>
                <w:lang w:val="en-US" w:eastAsia="zh-CN" w:bidi="ar"/>
              </w:rPr>
              <w:t>图2-1新产品配方开发及性能评价流程图及产污节点</w:t>
            </w:r>
          </w:p>
          <w:p w14:paraId="57052291">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 xml:space="preserve">主要工艺流程为： </w:t>
            </w:r>
          </w:p>
          <w:p w14:paraId="77376203">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微软雅黑" w:hAnsi="微软雅黑" w:eastAsia="微软雅黑" w:cs="微软雅黑"/>
                <w:color w:val="auto"/>
                <w:kern w:val="0"/>
                <w:sz w:val="24"/>
                <w:szCs w:val="24"/>
                <w:lang w:val="en-US" w:eastAsia="zh-CN"/>
              </w:rPr>
              <w:t>①</w:t>
            </w:r>
            <w:r>
              <w:rPr>
                <w:rFonts w:hint="eastAsia" w:ascii="Times New Roman" w:hAnsi="Times New Roman" w:cs="Times New Roman"/>
                <w:color w:val="auto"/>
                <w:kern w:val="0"/>
                <w:sz w:val="24"/>
                <w:szCs w:val="24"/>
                <w:lang w:val="en-US" w:eastAsia="zh-CN"/>
              </w:rPr>
              <w:t xml:space="preserve">器材准备：准备实验所需要的原辅料、砂磨机、烧杯、玻璃棒、电子天平、小螺杆机； </w:t>
            </w:r>
          </w:p>
          <w:p w14:paraId="22BDC575">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微软雅黑" w:hAnsi="微软雅黑" w:eastAsia="微软雅黑" w:cs="微软雅黑"/>
                <w:color w:val="auto"/>
                <w:kern w:val="0"/>
                <w:sz w:val="24"/>
                <w:szCs w:val="24"/>
                <w:lang w:val="en-US" w:eastAsia="zh-CN"/>
              </w:rPr>
              <w:t>②</w:t>
            </w:r>
            <w:r>
              <w:rPr>
                <w:rFonts w:hint="eastAsia" w:ascii="Times New Roman" w:hAnsi="Times New Roman" w:cs="Times New Roman"/>
                <w:color w:val="auto"/>
                <w:kern w:val="0"/>
                <w:sz w:val="24"/>
                <w:szCs w:val="24"/>
                <w:lang w:val="en-US" w:eastAsia="zh-CN"/>
              </w:rPr>
              <w:t xml:space="preserve">原辅料根据比例投入烧杯中：根据实验数据中的原辅料配比，在烧杯加入微胶囊红磷阻燃剂原辅料、纳米阻燃剂原辅料、阻燃母粒原辅材料、纯水。投加试剂产生挥发性有机废气，产生废化学品试剂瓶； </w:t>
            </w:r>
          </w:p>
          <w:p w14:paraId="551E30FF">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微软雅黑" w:hAnsi="微软雅黑" w:eastAsia="微软雅黑" w:cs="微软雅黑"/>
                <w:color w:val="auto"/>
                <w:kern w:val="0"/>
                <w:sz w:val="24"/>
                <w:szCs w:val="24"/>
                <w:lang w:val="en-US" w:eastAsia="zh-CN"/>
              </w:rPr>
              <w:t>③</w:t>
            </w:r>
            <w:r>
              <w:rPr>
                <w:rFonts w:hint="eastAsia" w:ascii="Times New Roman" w:hAnsi="Times New Roman" w:cs="Times New Roman"/>
                <w:color w:val="auto"/>
                <w:kern w:val="0"/>
                <w:sz w:val="24"/>
                <w:szCs w:val="24"/>
                <w:lang w:val="en-US" w:eastAsia="zh-CN"/>
              </w:rPr>
              <w:t xml:space="preserve">包覆或挤出：将烧杯中的试剂倒入砂磨机，启动砂磨机进行研磨搅拌（密闭研磨），然后在封闭空间或通风橱内进行包覆或挤出； </w:t>
            </w:r>
          </w:p>
          <w:p w14:paraId="1BE4CE4B">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微软雅黑" w:hAnsi="微软雅黑" w:eastAsia="微软雅黑" w:cs="微软雅黑"/>
                <w:color w:val="auto"/>
                <w:kern w:val="0"/>
                <w:sz w:val="24"/>
                <w:szCs w:val="24"/>
                <w:lang w:val="en-US" w:eastAsia="zh-CN"/>
              </w:rPr>
              <w:t>④</w:t>
            </w:r>
            <w:r>
              <w:rPr>
                <w:rFonts w:hint="eastAsia" w:ascii="Times New Roman" w:hAnsi="Times New Roman" w:cs="Times New Roman"/>
                <w:color w:val="auto"/>
                <w:kern w:val="0"/>
                <w:sz w:val="24"/>
                <w:szCs w:val="24"/>
                <w:lang w:val="en-US" w:eastAsia="zh-CN"/>
              </w:rPr>
              <w:t xml:space="preserve">样品检测：对混合均匀的样品进行粒度、磷含量、阻燃测试等检测，检测合格样品寄出给客户验证，不合格样品则为实验废液，作为危废委托有资质的单位处理。 </w:t>
            </w:r>
          </w:p>
          <w:p w14:paraId="044B82A2">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微软雅黑" w:hAnsi="微软雅黑" w:eastAsia="微软雅黑" w:cs="微软雅黑"/>
                <w:color w:val="auto"/>
                <w:kern w:val="0"/>
                <w:sz w:val="24"/>
                <w:szCs w:val="24"/>
                <w:lang w:val="en-US" w:eastAsia="zh-CN"/>
              </w:rPr>
              <w:t>⑤</w:t>
            </w:r>
            <w:r>
              <w:rPr>
                <w:rFonts w:hint="eastAsia" w:ascii="Times New Roman" w:hAnsi="Times New Roman" w:cs="Times New Roman"/>
                <w:color w:val="auto"/>
                <w:kern w:val="0"/>
                <w:sz w:val="24"/>
                <w:szCs w:val="24"/>
                <w:lang w:val="en-US" w:eastAsia="zh-CN"/>
              </w:rPr>
              <w:t>整理实验数据：整理该批次研发数据，获取研发结果。</w:t>
            </w:r>
          </w:p>
          <w:p w14:paraId="23173DB0">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粒径的检测：用激光粒度分布仪检测粒径，检测过程不会产生废水、废气。</w:t>
            </w:r>
          </w:p>
          <w:p w14:paraId="43660329">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磷含量的检测：按照赤磷国标的方法检测，用到溴、硝酸、盐酸等试剂，在检测过程中会产生一些酸性气体，还有一些废液；</w:t>
            </w:r>
          </w:p>
          <w:p w14:paraId="500FD3C1">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阻燃测试：用测试燃烧箱燃烧检测样品会释放PH</w:t>
            </w:r>
            <w:r>
              <w:rPr>
                <w:rFonts w:hint="eastAsia" w:ascii="Times New Roman" w:hAnsi="Times New Roman" w:cs="Times New Roman"/>
                <w:color w:val="auto"/>
                <w:kern w:val="0"/>
                <w:sz w:val="24"/>
                <w:szCs w:val="24"/>
                <w:vertAlign w:val="subscript"/>
                <w:lang w:val="en-US" w:eastAsia="zh-CN"/>
              </w:rPr>
              <w:t>3</w:t>
            </w:r>
            <w:r>
              <w:rPr>
                <w:rFonts w:hint="eastAsia" w:ascii="Times New Roman" w:hAnsi="Times New Roman" w:cs="Times New Roman"/>
                <w:color w:val="auto"/>
                <w:kern w:val="0"/>
                <w:sz w:val="24"/>
                <w:szCs w:val="24"/>
                <w:lang w:val="en-US" w:eastAsia="zh-CN"/>
              </w:rPr>
              <w:t>、P</w:t>
            </w:r>
            <w:r>
              <w:rPr>
                <w:rFonts w:hint="eastAsia" w:ascii="Times New Roman" w:hAnsi="Times New Roman" w:cs="Times New Roman"/>
                <w:color w:val="auto"/>
                <w:kern w:val="0"/>
                <w:sz w:val="24"/>
                <w:szCs w:val="24"/>
                <w:vertAlign w:val="subscript"/>
                <w:lang w:val="en-US" w:eastAsia="zh-CN"/>
              </w:rPr>
              <w:t>2</w:t>
            </w:r>
            <w:r>
              <w:rPr>
                <w:rFonts w:hint="eastAsia" w:ascii="Times New Roman" w:hAnsi="Times New Roman" w:cs="Times New Roman"/>
                <w:color w:val="auto"/>
                <w:kern w:val="0"/>
                <w:sz w:val="24"/>
                <w:szCs w:val="24"/>
                <w:lang w:val="en-US" w:eastAsia="zh-CN"/>
              </w:rPr>
              <w:t>O</w:t>
            </w:r>
            <w:r>
              <w:rPr>
                <w:rFonts w:hint="eastAsia" w:ascii="Times New Roman" w:hAnsi="Times New Roman" w:cs="Times New Roman"/>
                <w:color w:val="auto"/>
                <w:kern w:val="0"/>
                <w:sz w:val="24"/>
                <w:szCs w:val="24"/>
                <w:vertAlign w:val="subscript"/>
                <w:lang w:val="en-US" w:eastAsia="zh-CN"/>
              </w:rPr>
              <w:t>5</w:t>
            </w:r>
            <w:r>
              <w:rPr>
                <w:rFonts w:hint="eastAsia" w:ascii="Times New Roman" w:hAnsi="Times New Roman" w:cs="Times New Roman"/>
                <w:color w:val="auto"/>
                <w:kern w:val="0"/>
                <w:sz w:val="24"/>
                <w:szCs w:val="24"/>
                <w:lang w:val="en-US" w:eastAsia="zh-CN"/>
              </w:rPr>
              <w:t>等有害物质。</w:t>
            </w:r>
          </w:p>
          <w:p w14:paraId="23824A3E">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做包覆红磷实验，会产生废水，废水集中在一起，放置到废水收集桶，定期送到厂区污水站处理。</w:t>
            </w:r>
          </w:p>
          <w:p w14:paraId="2969B925">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小螺杆机做挤出实验是在封闭微负压区域进行，会释放VOCs气体。</w:t>
            </w:r>
          </w:p>
          <w:p w14:paraId="298CEFA6">
            <w:pPr>
              <w:spacing w:line="360" w:lineRule="auto"/>
              <w:rPr>
                <w:rFonts w:hint="default"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t>（2）三聚氰胺氰尿酸盐（</w:t>
            </w:r>
            <w:r>
              <w:rPr>
                <w:rFonts w:hint="default" w:ascii="Times New Roman" w:hAnsi="Times New Roman" w:cs="Times New Roman"/>
                <w:b/>
                <w:bCs/>
                <w:color w:val="auto"/>
                <w:kern w:val="0"/>
                <w:sz w:val="24"/>
                <w:szCs w:val="24"/>
                <w:lang w:val="en-US" w:eastAsia="zh-CN"/>
              </w:rPr>
              <w:t>MCA</w:t>
            </w:r>
            <w:r>
              <w:rPr>
                <w:rFonts w:hint="eastAsia" w:ascii="Times New Roman" w:hAnsi="Times New Roman" w:cs="Times New Roman"/>
                <w:b/>
                <w:bCs/>
                <w:color w:val="auto"/>
                <w:kern w:val="0"/>
                <w:sz w:val="24"/>
                <w:szCs w:val="24"/>
                <w:lang w:val="en-US" w:eastAsia="zh-CN"/>
              </w:rPr>
              <w:t>）小试工艺图</w:t>
            </w:r>
          </w:p>
          <w:p w14:paraId="23F176A4">
            <w:pPr>
              <w:pStyle w:val="2"/>
              <w:rPr>
                <w:rFonts w:hint="default"/>
                <w:lang w:val="en-US"/>
              </w:rPr>
            </w:pPr>
            <w:r>
              <w:rPr>
                <w:rFonts w:hint="default"/>
                <w:lang w:val="en-US"/>
              </w:rPr>
              <w:drawing>
                <wp:anchor distT="0" distB="0" distL="114300" distR="114300" simplePos="0" relativeHeight="251664384" behindDoc="0" locked="0" layoutInCell="1" allowOverlap="1">
                  <wp:simplePos x="0" y="0"/>
                  <wp:positionH relativeFrom="column">
                    <wp:posOffset>991870</wp:posOffset>
                  </wp:positionH>
                  <wp:positionV relativeFrom="paragraph">
                    <wp:posOffset>68580</wp:posOffset>
                  </wp:positionV>
                  <wp:extent cx="3922395" cy="4130675"/>
                  <wp:effectExtent l="0" t="0" r="1905" b="3175"/>
                  <wp:wrapNone/>
                  <wp:docPr id="49" name="图片 49" descr="175214003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52140034558"/>
                          <pic:cNvPicPr>
                            <a:picLocks noChangeAspect="1"/>
                          </pic:cNvPicPr>
                        </pic:nvPicPr>
                        <pic:blipFill>
                          <a:blip r:embed="rId11"/>
                          <a:stretch>
                            <a:fillRect/>
                          </a:stretch>
                        </pic:blipFill>
                        <pic:spPr>
                          <a:xfrm>
                            <a:off x="0" y="0"/>
                            <a:ext cx="3922395" cy="4130675"/>
                          </a:xfrm>
                          <a:prstGeom prst="rect">
                            <a:avLst/>
                          </a:prstGeom>
                        </pic:spPr>
                      </pic:pic>
                    </a:graphicData>
                  </a:graphic>
                </wp:anchor>
              </w:drawing>
            </w:r>
          </w:p>
          <w:p w14:paraId="0B6F60B3">
            <w:pPr>
              <w:pStyle w:val="2"/>
              <w:rPr>
                <w:rFonts w:hint="eastAsia"/>
                <w:lang w:val="en-US" w:eastAsia="zh-CN"/>
              </w:rPr>
            </w:pPr>
          </w:p>
          <w:p w14:paraId="36197F91">
            <w:pPr>
              <w:pStyle w:val="2"/>
              <w:rPr>
                <w:rFonts w:hint="eastAsia"/>
                <w:lang w:val="en-US" w:eastAsia="zh-CN"/>
              </w:rPr>
            </w:pPr>
          </w:p>
          <w:p w14:paraId="3E0C37BD">
            <w:pPr>
              <w:pStyle w:val="2"/>
              <w:rPr>
                <w:rFonts w:hint="eastAsia"/>
                <w:lang w:val="en-US" w:eastAsia="zh-CN"/>
              </w:rPr>
            </w:pPr>
          </w:p>
          <w:p w14:paraId="49DB1C61">
            <w:pPr>
              <w:pStyle w:val="2"/>
              <w:rPr>
                <w:rFonts w:hint="eastAsia"/>
                <w:lang w:val="en-US" w:eastAsia="zh-CN"/>
              </w:rPr>
            </w:pPr>
          </w:p>
          <w:p w14:paraId="669FC906">
            <w:pPr>
              <w:pStyle w:val="2"/>
              <w:rPr>
                <w:rFonts w:hint="eastAsia"/>
                <w:lang w:val="en-US" w:eastAsia="zh-CN"/>
              </w:rPr>
            </w:pPr>
          </w:p>
          <w:p w14:paraId="421F9DFE">
            <w:pPr>
              <w:pStyle w:val="2"/>
              <w:rPr>
                <w:rFonts w:hint="eastAsia"/>
                <w:lang w:val="en-US" w:eastAsia="zh-CN"/>
              </w:rPr>
            </w:pPr>
          </w:p>
          <w:p w14:paraId="4115FEA3">
            <w:pPr>
              <w:pStyle w:val="2"/>
              <w:rPr>
                <w:rFonts w:hint="eastAsia"/>
                <w:lang w:val="en-US" w:eastAsia="zh-CN"/>
              </w:rPr>
            </w:pPr>
          </w:p>
          <w:p w14:paraId="3A126A89">
            <w:pPr>
              <w:pStyle w:val="2"/>
              <w:rPr>
                <w:rFonts w:hint="eastAsia"/>
                <w:lang w:val="en-US" w:eastAsia="zh-CN"/>
              </w:rPr>
            </w:pPr>
          </w:p>
          <w:p w14:paraId="359A6E5B">
            <w:pPr>
              <w:pStyle w:val="2"/>
              <w:rPr>
                <w:rFonts w:hint="eastAsia"/>
                <w:lang w:val="en-US" w:eastAsia="zh-CN"/>
              </w:rPr>
            </w:pPr>
          </w:p>
          <w:p w14:paraId="185D6EF6">
            <w:pPr>
              <w:pStyle w:val="2"/>
              <w:rPr>
                <w:rFonts w:hint="eastAsia"/>
                <w:lang w:val="en-US" w:eastAsia="zh-CN"/>
              </w:rPr>
            </w:pPr>
          </w:p>
          <w:p w14:paraId="6B20A08E">
            <w:pPr>
              <w:pStyle w:val="2"/>
              <w:rPr>
                <w:rFonts w:hint="eastAsia"/>
                <w:lang w:val="en-US" w:eastAsia="zh-CN"/>
              </w:rPr>
            </w:pPr>
          </w:p>
          <w:p w14:paraId="6A6A682A">
            <w:pPr>
              <w:pStyle w:val="2"/>
              <w:rPr>
                <w:rFonts w:hint="eastAsia"/>
                <w:lang w:val="en-US" w:eastAsia="zh-CN"/>
              </w:rPr>
            </w:pPr>
          </w:p>
          <w:p w14:paraId="7FFBA0E2">
            <w:pPr>
              <w:pStyle w:val="2"/>
              <w:rPr>
                <w:rFonts w:hint="eastAsia"/>
                <w:lang w:val="en-US" w:eastAsia="zh-CN"/>
              </w:rPr>
            </w:pPr>
          </w:p>
          <w:p w14:paraId="7CD7BCC7">
            <w:pPr>
              <w:keepNext w:val="0"/>
              <w:keepLines w:val="0"/>
              <w:widowControl/>
              <w:suppressLineNumbers w:val="0"/>
              <w:jc w:val="center"/>
              <w:rPr>
                <w:rFonts w:hint="eastAsia" w:ascii="宋体" w:hAnsi="宋体" w:eastAsia="宋体" w:cs="宋体"/>
                <w:b/>
                <w:bCs/>
                <w:color w:val="000000"/>
                <w:kern w:val="0"/>
                <w:sz w:val="20"/>
                <w:szCs w:val="20"/>
                <w:lang w:val="en-US" w:eastAsia="zh-CN" w:bidi="ar"/>
              </w:rPr>
            </w:pPr>
            <w:r>
              <w:rPr>
                <w:rFonts w:hint="eastAsia" w:ascii="宋体" w:hAnsi="宋体" w:eastAsia="宋体" w:cs="宋体"/>
                <w:b/>
                <w:bCs/>
                <w:color w:val="000000"/>
                <w:kern w:val="0"/>
                <w:sz w:val="20"/>
                <w:szCs w:val="20"/>
                <w:lang w:val="en-US" w:eastAsia="zh-CN" w:bidi="ar"/>
              </w:rPr>
              <w:t>图2-2三聚氰胺氰尿酸盐（</w:t>
            </w:r>
            <w:r>
              <w:rPr>
                <w:rFonts w:hint="default" w:ascii="宋体" w:hAnsi="宋体" w:eastAsia="宋体" w:cs="宋体"/>
                <w:b/>
                <w:bCs/>
                <w:color w:val="000000"/>
                <w:kern w:val="0"/>
                <w:sz w:val="20"/>
                <w:szCs w:val="20"/>
                <w:lang w:val="en-US" w:eastAsia="zh-CN" w:bidi="ar"/>
              </w:rPr>
              <w:t>MCA</w:t>
            </w:r>
            <w:r>
              <w:rPr>
                <w:rFonts w:hint="eastAsia" w:ascii="宋体" w:hAnsi="宋体" w:eastAsia="宋体" w:cs="宋体"/>
                <w:b/>
                <w:bCs/>
                <w:color w:val="000000"/>
                <w:kern w:val="0"/>
                <w:sz w:val="20"/>
                <w:szCs w:val="20"/>
                <w:lang w:val="en-US" w:eastAsia="zh-CN" w:bidi="ar"/>
              </w:rPr>
              <w:t>）小试工艺流程及产污节点图</w:t>
            </w:r>
          </w:p>
          <w:p w14:paraId="23093859">
            <w:pPr>
              <w:spacing w:line="360" w:lineRule="auto"/>
              <w:rPr>
                <w:rFonts w:hint="eastAsia" w:ascii="Times New Roman" w:hAnsi="Times New Roman" w:cs="Times New Roman"/>
                <w:b/>
                <w:bCs/>
                <w:color w:val="auto"/>
                <w:kern w:val="0"/>
                <w:sz w:val="24"/>
                <w:szCs w:val="24"/>
                <w:lang w:val="en-US" w:eastAsia="zh-CN"/>
              </w:rPr>
            </w:pPr>
          </w:p>
          <w:p w14:paraId="23FCB85D">
            <w:pPr>
              <w:spacing w:line="360" w:lineRule="auto"/>
              <w:rPr>
                <w:rFonts w:hint="eastAsia"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t>（3）纳米阻燃剂小试工艺图</w:t>
            </w:r>
          </w:p>
          <w:p w14:paraId="1BCAC089">
            <w:pPr>
              <w:pStyle w:val="2"/>
              <w:rPr>
                <w:rFonts w:hint="eastAsia"/>
                <w:lang w:val="en-US" w:eastAsia="zh-CN"/>
              </w:rPr>
            </w:pPr>
          </w:p>
          <w:p w14:paraId="0409668B">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5702A3FD">
            <w:pPr>
              <w:rPr>
                <w:rFonts w:hint="eastAsia"/>
                <w:color w:val="auto"/>
                <w:sz w:val="28"/>
                <w:szCs w:val="28"/>
                <w:lang w:val="en-US" w:eastAsia="zh-CN"/>
              </w:rPr>
            </w:pPr>
          </w:p>
          <w:p w14:paraId="41D0E042">
            <w:pPr>
              <w:pStyle w:val="2"/>
              <w:rPr>
                <w:rFonts w:hint="eastAsia"/>
                <w:lang w:val="en-US" w:eastAsia="zh-CN"/>
              </w:rPr>
            </w:pPr>
          </w:p>
          <w:p w14:paraId="32EDBCCE">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r>
              <w:rPr>
                <w:rFonts w:hint="eastAsia"/>
                <w:lang w:val="en-US" w:eastAsia="zh-CN"/>
              </w:rPr>
              <w:drawing>
                <wp:anchor distT="0" distB="0" distL="114300" distR="114300" simplePos="0" relativeHeight="251665408" behindDoc="0" locked="0" layoutInCell="1" allowOverlap="1">
                  <wp:simplePos x="0" y="0"/>
                  <wp:positionH relativeFrom="column">
                    <wp:posOffset>1323340</wp:posOffset>
                  </wp:positionH>
                  <wp:positionV relativeFrom="paragraph">
                    <wp:posOffset>91440</wp:posOffset>
                  </wp:positionV>
                  <wp:extent cx="3273425" cy="4501515"/>
                  <wp:effectExtent l="0" t="0" r="3175" b="13335"/>
                  <wp:wrapNone/>
                  <wp:docPr id="50" name="图片 50" descr="1752140245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752140245876"/>
                          <pic:cNvPicPr>
                            <a:picLocks noChangeAspect="1"/>
                          </pic:cNvPicPr>
                        </pic:nvPicPr>
                        <pic:blipFill>
                          <a:blip r:embed="rId12"/>
                          <a:stretch>
                            <a:fillRect/>
                          </a:stretch>
                        </pic:blipFill>
                        <pic:spPr>
                          <a:xfrm>
                            <a:off x="0" y="0"/>
                            <a:ext cx="3273425" cy="4501515"/>
                          </a:xfrm>
                          <a:prstGeom prst="rect">
                            <a:avLst/>
                          </a:prstGeom>
                        </pic:spPr>
                      </pic:pic>
                    </a:graphicData>
                  </a:graphic>
                </wp:anchor>
              </w:drawing>
            </w:r>
          </w:p>
          <w:p w14:paraId="27DAA51B">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65824BC2">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5A147363">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2BFFE18B">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434FEBF3">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7AC5D7D2">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5105FE10">
            <w:pPr>
              <w:rPr>
                <w:rFonts w:hint="eastAsia"/>
                <w:color w:val="auto"/>
                <w:sz w:val="28"/>
                <w:szCs w:val="28"/>
                <w:lang w:val="en-US" w:eastAsia="zh-CN"/>
              </w:rPr>
            </w:pPr>
          </w:p>
          <w:p w14:paraId="50E145D1">
            <w:pPr>
              <w:pStyle w:val="2"/>
              <w:rPr>
                <w:rFonts w:hint="eastAsia"/>
                <w:color w:val="auto"/>
                <w:sz w:val="28"/>
                <w:szCs w:val="28"/>
                <w:lang w:val="en-US" w:eastAsia="zh-CN"/>
              </w:rPr>
            </w:pPr>
          </w:p>
          <w:p w14:paraId="5683E2AD">
            <w:pPr>
              <w:pStyle w:val="2"/>
              <w:rPr>
                <w:rFonts w:hint="eastAsia"/>
                <w:color w:val="auto"/>
                <w:sz w:val="28"/>
                <w:szCs w:val="28"/>
                <w:lang w:val="en-US" w:eastAsia="zh-CN"/>
              </w:rPr>
            </w:pPr>
          </w:p>
          <w:p w14:paraId="04520EF4">
            <w:pPr>
              <w:pStyle w:val="2"/>
              <w:rPr>
                <w:rFonts w:hint="eastAsia"/>
                <w:color w:val="auto"/>
                <w:sz w:val="28"/>
                <w:szCs w:val="28"/>
                <w:lang w:val="en-US" w:eastAsia="zh-CN"/>
              </w:rPr>
            </w:pPr>
          </w:p>
          <w:p w14:paraId="1C2CC448">
            <w:pPr>
              <w:pStyle w:val="2"/>
              <w:rPr>
                <w:rFonts w:hint="eastAsia"/>
                <w:color w:val="auto"/>
                <w:sz w:val="28"/>
                <w:szCs w:val="28"/>
                <w:lang w:val="en-US" w:eastAsia="zh-CN"/>
              </w:rPr>
            </w:pPr>
          </w:p>
          <w:p w14:paraId="302F1148">
            <w:pPr>
              <w:pStyle w:val="2"/>
              <w:rPr>
                <w:rFonts w:hint="eastAsia"/>
                <w:color w:val="auto"/>
                <w:sz w:val="28"/>
                <w:szCs w:val="28"/>
                <w:lang w:val="en-US" w:eastAsia="zh-CN"/>
              </w:rPr>
            </w:pPr>
          </w:p>
          <w:p w14:paraId="76CB1291">
            <w:pPr>
              <w:keepNext w:val="0"/>
              <w:keepLines w:val="0"/>
              <w:widowControl/>
              <w:suppressLineNumbers w:val="0"/>
              <w:jc w:val="center"/>
              <w:rPr>
                <w:rFonts w:hint="eastAsia" w:ascii="宋体" w:hAnsi="宋体" w:eastAsia="宋体" w:cs="宋体"/>
                <w:b/>
                <w:bCs/>
                <w:color w:val="000000"/>
                <w:kern w:val="0"/>
                <w:sz w:val="20"/>
                <w:szCs w:val="20"/>
                <w:lang w:val="en-US" w:eastAsia="zh-CN" w:bidi="ar"/>
              </w:rPr>
            </w:pPr>
            <w:r>
              <w:rPr>
                <w:rFonts w:hint="eastAsia" w:ascii="宋体" w:hAnsi="宋体" w:eastAsia="宋体" w:cs="宋体"/>
                <w:b/>
                <w:bCs/>
                <w:color w:val="000000"/>
                <w:kern w:val="0"/>
                <w:sz w:val="20"/>
                <w:szCs w:val="20"/>
                <w:lang w:val="en-US" w:eastAsia="zh-CN" w:bidi="ar"/>
              </w:rPr>
              <w:t>图2-3氢氧化铝纳米阻剂小试工艺流程及产污节点图</w:t>
            </w:r>
          </w:p>
          <w:p w14:paraId="276CA972">
            <w:pPr>
              <w:pStyle w:val="2"/>
              <w:rPr>
                <w:rFonts w:hint="eastAsia"/>
                <w:color w:val="auto"/>
                <w:sz w:val="28"/>
                <w:szCs w:val="28"/>
                <w:lang w:val="en-US" w:eastAsia="zh-CN"/>
              </w:rPr>
            </w:pPr>
            <w:r>
              <w:rPr>
                <w:rFonts w:hint="eastAsia"/>
                <w:color w:val="auto"/>
                <w:sz w:val="28"/>
                <w:szCs w:val="28"/>
                <w:lang w:val="en-US" w:eastAsia="zh-CN"/>
              </w:rPr>
              <w:drawing>
                <wp:anchor distT="0" distB="0" distL="114300" distR="114300" simplePos="0" relativeHeight="251666432" behindDoc="0" locked="0" layoutInCell="1" allowOverlap="1">
                  <wp:simplePos x="0" y="0"/>
                  <wp:positionH relativeFrom="column">
                    <wp:posOffset>1550670</wp:posOffset>
                  </wp:positionH>
                  <wp:positionV relativeFrom="paragraph">
                    <wp:posOffset>57150</wp:posOffset>
                  </wp:positionV>
                  <wp:extent cx="2900680" cy="3349625"/>
                  <wp:effectExtent l="0" t="0" r="13970" b="3175"/>
                  <wp:wrapNone/>
                  <wp:docPr id="51" name="图片 51" descr="175214055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752140557264"/>
                          <pic:cNvPicPr>
                            <a:picLocks noChangeAspect="1"/>
                          </pic:cNvPicPr>
                        </pic:nvPicPr>
                        <pic:blipFill>
                          <a:blip r:embed="rId13"/>
                          <a:stretch>
                            <a:fillRect/>
                          </a:stretch>
                        </pic:blipFill>
                        <pic:spPr>
                          <a:xfrm>
                            <a:off x="0" y="0"/>
                            <a:ext cx="2900680" cy="3349625"/>
                          </a:xfrm>
                          <a:prstGeom prst="rect">
                            <a:avLst/>
                          </a:prstGeom>
                        </pic:spPr>
                      </pic:pic>
                    </a:graphicData>
                  </a:graphic>
                </wp:anchor>
              </w:drawing>
            </w:r>
          </w:p>
          <w:p w14:paraId="371289D8">
            <w:pPr>
              <w:pStyle w:val="2"/>
              <w:rPr>
                <w:rFonts w:hint="eastAsia"/>
                <w:color w:val="auto"/>
                <w:sz w:val="28"/>
                <w:szCs w:val="28"/>
                <w:lang w:val="en-US" w:eastAsia="zh-CN"/>
              </w:rPr>
            </w:pPr>
          </w:p>
          <w:p w14:paraId="5D9DCE22">
            <w:pPr>
              <w:pStyle w:val="2"/>
              <w:rPr>
                <w:rFonts w:hint="eastAsia"/>
                <w:color w:val="auto"/>
                <w:sz w:val="28"/>
                <w:szCs w:val="28"/>
                <w:lang w:val="en-US" w:eastAsia="zh-CN"/>
              </w:rPr>
            </w:pPr>
          </w:p>
          <w:p w14:paraId="5854D804">
            <w:pPr>
              <w:pStyle w:val="2"/>
              <w:rPr>
                <w:rFonts w:hint="eastAsia"/>
                <w:color w:val="auto"/>
                <w:sz w:val="28"/>
                <w:szCs w:val="28"/>
                <w:lang w:val="en-US" w:eastAsia="zh-CN"/>
              </w:rPr>
            </w:pPr>
          </w:p>
          <w:p w14:paraId="65D8218E">
            <w:pPr>
              <w:pStyle w:val="2"/>
              <w:rPr>
                <w:rFonts w:hint="eastAsia"/>
                <w:color w:val="auto"/>
                <w:sz w:val="28"/>
                <w:szCs w:val="28"/>
                <w:lang w:val="en-US" w:eastAsia="zh-CN"/>
              </w:rPr>
            </w:pPr>
          </w:p>
          <w:p w14:paraId="7695BEB2">
            <w:pPr>
              <w:pStyle w:val="2"/>
              <w:rPr>
                <w:rFonts w:hint="eastAsia"/>
                <w:color w:val="auto"/>
                <w:sz w:val="28"/>
                <w:szCs w:val="28"/>
                <w:lang w:val="en-US" w:eastAsia="zh-CN"/>
              </w:rPr>
            </w:pPr>
          </w:p>
          <w:p w14:paraId="2EBECE5D">
            <w:pPr>
              <w:pStyle w:val="2"/>
              <w:rPr>
                <w:rFonts w:hint="eastAsia"/>
                <w:color w:val="auto"/>
                <w:sz w:val="28"/>
                <w:szCs w:val="28"/>
                <w:lang w:val="en-US" w:eastAsia="zh-CN"/>
              </w:rPr>
            </w:pPr>
          </w:p>
          <w:p w14:paraId="11C3EDAB">
            <w:pPr>
              <w:pStyle w:val="2"/>
              <w:rPr>
                <w:rFonts w:hint="eastAsia"/>
                <w:color w:val="auto"/>
                <w:sz w:val="28"/>
                <w:szCs w:val="28"/>
                <w:lang w:val="en-US" w:eastAsia="zh-CN"/>
              </w:rPr>
            </w:pPr>
          </w:p>
          <w:p w14:paraId="23F4D1F9">
            <w:pPr>
              <w:pStyle w:val="2"/>
              <w:rPr>
                <w:rFonts w:hint="eastAsia"/>
                <w:color w:val="auto"/>
                <w:sz w:val="28"/>
                <w:szCs w:val="28"/>
                <w:lang w:val="en-US" w:eastAsia="zh-CN"/>
              </w:rPr>
            </w:pPr>
          </w:p>
          <w:p w14:paraId="6B115258">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01289251">
            <w:pPr>
              <w:rPr>
                <w:rFonts w:hint="eastAsia"/>
                <w:lang w:val="en-US" w:eastAsia="zh-CN"/>
              </w:rPr>
            </w:pPr>
          </w:p>
          <w:p w14:paraId="6DBD17B4">
            <w:pPr>
              <w:keepNext w:val="0"/>
              <w:keepLines w:val="0"/>
              <w:widowControl/>
              <w:suppressLineNumbers w:val="0"/>
              <w:jc w:val="center"/>
            </w:pPr>
            <w:r>
              <w:rPr>
                <w:rFonts w:hint="eastAsia" w:ascii="宋体" w:hAnsi="宋体" w:eastAsia="宋体" w:cs="宋体"/>
                <w:b/>
                <w:bCs/>
                <w:color w:val="000000"/>
                <w:kern w:val="0"/>
                <w:sz w:val="20"/>
                <w:szCs w:val="20"/>
                <w:lang w:val="en-US" w:eastAsia="zh-CN" w:bidi="ar"/>
              </w:rPr>
              <w:t>图2-4氢氧化镁纳米阻燃剂小试工艺流程及产污节点图</w:t>
            </w:r>
          </w:p>
          <w:p w14:paraId="779E4EC0">
            <w:pPr>
              <w:spacing w:line="360" w:lineRule="auto"/>
              <w:rPr>
                <w:rFonts w:hint="eastAsia"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drawing>
                <wp:anchor distT="0" distB="0" distL="114300" distR="114300" simplePos="0" relativeHeight="251667456" behindDoc="0" locked="0" layoutInCell="1" allowOverlap="1">
                  <wp:simplePos x="0" y="0"/>
                  <wp:positionH relativeFrom="column">
                    <wp:posOffset>1062990</wp:posOffset>
                  </wp:positionH>
                  <wp:positionV relativeFrom="paragraph">
                    <wp:posOffset>259080</wp:posOffset>
                  </wp:positionV>
                  <wp:extent cx="3914775" cy="3048000"/>
                  <wp:effectExtent l="0" t="0" r="9525" b="0"/>
                  <wp:wrapNone/>
                  <wp:docPr id="52" name="图片 52" descr="175214088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752140883811"/>
                          <pic:cNvPicPr>
                            <a:picLocks noChangeAspect="1"/>
                          </pic:cNvPicPr>
                        </pic:nvPicPr>
                        <pic:blipFill>
                          <a:blip r:embed="rId14"/>
                          <a:stretch>
                            <a:fillRect/>
                          </a:stretch>
                        </pic:blipFill>
                        <pic:spPr>
                          <a:xfrm>
                            <a:off x="0" y="0"/>
                            <a:ext cx="3914775" cy="3048000"/>
                          </a:xfrm>
                          <a:prstGeom prst="rect">
                            <a:avLst/>
                          </a:prstGeom>
                        </pic:spPr>
                      </pic:pic>
                    </a:graphicData>
                  </a:graphic>
                </wp:anchor>
              </w:drawing>
            </w:r>
            <w:r>
              <w:rPr>
                <w:rFonts w:hint="eastAsia" w:ascii="Times New Roman" w:hAnsi="Times New Roman" w:cs="Times New Roman"/>
                <w:b/>
                <w:bCs/>
                <w:color w:val="auto"/>
                <w:kern w:val="0"/>
                <w:sz w:val="24"/>
                <w:szCs w:val="24"/>
                <w:lang w:val="en-US" w:eastAsia="zh-CN"/>
              </w:rPr>
              <w:t>（4）超细微胶囊红磷小试工艺图</w:t>
            </w:r>
          </w:p>
          <w:p w14:paraId="709A024F">
            <w:pPr>
              <w:spacing w:line="360" w:lineRule="auto"/>
              <w:jc w:val="center"/>
              <w:rPr>
                <w:rFonts w:hint="eastAsia" w:ascii="Times New Roman" w:hAnsi="Times New Roman" w:cs="Times New Roman"/>
                <w:b/>
                <w:bCs/>
                <w:color w:val="auto"/>
                <w:kern w:val="0"/>
                <w:sz w:val="24"/>
                <w:szCs w:val="24"/>
                <w:lang w:val="en-US" w:eastAsia="zh-CN"/>
              </w:rPr>
            </w:pPr>
          </w:p>
          <w:p w14:paraId="1E775F5E">
            <w:pPr>
              <w:pStyle w:val="2"/>
              <w:rPr>
                <w:rFonts w:hint="eastAsia" w:ascii="Times New Roman" w:hAnsi="Times New Roman" w:cs="Times New Roman"/>
                <w:b/>
                <w:bCs/>
                <w:color w:val="auto"/>
                <w:kern w:val="0"/>
                <w:sz w:val="24"/>
                <w:szCs w:val="24"/>
                <w:lang w:val="en-US" w:eastAsia="zh-CN"/>
              </w:rPr>
            </w:pPr>
          </w:p>
          <w:p w14:paraId="05F0A1FE">
            <w:pPr>
              <w:pStyle w:val="2"/>
              <w:rPr>
                <w:rFonts w:hint="eastAsia" w:ascii="Times New Roman" w:hAnsi="Times New Roman" w:cs="Times New Roman"/>
                <w:b/>
                <w:bCs/>
                <w:color w:val="auto"/>
                <w:kern w:val="0"/>
                <w:sz w:val="24"/>
                <w:szCs w:val="24"/>
                <w:lang w:val="en-US" w:eastAsia="zh-CN"/>
              </w:rPr>
            </w:pPr>
          </w:p>
          <w:p w14:paraId="0AA57676">
            <w:pPr>
              <w:spacing w:line="360" w:lineRule="auto"/>
              <w:jc w:val="center"/>
              <w:rPr>
                <w:rFonts w:hint="eastAsia" w:ascii="Times New Roman" w:hAnsi="Times New Roman" w:cs="Times New Roman"/>
                <w:b/>
                <w:bCs/>
                <w:color w:val="auto"/>
                <w:kern w:val="0"/>
                <w:sz w:val="24"/>
                <w:szCs w:val="24"/>
                <w:lang w:val="en-US" w:eastAsia="zh-CN"/>
              </w:rPr>
            </w:pPr>
          </w:p>
          <w:p w14:paraId="4462F5A7">
            <w:pPr>
              <w:spacing w:line="360" w:lineRule="auto"/>
              <w:jc w:val="center"/>
              <w:rPr>
                <w:rFonts w:hint="eastAsia" w:ascii="Times New Roman" w:hAnsi="Times New Roman" w:cs="Times New Roman"/>
                <w:b/>
                <w:bCs/>
                <w:color w:val="auto"/>
                <w:kern w:val="0"/>
                <w:sz w:val="24"/>
                <w:szCs w:val="24"/>
                <w:lang w:val="en-US" w:eastAsia="zh-CN"/>
              </w:rPr>
            </w:pPr>
          </w:p>
          <w:p w14:paraId="58B4B65F">
            <w:pPr>
              <w:spacing w:line="360" w:lineRule="auto"/>
              <w:jc w:val="center"/>
              <w:rPr>
                <w:rFonts w:hint="eastAsia" w:ascii="Times New Roman" w:hAnsi="Times New Roman" w:cs="Times New Roman"/>
                <w:b/>
                <w:bCs/>
                <w:color w:val="auto"/>
                <w:kern w:val="0"/>
                <w:sz w:val="24"/>
                <w:szCs w:val="24"/>
                <w:lang w:val="en-US" w:eastAsia="zh-CN"/>
              </w:rPr>
            </w:pPr>
          </w:p>
          <w:p w14:paraId="36CAC918">
            <w:pPr>
              <w:spacing w:line="360" w:lineRule="auto"/>
              <w:jc w:val="center"/>
              <w:rPr>
                <w:rFonts w:hint="eastAsia" w:ascii="Times New Roman" w:hAnsi="Times New Roman" w:cs="Times New Roman"/>
                <w:b/>
                <w:bCs/>
                <w:color w:val="auto"/>
                <w:kern w:val="0"/>
                <w:sz w:val="24"/>
                <w:szCs w:val="24"/>
                <w:lang w:val="en-US" w:eastAsia="zh-CN"/>
              </w:rPr>
            </w:pPr>
          </w:p>
          <w:p w14:paraId="7A5312AE">
            <w:pPr>
              <w:spacing w:line="360" w:lineRule="auto"/>
              <w:jc w:val="center"/>
              <w:rPr>
                <w:rFonts w:hint="eastAsia" w:ascii="Times New Roman" w:hAnsi="Times New Roman" w:cs="Times New Roman"/>
                <w:b/>
                <w:bCs/>
                <w:color w:val="auto"/>
                <w:kern w:val="0"/>
                <w:sz w:val="24"/>
                <w:szCs w:val="24"/>
                <w:lang w:val="en-US" w:eastAsia="zh-CN"/>
              </w:rPr>
            </w:pPr>
          </w:p>
          <w:p w14:paraId="6B51E53F">
            <w:pPr>
              <w:spacing w:line="360" w:lineRule="auto"/>
              <w:jc w:val="center"/>
              <w:rPr>
                <w:rFonts w:hint="eastAsia" w:ascii="Times New Roman" w:hAnsi="Times New Roman" w:cs="Times New Roman"/>
                <w:b/>
                <w:bCs/>
                <w:color w:val="auto"/>
                <w:kern w:val="0"/>
                <w:sz w:val="24"/>
                <w:szCs w:val="24"/>
                <w:lang w:val="en-US" w:eastAsia="zh-CN"/>
              </w:rPr>
            </w:pPr>
          </w:p>
          <w:p w14:paraId="19CE6C11">
            <w:pPr>
              <w:spacing w:line="360" w:lineRule="auto"/>
              <w:jc w:val="center"/>
              <w:rPr>
                <w:rFonts w:hint="eastAsia" w:ascii="Times New Roman" w:hAnsi="Times New Roman" w:cs="Times New Roman"/>
                <w:b/>
                <w:bCs/>
                <w:color w:val="auto"/>
                <w:kern w:val="0"/>
                <w:sz w:val="24"/>
                <w:szCs w:val="24"/>
                <w:lang w:val="en-US" w:eastAsia="zh-CN"/>
              </w:rPr>
            </w:pPr>
          </w:p>
          <w:p w14:paraId="3A84C8EA">
            <w:pPr>
              <w:keepNext w:val="0"/>
              <w:keepLines w:val="0"/>
              <w:widowControl/>
              <w:suppressLineNumbers w:val="0"/>
              <w:jc w:val="center"/>
            </w:pPr>
            <w:r>
              <w:rPr>
                <w:rFonts w:hint="eastAsia" w:ascii="宋体" w:hAnsi="宋体" w:eastAsia="宋体" w:cs="宋体"/>
                <w:b/>
                <w:bCs/>
                <w:color w:val="000000"/>
                <w:kern w:val="0"/>
                <w:sz w:val="20"/>
                <w:szCs w:val="20"/>
                <w:lang w:val="en-US" w:eastAsia="zh-CN" w:bidi="ar"/>
              </w:rPr>
              <w:t>图2-5微胶囊红磷阻燃剂小试工艺流程及产污节点图</w:t>
            </w:r>
          </w:p>
          <w:p w14:paraId="2ADF7A75">
            <w:pPr>
              <w:pStyle w:val="2"/>
              <w:rPr>
                <w:rFonts w:hint="eastAsia"/>
                <w:lang w:val="en-US" w:eastAsia="zh-CN"/>
              </w:rPr>
            </w:pPr>
            <w:r>
              <w:rPr>
                <w:rFonts w:hint="eastAsia"/>
                <w:lang w:val="en-US" w:eastAsia="zh-CN"/>
              </w:rPr>
              <w:drawing>
                <wp:anchor distT="0" distB="0" distL="114300" distR="114300" simplePos="0" relativeHeight="251668480" behindDoc="0" locked="0" layoutInCell="1" allowOverlap="1">
                  <wp:simplePos x="0" y="0"/>
                  <wp:positionH relativeFrom="column">
                    <wp:posOffset>1477645</wp:posOffset>
                  </wp:positionH>
                  <wp:positionV relativeFrom="paragraph">
                    <wp:posOffset>88900</wp:posOffset>
                  </wp:positionV>
                  <wp:extent cx="3019425" cy="2476500"/>
                  <wp:effectExtent l="0" t="0" r="9525" b="0"/>
                  <wp:wrapNone/>
                  <wp:docPr id="54" name="图片 54" descr="175214086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752140866202"/>
                          <pic:cNvPicPr>
                            <a:picLocks noChangeAspect="1"/>
                          </pic:cNvPicPr>
                        </pic:nvPicPr>
                        <pic:blipFill>
                          <a:blip r:embed="rId15"/>
                          <a:stretch>
                            <a:fillRect/>
                          </a:stretch>
                        </pic:blipFill>
                        <pic:spPr>
                          <a:xfrm>
                            <a:off x="0" y="0"/>
                            <a:ext cx="3019425" cy="2476500"/>
                          </a:xfrm>
                          <a:prstGeom prst="rect">
                            <a:avLst/>
                          </a:prstGeom>
                        </pic:spPr>
                      </pic:pic>
                    </a:graphicData>
                  </a:graphic>
                </wp:anchor>
              </w:drawing>
            </w:r>
          </w:p>
          <w:p w14:paraId="140FBA74">
            <w:pPr>
              <w:pStyle w:val="2"/>
              <w:rPr>
                <w:rFonts w:hint="eastAsia"/>
                <w:lang w:val="en-US" w:eastAsia="zh-CN"/>
              </w:rPr>
            </w:pPr>
          </w:p>
          <w:p w14:paraId="7AC569ED">
            <w:pPr>
              <w:pStyle w:val="2"/>
              <w:jc w:val="center"/>
              <w:rPr>
                <w:rFonts w:hint="eastAsia"/>
                <w:lang w:val="en-US" w:eastAsia="zh-CN"/>
              </w:rPr>
            </w:pPr>
          </w:p>
          <w:p w14:paraId="2F1B7143">
            <w:pPr>
              <w:pStyle w:val="2"/>
              <w:rPr>
                <w:rFonts w:hint="eastAsia"/>
                <w:lang w:val="en-US" w:eastAsia="zh-CN"/>
              </w:rPr>
            </w:pPr>
          </w:p>
          <w:p w14:paraId="623090AF">
            <w:pPr>
              <w:pStyle w:val="2"/>
              <w:rPr>
                <w:rFonts w:hint="eastAsia"/>
                <w:lang w:val="en-US" w:eastAsia="zh-CN"/>
              </w:rPr>
            </w:pPr>
          </w:p>
          <w:p w14:paraId="33B223D1">
            <w:pPr>
              <w:pStyle w:val="2"/>
              <w:rPr>
                <w:rFonts w:hint="eastAsia"/>
                <w:lang w:val="en-US" w:eastAsia="zh-CN"/>
              </w:rPr>
            </w:pPr>
          </w:p>
          <w:p w14:paraId="1CA18BE5">
            <w:pPr>
              <w:pStyle w:val="2"/>
              <w:rPr>
                <w:rFonts w:hint="eastAsia"/>
                <w:lang w:val="en-US" w:eastAsia="zh-CN"/>
              </w:rPr>
            </w:pPr>
          </w:p>
          <w:p w14:paraId="0228F0A3">
            <w:pPr>
              <w:spacing w:line="360" w:lineRule="auto"/>
              <w:rPr>
                <w:rFonts w:hint="eastAsia" w:ascii="Times New Roman" w:hAnsi="Times New Roman" w:cs="Times New Roman"/>
                <w:b/>
                <w:bCs/>
                <w:color w:val="auto"/>
                <w:kern w:val="0"/>
                <w:sz w:val="24"/>
                <w:szCs w:val="24"/>
                <w:lang w:val="en-US" w:eastAsia="zh-CN"/>
              </w:rPr>
            </w:pPr>
          </w:p>
          <w:p w14:paraId="16DF3B19">
            <w:pPr>
              <w:keepNext w:val="0"/>
              <w:keepLines w:val="0"/>
              <w:widowControl/>
              <w:suppressLineNumbers w:val="0"/>
              <w:jc w:val="center"/>
              <w:rPr>
                <w:rFonts w:hint="eastAsia" w:ascii="宋体" w:hAnsi="宋体" w:eastAsia="宋体" w:cs="宋体"/>
                <w:b/>
                <w:bCs/>
                <w:color w:val="000000"/>
                <w:kern w:val="0"/>
                <w:sz w:val="20"/>
                <w:szCs w:val="20"/>
                <w:lang w:val="en-US" w:eastAsia="zh-CN" w:bidi="ar"/>
              </w:rPr>
            </w:pPr>
            <w:r>
              <w:rPr>
                <w:rFonts w:hint="eastAsia" w:ascii="宋体" w:hAnsi="宋体" w:eastAsia="宋体" w:cs="宋体"/>
                <w:b/>
                <w:bCs/>
                <w:color w:val="000000"/>
                <w:kern w:val="0"/>
                <w:sz w:val="20"/>
                <w:szCs w:val="20"/>
                <w:lang w:val="en-US" w:eastAsia="zh-CN" w:bidi="ar"/>
              </w:rPr>
              <w:t>图2-6超细红磷阻燃柒剂小试工艺流程及产污节点图</w:t>
            </w:r>
          </w:p>
          <w:p w14:paraId="5B10108D">
            <w:pPr>
              <w:spacing w:line="360" w:lineRule="auto"/>
              <w:rPr>
                <w:rFonts w:hint="eastAsia"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t>（5）阻燃母粒小试工艺图</w:t>
            </w:r>
          </w:p>
          <w:p w14:paraId="5659EB3C">
            <w:pPr>
              <w:spacing w:line="360" w:lineRule="auto"/>
              <w:jc w:val="center"/>
              <w:rPr>
                <w:rFonts w:hint="eastAsia"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drawing>
                <wp:inline distT="0" distB="0" distL="114300" distR="114300">
                  <wp:extent cx="3133725" cy="1809750"/>
                  <wp:effectExtent l="0" t="0" r="9525" b="0"/>
                  <wp:docPr id="55" name="图片 55" descr="175214084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752140843177"/>
                          <pic:cNvPicPr>
                            <a:picLocks noChangeAspect="1"/>
                          </pic:cNvPicPr>
                        </pic:nvPicPr>
                        <pic:blipFill>
                          <a:blip r:embed="rId16"/>
                          <a:stretch>
                            <a:fillRect/>
                          </a:stretch>
                        </pic:blipFill>
                        <pic:spPr>
                          <a:xfrm>
                            <a:off x="0" y="0"/>
                            <a:ext cx="3133725" cy="1809750"/>
                          </a:xfrm>
                          <a:prstGeom prst="rect">
                            <a:avLst/>
                          </a:prstGeom>
                        </pic:spPr>
                      </pic:pic>
                    </a:graphicData>
                  </a:graphic>
                </wp:inline>
              </w:drawing>
            </w:r>
          </w:p>
          <w:p w14:paraId="317B3C04">
            <w:pPr>
              <w:keepNext w:val="0"/>
              <w:keepLines w:val="0"/>
              <w:widowControl/>
              <w:suppressLineNumbers w:val="0"/>
              <w:jc w:val="center"/>
            </w:pPr>
            <w:r>
              <w:rPr>
                <w:rFonts w:hint="eastAsia" w:ascii="宋体" w:hAnsi="宋体" w:eastAsia="宋体" w:cs="宋体"/>
                <w:b/>
                <w:bCs/>
                <w:color w:val="000000"/>
                <w:kern w:val="0"/>
                <w:sz w:val="20"/>
                <w:szCs w:val="20"/>
                <w:lang w:val="en-US" w:eastAsia="zh-CN" w:bidi="ar"/>
              </w:rPr>
              <w:t>图2-7复合阻燃剂小试工艺流程及产污节点图</w:t>
            </w:r>
          </w:p>
          <w:p w14:paraId="762B8D89">
            <w:pPr>
              <w:pStyle w:val="2"/>
              <w:rPr>
                <w:rFonts w:hint="eastAsia"/>
                <w:lang w:val="en-US" w:eastAsia="zh-CN"/>
              </w:rPr>
            </w:pPr>
            <w:r>
              <w:rPr>
                <w:rFonts w:hint="eastAsia"/>
                <w:lang w:val="en-US" w:eastAsia="zh-CN"/>
              </w:rPr>
              <w:drawing>
                <wp:anchor distT="0" distB="0" distL="114300" distR="114300" simplePos="0" relativeHeight="251669504" behindDoc="0" locked="0" layoutInCell="1" allowOverlap="1">
                  <wp:simplePos x="0" y="0"/>
                  <wp:positionH relativeFrom="column">
                    <wp:posOffset>1160145</wp:posOffset>
                  </wp:positionH>
                  <wp:positionV relativeFrom="paragraph">
                    <wp:posOffset>63500</wp:posOffset>
                  </wp:positionV>
                  <wp:extent cx="3362325" cy="1762125"/>
                  <wp:effectExtent l="0" t="0" r="9525" b="9525"/>
                  <wp:wrapNone/>
                  <wp:docPr id="56" name="图片 56" descr="175214082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52140829407"/>
                          <pic:cNvPicPr>
                            <a:picLocks noChangeAspect="1"/>
                          </pic:cNvPicPr>
                        </pic:nvPicPr>
                        <pic:blipFill>
                          <a:blip r:embed="rId17"/>
                          <a:stretch>
                            <a:fillRect/>
                          </a:stretch>
                        </pic:blipFill>
                        <pic:spPr>
                          <a:xfrm>
                            <a:off x="0" y="0"/>
                            <a:ext cx="3362325" cy="1762125"/>
                          </a:xfrm>
                          <a:prstGeom prst="rect">
                            <a:avLst/>
                          </a:prstGeom>
                        </pic:spPr>
                      </pic:pic>
                    </a:graphicData>
                  </a:graphic>
                </wp:anchor>
              </w:drawing>
            </w:r>
          </w:p>
          <w:p w14:paraId="3D889F9D">
            <w:pPr>
              <w:pStyle w:val="2"/>
              <w:rPr>
                <w:rFonts w:hint="eastAsia"/>
                <w:lang w:val="en-US" w:eastAsia="zh-CN"/>
              </w:rPr>
            </w:pPr>
          </w:p>
          <w:p w14:paraId="3C5B89AC">
            <w:pPr>
              <w:pStyle w:val="2"/>
              <w:jc w:val="center"/>
              <w:rPr>
                <w:rFonts w:hint="eastAsia"/>
                <w:lang w:val="en-US" w:eastAsia="zh-CN"/>
              </w:rPr>
            </w:pPr>
          </w:p>
          <w:p w14:paraId="334B4B97">
            <w:pPr>
              <w:pStyle w:val="2"/>
              <w:rPr>
                <w:rFonts w:hint="eastAsia"/>
                <w:lang w:val="en-US" w:eastAsia="zh-CN"/>
              </w:rPr>
            </w:pPr>
          </w:p>
          <w:p w14:paraId="77ED77C8">
            <w:pPr>
              <w:pStyle w:val="2"/>
              <w:rPr>
                <w:rFonts w:hint="eastAsia"/>
                <w:lang w:val="en-US" w:eastAsia="zh-CN"/>
              </w:rPr>
            </w:pPr>
          </w:p>
          <w:p w14:paraId="1D757E2E">
            <w:pPr>
              <w:pStyle w:val="2"/>
              <w:rPr>
                <w:rFonts w:hint="eastAsia"/>
                <w:lang w:val="en-US" w:eastAsia="zh-CN"/>
              </w:rPr>
            </w:pPr>
          </w:p>
          <w:p w14:paraId="6F2CBB21">
            <w:pPr>
              <w:keepNext w:val="0"/>
              <w:keepLines w:val="0"/>
              <w:widowControl/>
              <w:suppressLineNumbers w:val="0"/>
              <w:jc w:val="center"/>
            </w:pPr>
            <w:r>
              <w:rPr>
                <w:rFonts w:hint="eastAsia" w:ascii="宋体" w:hAnsi="宋体" w:eastAsia="宋体" w:cs="宋体"/>
                <w:b/>
                <w:bCs/>
                <w:color w:val="000000"/>
                <w:kern w:val="0"/>
                <w:sz w:val="20"/>
                <w:szCs w:val="20"/>
                <w:lang w:val="en-US" w:eastAsia="zh-CN" w:bidi="ar"/>
              </w:rPr>
              <w:t>图2-8不含磷阻燃母粒小试工艺流程及产污节点图</w:t>
            </w:r>
          </w:p>
          <w:p w14:paraId="2ABC370E">
            <w:pPr>
              <w:pStyle w:val="2"/>
              <w:rPr>
                <w:rFonts w:hint="eastAsia"/>
                <w:lang w:val="en-US" w:eastAsia="zh-CN"/>
              </w:rPr>
            </w:pPr>
            <w:r>
              <w:rPr>
                <w:rFonts w:hint="eastAsia"/>
                <w:lang w:val="en-US" w:eastAsia="zh-CN"/>
              </w:rPr>
              <w:drawing>
                <wp:anchor distT="0" distB="0" distL="114300" distR="114300" simplePos="0" relativeHeight="251670528" behindDoc="0" locked="0" layoutInCell="1" allowOverlap="1">
                  <wp:simplePos x="0" y="0"/>
                  <wp:positionH relativeFrom="column">
                    <wp:posOffset>950595</wp:posOffset>
                  </wp:positionH>
                  <wp:positionV relativeFrom="paragraph">
                    <wp:posOffset>6350</wp:posOffset>
                  </wp:positionV>
                  <wp:extent cx="3810000" cy="2552700"/>
                  <wp:effectExtent l="0" t="0" r="0" b="0"/>
                  <wp:wrapNone/>
                  <wp:docPr id="57" name="图片 57" descr="175214081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752140810726"/>
                          <pic:cNvPicPr>
                            <a:picLocks noChangeAspect="1"/>
                          </pic:cNvPicPr>
                        </pic:nvPicPr>
                        <pic:blipFill>
                          <a:blip r:embed="rId18"/>
                          <a:stretch>
                            <a:fillRect/>
                          </a:stretch>
                        </pic:blipFill>
                        <pic:spPr>
                          <a:xfrm>
                            <a:off x="0" y="0"/>
                            <a:ext cx="3810000" cy="2552700"/>
                          </a:xfrm>
                          <a:prstGeom prst="rect">
                            <a:avLst/>
                          </a:prstGeom>
                        </pic:spPr>
                      </pic:pic>
                    </a:graphicData>
                  </a:graphic>
                </wp:anchor>
              </w:drawing>
            </w:r>
          </w:p>
          <w:p w14:paraId="6287C62A">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eastAsia"/>
                <w:color w:val="auto"/>
                <w:sz w:val="28"/>
                <w:szCs w:val="28"/>
                <w:lang w:val="en-US" w:eastAsia="zh-CN"/>
              </w:rPr>
            </w:pPr>
          </w:p>
          <w:p w14:paraId="01274DFD">
            <w:pPr>
              <w:rPr>
                <w:rFonts w:hint="eastAsia"/>
                <w:color w:val="auto"/>
                <w:sz w:val="28"/>
                <w:szCs w:val="28"/>
                <w:lang w:val="en-US" w:eastAsia="zh-CN"/>
              </w:rPr>
            </w:pPr>
          </w:p>
          <w:p w14:paraId="10C498C1">
            <w:pPr>
              <w:pStyle w:val="2"/>
              <w:rPr>
                <w:rFonts w:hint="eastAsia"/>
                <w:color w:val="auto"/>
                <w:sz w:val="28"/>
                <w:szCs w:val="28"/>
                <w:lang w:val="en-US" w:eastAsia="zh-CN"/>
              </w:rPr>
            </w:pPr>
          </w:p>
          <w:p w14:paraId="011661BD">
            <w:pPr>
              <w:pStyle w:val="2"/>
              <w:rPr>
                <w:rFonts w:hint="eastAsia"/>
                <w:color w:val="auto"/>
                <w:sz w:val="28"/>
                <w:szCs w:val="28"/>
                <w:lang w:val="en-US" w:eastAsia="zh-CN"/>
              </w:rPr>
            </w:pPr>
          </w:p>
          <w:p w14:paraId="7108D7DE">
            <w:pPr>
              <w:pStyle w:val="2"/>
              <w:rPr>
                <w:rFonts w:hint="eastAsia"/>
                <w:color w:val="auto"/>
                <w:sz w:val="28"/>
                <w:szCs w:val="28"/>
                <w:lang w:val="en-US" w:eastAsia="zh-CN"/>
              </w:rPr>
            </w:pPr>
          </w:p>
          <w:p w14:paraId="2D7EE09D">
            <w:pPr>
              <w:pStyle w:val="2"/>
              <w:rPr>
                <w:rFonts w:hint="eastAsia"/>
                <w:color w:val="auto"/>
                <w:sz w:val="28"/>
                <w:szCs w:val="28"/>
                <w:lang w:val="en-US" w:eastAsia="zh-CN"/>
              </w:rPr>
            </w:pPr>
          </w:p>
          <w:p w14:paraId="78D00268">
            <w:pPr>
              <w:pStyle w:val="2"/>
              <w:rPr>
                <w:rFonts w:hint="eastAsia"/>
                <w:color w:val="auto"/>
                <w:sz w:val="28"/>
                <w:szCs w:val="28"/>
                <w:lang w:val="en-US" w:eastAsia="zh-CN"/>
              </w:rPr>
            </w:pPr>
          </w:p>
          <w:p w14:paraId="03EB78A8">
            <w:pPr>
              <w:keepNext w:val="0"/>
              <w:keepLines w:val="0"/>
              <w:widowControl/>
              <w:suppressLineNumbers w:val="0"/>
              <w:jc w:val="center"/>
            </w:pPr>
            <w:r>
              <w:rPr>
                <w:rFonts w:hint="eastAsia" w:ascii="宋体" w:hAnsi="宋体" w:eastAsia="宋体" w:cs="宋体"/>
                <w:b/>
                <w:bCs/>
                <w:color w:val="000000"/>
                <w:kern w:val="0"/>
                <w:sz w:val="20"/>
                <w:szCs w:val="20"/>
                <w:lang w:val="en-US" w:eastAsia="zh-CN" w:bidi="ar"/>
              </w:rPr>
              <w:t>图2-9含磷阻燃母粒小试工艺流程及产污节点图</w:t>
            </w:r>
          </w:p>
          <w:p w14:paraId="72E49B60">
            <w:pPr>
              <w:pStyle w:val="5"/>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default"/>
                <w:color w:val="auto"/>
                <w:sz w:val="28"/>
                <w:szCs w:val="28"/>
                <w:lang w:val="en-US" w:eastAsia="zh-CN"/>
              </w:rPr>
            </w:pPr>
            <w:r>
              <w:rPr>
                <w:rFonts w:hint="eastAsia"/>
                <w:color w:val="auto"/>
                <w:sz w:val="28"/>
                <w:szCs w:val="28"/>
                <w:lang w:val="en-US" w:eastAsia="zh-CN"/>
              </w:rPr>
              <w:t>3.</w:t>
            </w:r>
            <w:r>
              <w:rPr>
                <w:rFonts w:hint="default"/>
                <w:color w:val="auto"/>
                <w:sz w:val="28"/>
                <w:szCs w:val="28"/>
                <w:lang w:val="en-US" w:eastAsia="zh-CN"/>
              </w:rPr>
              <w:t>主要污染工序</w:t>
            </w:r>
          </w:p>
          <w:p w14:paraId="332E5448">
            <w:pPr>
              <w:pStyle w:val="44"/>
              <w:pageBreakBefore w:val="0"/>
              <w:kinsoku/>
              <w:wordWrap/>
              <w:topLinePunct w:val="0"/>
              <w:bidi w:val="0"/>
              <w:spacing w:after="0" w:afterLines="0"/>
              <w:rPr>
                <w:rFonts w:hint="eastAsia"/>
                <w:color w:val="auto"/>
                <w:lang w:val="en-US" w:eastAsia="zh-CN"/>
              </w:rPr>
            </w:pPr>
            <w:r>
              <w:rPr>
                <w:rFonts w:hint="eastAsia"/>
                <w:color w:val="auto"/>
                <w:lang w:val="en-US" w:eastAsia="zh-CN"/>
              </w:rPr>
              <w:t>表2-5 污染物产生及排放环节</w:t>
            </w:r>
          </w:p>
          <w:tbl>
            <w:tblPr>
              <w:tblStyle w:val="2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160"/>
              <w:gridCol w:w="1060"/>
              <w:gridCol w:w="1726"/>
              <w:gridCol w:w="4980"/>
            </w:tblGrid>
            <w:tr w14:paraId="4979DA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tcBorders>
                    <w:tl2br w:val="nil"/>
                    <w:tr2bl w:val="nil"/>
                  </w:tcBorders>
                  <w:noWrap w:val="0"/>
                  <w:vAlign w:val="center"/>
                </w:tcPr>
                <w:p w14:paraId="0353B2F0">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污染类别</w:t>
                  </w:r>
                </w:p>
              </w:tc>
              <w:tc>
                <w:tcPr>
                  <w:tcW w:w="601" w:type="pct"/>
                  <w:tcBorders>
                    <w:tl2br w:val="nil"/>
                    <w:tr2bl w:val="nil"/>
                  </w:tcBorders>
                  <w:noWrap w:val="0"/>
                  <w:vAlign w:val="center"/>
                </w:tcPr>
                <w:p w14:paraId="1F9B2EA6">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产污节点</w:t>
                  </w:r>
                </w:p>
              </w:tc>
              <w:tc>
                <w:tcPr>
                  <w:tcW w:w="549" w:type="pct"/>
                  <w:tcBorders>
                    <w:tl2br w:val="nil"/>
                    <w:tr2bl w:val="nil"/>
                  </w:tcBorders>
                  <w:noWrap w:val="0"/>
                  <w:vAlign w:val="center"/>
                </w:tcPr>
                <w:p w14:paraId="6897431C">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编号</w:t>
                  </w:r>
                </w:p>
              </w:tc>
              <w:tc>
                <w:tcPr>
                  <w:tcW w:w="894" w:type="pct"/>
                  <w:tcBorders>
                    <w:tl2br w:val="nil"/>
                    <w:tr2bl w:val="nil"/>
                  </w:tcBorders>
                  <w:noWrap w:val="0"/>
                  <w:vAlign w:val="center"/>
                </w:tcPr>
                <w:p w14:paraId="210463F7">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污染因子</w:t>
                  </w:r>
                </w:p>
              </w:tc>
              <w:tc>
                <w:tcPr>
                  <w:tcW w:w="2580" w:type="pct"/>
                  <w:tcBorders>
                    <w:tl2br w:val="nil"/>
                    <w:tr2bl w:val="nil"/>
                  </w:tcBorders>
                  <w:noWrap w:val="0"/>
                  <w:vAlign w:val="center"/>
                </w:tcPr>
                <w:p w14:paraId="5D1635C2">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采取措施</w:t>
                  </w:r>
                </w:p>
              </w:tc>
            </w:tr>
            <w:tr w14:paraId="5527CE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tcBorders>
                    <w:tl2br w:val="nil"/>
                    <w:tr2bl w:val="nil"/>
                  </w:tcBorders>
                  <w:noWrap w:val="0"/>
                  <w:vAlign w:val="center"/>
                </w:tcPr>
                <w:p w14:paraId="5D91CE3A">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废气</w:t>
                  </w:r>
                </w:p>
              </w:tc>
              <w:tc>
                <w:tcPr>
                  <w:tcW w:w="601" w:type="pct"/>
                  <w:tcBorders>
                    <w:tl2br w:val="nil"/>
                    <w:tr2bl w:val="nil"/>
                  </w:tcBorders>
                  <w:noWrap w:val="0"/>
                  <w:vAlign w:val="center"/>
                </w:tcPr>
                <w:p w14:paraId="648E9DAA">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小试废气</w:t>
                  </w:r>
                </w:p>
              </w:tc>
              <w:tc>
                <w:tcPr>
                  <w:tcW w:w="549" w:type="pct"/>
                  <w:tcBorders>
                    <w:tl2br w:val="nil"/>
                    <w:tr2bl w:val="nil"/>
                  </w:tcBorders>
                  <w:noWrap w:val="0"/>
                  <w:vAlign w:val="center"/>
                </w:tcPr>
                <w:p w14:paraId="1D2A32EF">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G1</w:t>
                  </w:r>
                  <w:r>
                    <w:rPr>
                      <w:rFonts w:hint="eastAsia" w:ascii="Times New Roman" w:hAnsi="Times New Roman" w:eastAsia="宋体" w:cs="Times New Roman"/>
                      <w:color w:val="auto"/>
                      <w:sz w:val="18"/>
                      <w:szCs w:val="18"/>
                      <w:lang w:val="en-US" w:eastAsia="zh-CN"/>
                    </w:rPr>
                    <w:t>-23</w:t>
                  </w:r>
                </w:p>
              </w:tc>
              <w:tc>
                <w:tcPr>
                  <w:tcW w:w="894" w:type="pct"/>
                  <w:tcBorders>
                    <w:tl2br w:val="nil"/>
                    <w:tr2bl w:val="nil"/>
                  </w:tcBorders>
                  <w:noWrap w:val="0"/>
                  <w:vAlign w:val="center"/>
                </w:tcPr>
                <w:p w14:paraId="3F82C3A1">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非甲烷总烃、粉尘、HCl、酸雾、PH</w:t>
                  </w:r>
                  <w:r>
                    <w:rPr>
                      <w:rFonts w:hint="default" w:ascii="Times New Roman" w:hAnsi="Times New Roman" w:eastAsia="宋体" w:cs="Times New Roman"/>
                      <w:color w:val="000000"/>
                      <w:kern w:val="0"/>
                      <w:sz w:val="18"/>
                      <w:szCs w:val="18"/>
                      <w:vertAlign w:val="subscript"/>
                      <w:lang w:val="en-US" w:eastAsia="zh-CN" w:bidi="ar"/>
                    </w:rPr>
                    <w:t>3</w:t>
                  </w:r>
                  <w:r>
                    <w:rPr>
                      <w:rFonts w:hint="default" w:ascii="Times New Roman" w:hAnsi="Times New Roman" w:eastAsia="宋体" w:cs="Times New Roman"/>
                      <w:color w:val="000000"/>
                      <w:kern w:val="0"/>
                      <w:sz w:val="18"/>
                      <w:szCs w:val="18"/>
                      <w:lang w:val="en-US" w:eastAsia="zh-CN" w:bidi="ar"/>
                    </w:rPr>
                    <w:t>、臭气浓度*</w:t>
                  </w:r>
                </w:p>
              </w:tc>
              <w:tc>
                <w:tcPr>
                  <w:tcW w:w="2580" w:type="pct"/>
                  <w:tcBorders>
                    <w:tl2br w:val="nil"/>
                    <w:tr2bl w:val="nil"/>
                  </w:tcBorders>
                  <w:noWrap w:val="0"/>
                  <w:vAlign w:val="center"/>
                </w:tcPr>
                <w:p w14:paraId="11C87DEC">
                  <w:pPr>
                    <w:kinsoku w:val="0"/>
                    <w:autoSpaceDE w:val="0"/>
                    <w:autoSpaceDN w:val="0"/>
                    <w:adjustRightInd w:val="0"/>
                    <w:snapToGrid w:val="0"/>
                    <w:spacing w:before="33" w:line="228" w:lineRule="auto"/>
                    <w:ind w:left="0" w:leftChars="0" w:firstLine="0" w:firstLineChars="0"/>
                    <w:jc w:val="left"/>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000000"/>
                      <w:spacing w:val="7"/>
                      <w:kern w:val="0"/>
                      <w:sz w:val="18"/>
                      <w:szCs w:val="18"/>
                      <w:lang w:val="en-US" w:eastAsia="en-US" w:bidi="ar-SA"/>
                    </w:rPr>
                    <w:t>项目设置密闭区</w:t>
                  </w:r>
                  <w:r>
                    <w:rPr>
                      <w:rFonts w:hint="default" w:ascii="Times New Roman" w:hAnsi="Times New Roman" w:eastAsia="宋体" w:cs="Times New Roman"/>
                      <w:snapToGrid w:val="0"/>
                      <w:color w:val="000000"/>
                      <w:spacing w:val="7"/>
                      <w:kern w:val="0"/>
                      <w:sz w:val="18"/>
                      <w:szCs w:val="18"/>
                      <w:lang w:val="en-US" w:eastAsia="zh-CN" w:bidi="ar-SA"/>
                    </w:rPr>
                    <w:t>域</w:t>
                  </w:r>
                  <w:r>
                    <w:rPr>
                      <w:rFonts w:hint="default" w:ascii="Times New Roman" w:hAnsi="Times New Roman" w:eastAsia="宋体" w:cs="Times New Roman"/>
                      <w:snapToGrid w:val="0"/>
                      <w:color w:val="000000"/>
                      <w:spacing w:val="7"/>
                      <w:kern w:val="0"/>
                      <w:sz w:val="18"/>
                      <w:szCs w:val="18"/>
                      <w:lang w:val="en-US" w:eastAsia="en-US" w:bidi="ar-SA"/>
                    </w:rPr>
                    <w:t>，</w:t>
                  </w:r>
                  <w:r>
                    <w:rPr>
                      <w:rFonts w:hint="default" w:ascii="Times New Roman" w:hAnsi="Times New Roman" w:eastAsia="宋体" w:cs="Times New Roman"/>
                      <w:snapToGrid w:val="0"/>
                      <w:color w:val="000000"/>
                      <w:spacing w:val="7"/>
                      <w:kern w:val="0"/>
                      <w:sz w:val="18"/>
                      <w:szCs w:val="18"/>
                      <w:lang w:val="en-US" w:eastAsia="zh-CN" w:bidi="ar-SA"/>
                    </w:rPr>
                    <w:t>试验</w:t>
                  </w:r>
                  <w:r>
                    <w:rPr>
                      <w:rFonts w:hint="default" w:ascii="Times New Roman" w:hAnsi="Times New Roman" w:eastAsia="宋体" w:cs="Times New Roman"/>
                      <w:snapToGrid w:val="0"/>
                      <w:color w:val="000000"/>
                      <w:spacing w:val="7"/>
                      <w:kern w:val="0"/>
                      <w:sz w:val="18"/>
                      <w:szCs w:val="18"/>
                      <w:lang w:val="en-US" w:eastAsia="en-US" w:bidi="ar-SA"/>
                    </w:rPr>
                    <w:t>废气经</w:t>
                  </w:r>
                  <w:r>
                    <w:rPr>
                      <w:rFonts w:hint="default" w:ascii="Times New Roman" w:hAnsi="Times New Roman" w:eastAsia="宋体" w:cs="Times New Roman"/>
                      <w:snapToGrid w:val="0"/>
                      <w:color w:val="000000"/>
                      <w:spacing w:val="7"/>
                      <w:kern w:val="0"/>
                      <w:sz w:val="18"/>
                      <w:szCs w:val="18"/>
                      <w:lang w:val="en-US" w:eastAsia="zh-CN" w:bidi="ar-SA"/>
                    </w:rPr>
                    <w:t>通风橱或</w:t>
                  </w:r>
                  <w:r>
                    <w:rPr>
                      <w:rFonts w:hint="default" w:ascii="Times New Roman" w:hAnsi="Times New Roman" w:eastAsia="宋体" w:cs="Times New Roman"/>
                      <w:snapToGrid w:val="0"/>
                      <w:color w:val="000000"/>
                      <w:spacing w:val="7"/>
                      <w:kern w:val="0"/>
                      <w:sz w:val="18"/>
                      <w:szCs w:val="18"/>
                      <w:lang w:val="en-US" w:eastAsia="en-US" w:bidi="ar-SA"/>
                    </w:rPr>
                    <w:t>密闭负</w:t>
                  </w:r>
                  <w:r>
                    <w:rPr>
                      <w:rFonts w:hint="default" w:ascii="Times New Roman" w:hAnsi="Times New Roman" w:eastAsia="宋体" w:cs="Times New Roman"/>
                      <w:snapToGrid w:val="0"/>
                      <w:color w:val="000000"/>
                      <w:spacing w:val="5"/>
                      <w:kern w:val="0"/>
                      <w:sz w:val="18"/>
                      <w:szCs w:val="18"/>
                      <w:lang w:val="en-US" w:eastAsia="en-US" w:bidi="ar-SA"/>
                    </w:rPr>
                    <w:t>压收集</w:t>
                  </w:r>
                  <w:r>
                    <w:rPr>
                      <w:rFonts w:hint="default" w:ascii="Times New Roman" w:hAnsi="Times New Roman" w:eastAsia="宋体" w:cs="Times New Roman"/>
                      <w:snapToGrid w:val="0"/>
                      <w:color w:val="000000"/>
                      <w:spacing w:val="7"/>
                      <w:kern w:val="0"/>
                      <w:sz w:val="18"/>
                      <w:szCs w:val="18"/>
                      <w:lang w:val="en-US" w:eastAsia="en-US" w:bidi="ar-SA"/>
                    </w:rPr>
                    <w:t>后，</w:t>
                  </w:r>
                  <w:r>
                    <w:rPr>
                      <w:rFonts w:hint="default" w:ascii="Times New Roman" w:hAnsi="Times New Roman" w:eastAsia="宋体" w:cs="Times New Roman"/>
                      <w:snapToGrid w:val="0"/>
                      <w:color w:val="000000"/>
                      <w:spacing w:val="7"/>
                      <w:kern w:val="0"/>
                      <w:sz w:val="18"/>
                      <w:szCs w:val="18"/>
                      <w:lang w:val="en-US" w:eastAsia="zh-CN" w:bidi="ar-SA"/>
                    </w:rPr>
                    <w:t>依托现有</w:t>
                  </w:r>
                  <w:r>
                    <w:rPr>
                      <w:rFonts w:hint="default" w:ascii="Times New Roman" w:hAnsi="Times New Roman" w:eastAsia="宋体" w:cs="Times New Roman"/>
                      <w:snapToGrid w:val="0"/>
                      <w:color w:val="000000"/>
                      <w:spacing w:val="7"/>
                      <w:kern w:val="0"/>
                      <w:sz w:val="18"/>
                      <w:szCs w:val="18"/>
                      <w:lang w:val="en-US" w:eastAsia="en-US" w:bidi="ar-SA"/>
                    </w:rPr>
                    <w:t>1套</w:t>
                  </w:r>
                  <w:r>
                    <w:rPr>
                      <w:rFonts w:hint="default" w:ascii="Times New Roman" w:hAnsi="Times New Roman" w:eastAsia="宋体" w:cs="Times New Roman"/>
                      <w:snapToGrid w:val="0"/>
                      <w:color w:val="000000"/>
                      <w:spacing w:val="7"/>
                      <w:kern w:val="0"/>
                      <w:sz w:val="18"/>
                      <w:szCs w:val="18"/>
                      <w:lang w:val="en-US" w:eastAsia="zh-CN" w:bidi="ar-SA"/>
                    </w:rPr>
                    <w:t>水喷淋+脱水除雾器+两级活性炭</w:t>
                  </w:r>
                  <w:r>
                    <w:rPr>
                      <w:rFonts w:hint="default" w:ascii="Times New Roman" w:hAnsi="Times New Roman" w:eastAsia="宋体" w:cs="Times New Roman"/>
                      <w:snapToGrid w:val="0"/>
                      <w:color w:val="000000"/>
                      <w:spacing w:val="7"/>
                      <w:kern w:val="0"/>
                      <w:sz w:val="18"/>
                      <w:szCs w:val="18"/>
                      <w:lang w:val="en-US" w:eastAsia="en-US" w:bidi="ar-SA"/>
                    </w:rPr>
                    <w:t>15m高排气筒</w:t>
                  </w:r>
                  <w:r>
                    <w:rPr>
                      <w:rFonts w:hint="default" w:ascii="Times New Roman" w:hAnsi="Times New Roman" w:eastAsia="宋体" w:cs="Times New Roman"/>
                      <w:snapToGrid w:val="0"/>
                      <w:color w:val="000000"/>
                      <w:spacing w:val="7"/>
                      <w:kern w:val="0"/>
                      <w:sz w:val="18"/>
                      <w:szCs w:val="18"/>
                      <w:lang w:val="en-US" w:eastAsia="zh-CN" w:bidi="ar-SA"/>
                    </w:rPr>
                    <w:t>（</w:t>
                  </w:r>
                  <w:r>
                    <w:rPr>
                      <w:rFonts w:hint="default" w:ascii="Times New Roman" w:hAnsi="Times New Roman" w:eastAsia="宋体" w:cs="Times New Roman"/>
                      <w:snapToGrid w:val="0"/>
                      <w:color w:val="000000"/>
                      <w:spacing w:val="5"/>
                      <w:kern w:val="0"/>
                      <w:sz w:val="18"/>
                      <w:szCs w:val="18"/>
                      <w:lang w:val="en-US" w:eastAsia="zh-CN" w:bidi="ar-SA"/>
                    </w:rPr>
                    <w:t>DA001）排放。</w:t>
                  </w:r>
                </w:p>
              </w:tc>
            </w:tr>
            <w:tr w14:paraId="579286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restart"/>
                  <w:tcBorders>
                    <w:tl2br w:val="nil"/>
                    <w:tr2bl w:val="nil"/>
                  </w:tcBorders>
                  <w:noWrap w:val="0"/>
                  <w:vAlign w:val="center"/>
                </w:tcPr>
                <w:p w14:paraId="73E3C2D2">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废水</w:t>
                  </w:r>
                </w:p>
              </w:tc>
              <w:tc>
                <w:tcPr>
                  <w:tcW w:w="601" w:type="pct"/>
                  <w:tcBorders>
                    <w:tl2br w:val="nil"/>
                    <w:tr2bl w:val="nil"/>
                  </w:tcBorders>
                  <w:noWrap w:val="0"/>
                  <w:vAlign w:val="center"/>
                </w:tcPr>
                <w:p w14:paraId="0C27D4D6">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职工生活</w:t>
                  </w:r>
                </w:p>
              </w:tc>
              <w:tc>
                <w:tcPr>
                  <w:tcW w:w="549" w:type="pct"/>
                  <w:tcBorders>
                    <w:tl2br w:val="nil"/>
                    <w:tr2bl w:val="nil"/>
                  </w:tcBorders>
                  <w:noWrap w:val="0"/>
                  <w:vAlign w:val="center"/>
                </w:tcPr>
                <w:p w14:paraId="4CBC3702">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894" w:type="pct"/>
                  <w:tcBorders>
                    <w:tl2br w:val="nil"/>
                    <w:tr2bl w:val="nil"/>
                  </w:tcBorders>
                  <w:noWrap w:val="0"/>
                  <w:vAlign w:val="center"/>
                </w:tcPr>
                <w:p w14:paraId="57E7CA30">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pH、SS、COD、BOD</w:t>
                  </w:r>
                  <w:r>
                    <w:rPr>
                      <w:rFonts w:hint="default" w:ascii="Times New Roman" w:hAnsi="Times New Roman" w:eastAsia="宋体" w:cs="Times New Roman"/>
                      <w:color w:val="auto"/>
                      <w:sz w:val="18"/>
                      <w:szCs w:val="18"/>
                      <w:vertAlign w:val="subscript"/>
                      <w:lang w:val="en-US" w:eastAsia="zh-CN"/>
                    </w:rPr>
                    <w:t>5</w:t>
                  </w:r>
                  <w:r>
                    <w:rPr>
                      <w:rFonts w:hint="default" w:ascii="Times New Roman" w:hAnsi="Times New Roman" w:eastAsia="宋体" w:cs="Times New Roman"/>
                      <w:color w:val="auto"/>
                      <w:sz w:val="18"/>
                      <w:szCs w:val="18"/>
                      <w:lang w:val="en-US" w:eastAsia="zh-CN"/>
                    </w:rPr>
                    <w:t>、氨氮</w:t>
                  </w:r>
                </w:p>
              </w:tc>
              <w:tc>
                <w:tcPr>
                  <w:tcW w:w="2580" w:type="pct"/>
                  <w:tcBorders>
                    <w:tl2br w:val="nil"/>
                    <w:tr2bl w:val="nil"/>
                  </w:tcBorders>
                  <w:noWrap w:val="0"/>
                  <w:vAlign w:val="center"/>
                </w:tcPr>
                <w:p w14:paraId="43AFEFFA">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生活污水经化粪池收集预处理后，接入园区污水管网，进入基地污水处理厂进行深度处理后回用。</w:t>
                  </w:r>
                </w:p>
              </w:tc>
            </w:tr>
            <w:tr w14:paraId="6EE36F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tcBorders>
                    <w:tl2br w:val="nil"/>
                    <w:tr2bl w:val="nil"/>
                  </w:tcBorders>
                  <w:noWrap w:val="0"/>
                  <w:vAlign w:val="center"/>
                </w:tcPr>
                <w:p w14:paraId="42B71A0D">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p>
              </w:tc>
              <w:tc>
                <w:tcPr>
                  <w:tcW w:w="601" w:type="pct"/>
                  <w:tcBorders>
                    <w:tl2br w:val="nil"/>
                    <w:tr2bl w:val="nil"/>
                  </w:tcBorders>
                  <w:noWrap w:val="0"/>
                  <w:vAlign w:val="center"/>
                </w:tcPr>
                <w:p w14:paraId="7F95009C">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清洗废水</w:t>
                  </w:r>
                </w:p>
              </w:tc>
              <w:tc>
                <w:tcPr>
                  <w:tcW w:w="549" w:type="pct"/>
                  <w:tcBorders>
                    <w:tl2br w:val="nil"/>
                    <w:tr2bl w:val="nil"/>
                  </w:tcBorders>
                  <w:noWrap w:val="0"/>
                  <w:vAlign w:val="center"/>
                </w:tcPr>
                <w:p w14:paraId="4B7AA24D">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894" w:type="pct"/>
                  <w:tcBorders>
                    <w:tl2br w:val="nil"/>
                    <w:tr2bl w:val="nil"/>
                  </w:tcBorders>
                  <w:noWrap w:val="0"/>
                  <w:vAlign w:val="center"/>
                </w:tcPr>
                <w:p w14:paraId="29049FAE">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COD、SS</w:t>
                  </w:r>
                </w:p>
              </w:tc>
              <w:tc>
                <w:tcPr>
                  <w:tcW w:w="2580" w:type="pct"/>
                  <w:tcBorders>
                    <w:tl2br w:val="nil"/>
                    <w:tr2bl w:val="nil"/>
                  </w:tcBorders>
                  <w:noWrap w:val="0"/>
                  <w:vAlign w:val="center"/>
                </w:tcPr>
                <w:p w14:paraId="390DDF30">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集液桶收集后送污水处理站预处理接入园区污水管网，进入基地污水处理厂进行深度处理</w:t>
                  </w:r>
                </w:p>
              </w:tc>
            </w:tr>
            <w:tr w14:paraId="4BF856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tcBorders>
                    <w:tl2br w:val="nil"/>
                    <w:tr2bl w:val="nil"/>
                  </w:tcBorders>
                  <w:noWrap w:val="0"/>
                  <w:vAlign w:val="center"/>
                </w:tcPr>
                <w:p w14:paraId="4FB5DD64">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噪声</w:t>
                  </w:r>
                </w:p>
              </w:tc>
              <w:tc>
                <w:tcPr>
                  <w:tcW w:w="601" w:type="pct"/>
                  <w:tcBorders>
                    <w:tl2br w:val="nil"/>
                    <w:tr2bl w:val="nil"/>
                  </w:tcBorders>
                  <w:noWrap w:val="0"/>
                  <w:vAlign w:val="center"/>
                </w:tcPr>
                <w:p w14:paraId="62FA2417">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设备噪声</w:t>
                  </w:r>
                </w:p>
              </w:tc>
              <w:tc>
                <w:tcPr>
                  <w:tcW w:w="549" w:type="pct"/>
                  <w:tcBorders>
                    <w:tl2br w:val="nil"/>
                    <w:tr2bl w:val="nil"/>
                  </w:tcBorders>
                  <w:noWrap w:val="0"/>
                  <w:vAlign w:val="center"/>
                </w:tcPr>
                <w:p w14:paraId="277E31B0">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p>
              </w:tc>
              <w:tc>
                <w:tcPr>
                  <w:tcW w:w="894" w:type="pct"/>
                  <w:tcBorders>
                    <w:tl2br w:val="nil"/>
                    <w:tr2bl w:val="nil"/>
                  </w:tcBorders>
                  <w:noWrap w:val="0"/>
                  <w:vAlign w:val="center"/>
                </w:tcPr>
                <w:p w14:paraId="0CEA4701">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噪声</w:t>
                  </w:r>
                </w:p>
              </w:tc>
              <w:tc>
                <w:tcPr>
                  <w:tcW w:w="2580" w:type="pct"/>
                  <w:tcBorders>
                    <w:tl2br w:val="nil"/>
                    <w:tr2bl w:val="nil"/>
                  </w:tcBorders>
                  <w:noWrap w:val="0"/>
                  <w:vAlign w:val="center"/>
                </w:tcPr>
                <w:p w14:paraId="2F188C70">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通过隔声、减振、距离衰减等措施降低设备噪声</w:t>
                  </w:r>
                </w:p>
              </w:tc>
            </w:tr>
            <w:tr w14:paraId="663712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restart"/>
                  <w:tcBorders>
                    <w:tl2br w:val="nil"/>
                    <w:tr2bl w:val="nil"/>
                  </w:tcBorders>
                  <w:noWrap w:val="0"/>
                  <w:vAlign w:val="center"/>
                </w:tcPr>
                <w:p w14:paraId="5C8071F3">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固废</w:t>
                  </w:r>
                </w:p>
              </w:tc>
              <w:tc>
                <w:tcPr>
                  <w:tcW w:w="601" w:type="pct"/>
                  <w:tcBorders>
                    <w:tl2br w:val="nil"/>
                    <w:tr2bl w:val="nil"/>
                  </w:tcBorders>
                  <w:noWrap w:val="0"/>
                  <w:vAlign w:val="center"/>
                </w:tcPr>
                <w:p w14:paraId="125E578C">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实验过程</w:t>
                  </w:r>
                </w:p>
              </w:tc>
              <w:tc>
                <w:tcPr>
                  <w:tcW w:w="549" w:type="pct"/>
                  <w:tcBorders>
                    <w:tl2br w:val="nil"/>
                    <w:tr2bl w:val="nil"/>
                  </w:tcBorders>
                  <w:noWrap w:val="0"/>
                  <w:vAlign w:val="center"/>
                </w:tcPr>
                <w:p w14:paraId="7128ED34">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894" w:type="pct"/>
                  <w:tcBorders>
                    <w:tl2br w:val="nil"/>
                    <w:tr2bl w:val="nil"/>
                  </w:tcBorders>
                  <w:noWrap w:val="0"/>
                  <w:vAlign w:val="center"/>
                </w:tcPr>
                <w:p w14:paraId="1B5251AA">
                  <w:pPr>
                    <w:keepNext w:val="0"/>
                    <w:keepLines w:val="0"/>
                    <w:widowControl/>
                    <w:suppressLineNumbers w:val="0"/>
                    <w:jc w:val="left"/>
                    <w:rPr>
                      <w:rFonts w:hint="default" w:ascii="Times New Roman" w:hAnsi="Times New Roman" w:eastAsia="宋体" w:cs="Times New Roman"/>
                      <w:sz w:val="18"/>
                      <w:szCs w:val="18"/>
                    </w:rPr>
                  </w:pPr>
                  <w:r>
                    <w:rPr>
                      <w:rFonts w:hint="default" w:ascii="Times New Roman" w:hAnsi="Times New Roman" w:eastAsia="宋体" w:cs="Times New Roman"/>
                      <w:color w:val="000000"/>
                      <w:kern w:val="0"/>
                      <w:sz w:val="18"/>
                      <w:szCs w:val="18"/>
                      <w:lang w:val="en-US" w:eastAsia="zh-CN" w:bidi="ar"/>
                    </w:rPr>
                    <w:t xml:space="preserve">实验废液（包括第 </w:t>
                  </w:r>
                </w:p>
                <w:p w14:paraId="273909F8">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一道清洗废水）</w:t>
                  </w:r>
                </w:p>
              </w:tc>
              <w:tc>
                <w:tcPr>
                  <w:tcW w:w="2580" w:type="pct"/>
                  <w:tcBorders>
                    <w:tl2br w:val="nil"/>
                    <w:tr2bl w:val="nil"/>
                  </w:tcBorders>
                  <w:noWrap w:val="0"/>
                  <w:vAlign w:val="center"/>
                </w:tcPr>
                <w:p w14:paraId="7D28CED8">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统一收集暂存于厂区10m</w:t>
                  </w:r>
                  <w:r>
                    <w:rPr>
                      <w:rFonts w:hint="default" w:ascii="Times New Roman" w:hAnsi="Times New Roman" w:eastAsia="宋体" w:cs="Times New Roman"/>
                      <w:color w:val="auto"/>
                      <w:sz w:val="18"/>
                      <w:szCs w:val="18"/>
                      <w:vertAlign w:val="superscript"/>
                      <w:lang w:val="en-US" w:eastAsia="zh-CN"/>
                    </w:rPr>
                    <w:t>2</w:t>
                  </w:r>
                  <w:r>
                    <w:rPr>
                      <w:rFonts w:hint="default" w:ascii="Times New Roman" w:hAnsi="Times New Roman" w:eastAsia="宋体" w:cs="Times New Roman"/>
                      <w:color w:val="auto"/>
                      <w:sz w:val="18"/>
                      <w:szCs w:val="18"/>
                      <w:lang w:val="en-US" w:eastAsia="zh-CN"/>
                    </w:rPr>
                    <w:t>一般固废暂存间，定期委托资源回收单位回收利用</w:t>
                  </w:r>
                </w:p>
              </w:tc>
            </w:tr>
            <w:tr w14:paraId="4CFC17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tcBorders>
                    <w:tl2br w:val="nil"/>
                    <w:tr2bl w:val="nil"/>
                  </w:tcBorders>
                  <w:noWrap w:val="0"/>
                  <w:vAlign w:val="center"/>
                </w:tcPr>
                <w:p w14:paraId="1A5A0611">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p>
              </w:tc>
              <w:tc>
                <w:tcPr>
                  <w:tcW w:w="601" w:type="pct"/>
                  <w:tcBorders>
                    <w:tl2br w:val="nil"/>
                    <w:tr2bl w:val="nil"/>
                  </w:tcBorders>
                  <w:noWrap w:val="0"/>
                  <w:vAlign w:val="center"/>
                </w:tcPr>
                <w:p w14:paraId="2BDDBB95">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实验过程</w:t>
                  </w:r>
                </w:p>
              </w:tc>
              <w:tc>
                <w:tcPr>
                  <w:tcW w:w="549" w:type="pct"/>
                  <w:tcBorders>
                    <w:tl2br w:val="nil"/>
                    <w:tr2bl w:val="nil"/>
                  </w:tcBorders>
                  <w:noWrap w:val="0"/>
                  <w:vAlign w:val="center"/>
                </w:tcPr>
                <w:p w14:paraId="5B50EC4A">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894" w:type="pct"/>
                  <w:tcBorders>
                    <w:tl2br w:val="nil"/>
                    <w:tr2bl w:val="nil"/>
                  </w:tcBorders>
                  <w:noWrap w:val="0"/>
                  <w:vAlign w:val="center"/>
                </w:tcPr>
                <w:p w14:paraId="46E1C234">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空瓶、包装物</w:t>
                  </w:r>
                </w:p>
              </w:tc>
              <w:tc>
                <w:tcPr>
                  <w:tcW w:w="2580" w:type="pct"/>
                  <w:vMerge w:val="restart"/>
                  <w:tcBorders>
                    <w:tl2br w:val="nil"/>
                    <w:tr2bl w:val="nil"/>
                  </w:tcBorders>
                  <w:noWrap w:val="0"/>
                  <w:vAlign w:val="center"/>
                </w:tcPr>
                <w:p w14:paraId="4D66A6EF">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统一收集暂存于厂区150m</w:t>
                  </w:r>
                  <w:r>
                    <w:rPr>
                      <w:rFonts w:hint="default" w:ascii="Times New Roman" w:hAnsi="Times New Roman" w:eastAsia="宋体" w:cs="Times New Roman"/>
                      <w:color w:val="auto"/>
                      <w:sz w:val="18"/>
                      <w:szCs w:val="18"/>
                      <w:vertAlign w:val="superscript"/>
                      <w:lang w:val="en-US" w:eastAsia="zh-CN"/>
                    </w:rPr>
                    <w:t>2</w:t>
                  </w:r>
                  <w:r>
                    <w:rPr>
                      <w:rFonts w:hint="default" w:ascii="Times New Roman" w:hAnsi="Times New Roman" w:eastAsia="宋体" w:cs="Times New Roman"/>
                      <w:color w:val="auto"/>
                      <w:sz w:val="18"/>
                      <w:szCs w:val="18"/>
                      <w:lang w:val="en-US" w:eastAsia="zh-CN"/>
                    </w:rPr>
                    <w:t>危废暂存间，定期委托有资质单位进行处置。</w:t>
                  </w:r>
                </w:p>
              </w:tc>
            </w:tr>
            <w:tr w14:paraId="7EE87A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tcBorders>
                    <w:tl2br w:val="nil"/>
                    <w:tr2bl w:val="nil"/>
                  </w:tcBorders>
                  <w:noWrap w:val="0"/>
                  <w:vAlign w:val="center"/>
                </w:tcPr>
                <w:p w14:paraId="76727527">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p>
              </w:tc>
              <w:tc>
                <w:tcPr>
                  <w:tcW w:w="601" w:type="pct"/>
                  <w:tcBorders>
                    <w:tl2br w:val="nil"/>
                    <w:tr2bl w:val="nil"/>
                  </w:tcBorders>
                  <w:noWrap w:val="0"/>
                  <w:vAlign w:val="center"/>
                </w:tcPr>
                <w:p w14:paraId="460FF9B6">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实验过程</w:t>
                  </w:r>
                </w:p>
              </w:tc>
              <w:tc>
                <w:tcPr>
                  <w:tcW w:w="549" w:type="pct"/>
                  <w:tcBorders>
                    <w:tl2br w:val="nil"/>
                    <w:tr2bl w:val="nil"/>
                  </w:tcBorders>
                  <w:noWrap w:val="0"/>
                  <w:vAlign w:val="center"/>
                </w:tcPr>
                <w:p w14:paraId="7211BEB6">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894" w:type="pct"/>
                  <w:tcBorders>
                    <w:tl2br w:val="nil"/>
                    <w:tr2bl w:val="nil"/>
                  </w:tcBorders>
                  <w:noWrap w:val="0"/>
                  <w:vAlign w:val="center"/>
                </w:tcPr>
                <w:p w14:paraId="372DAE08">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过期实验药剂</w:t>
                  </w:r>
                </w:p>
              </w:tc>
              <w:tc>
                <w:tcPr>
                  <w:tcW w:w="2580" w:type="pct"/>
                  <w:vMerge w:val="continue"/>
                  <w:tcBorders>
                    <w:tl2br w:val="nil"/>
                    <w:tr2bl w:val="nil"/>
                  </w:tcBorders>
                  <w:noWrap w:val="0"/>
                  <w:vAlign w:val="center"/>
                </w:tcPr>
                <w:p w14:paraId="3AD7A33F">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p>
              </w:tc>
            </w:tr>
            <w:tr w14:paraId="60CF5D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tcBorders>
                    <w:tl2br w:val="nil"/>
                    <w:tr2bl w:val="nil"/>
                  </w:tcBorders>
                  <w:noWrap w:val="0"/>
                  <w:vAlign w:val="center"/>
                </w:tcPr>
                <w:p w14:paraId="3E7A9C72">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p>
              </w:tc>
              <w:tc>
                <w:tcPr>
                  <w:tcW w:w="601" w:type="pct"/>
                  <w:tcBorders>
                    <w:tl2br w:val="nil"/>
                    <w:tr2bl w:val="nil"/>
                  </w:tcBorders>
                  <w:noWrap w:val="0"/>
                  <w:vAlign w:val="center"/>
                </w:tcPr>
                <w:p w14:paraId="5C895091">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废气处理</w:t>
                  </w:r>
                </w:p>
              </w:tc>
              <w:tc>
                <w:tcPr>
                  <w:tcW w:w="549" w:type="pct"/>
                  <w:tcBorders>
                    <w:tl2br w:val="nil"/>
                    <w:tr2bl w:val="nil"/>
                  </w:tcBorders>
                  <w:noWrap w:val="0"/>
                  <w:vAlign w:val="center"/>
                </w:tcPr>
                <w:p w14:paraId="64226331">
                  <w:pPr>
                    <w:pStyle w:val="43"/>
                    <w:pageBreakBefore w:val="0"/>
                    <w:kinsoku/>
                    <w:wordWrap/>
                    <w:topLinePunct w:val="0"/>
                    <w:bidi w:val="0"/>
                    <w:spacing w:after="0" w:afterLines="0"/>
                    <w:ind w:firstLine="0" w:firstLineChars="0"/>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894" w:type="pct"/>
                  <w:tcBorders>
                    <w:tl2br w:val="nil"/>
                    <w:tr2bl w:val="nil"/>
                  </w:tcBorders>
                  <w:noWrap w:val="0"/>
                  <w:vAlign w:val="center"/>
                </w:tcPr>
                <w:p w14:paraId="5958B656">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废活性炭</w:t>
                  </w:r>
                </w:p>
              </w:tc>
              <w:tc>
                <w:tcPr>
                  <w:tcW w:w="2580" w:type="pct"/>
                  <w:vMerge w:val="continue"/>
                  <w:tcBorders>
                    <w:tl2br w:val="nil"/>
                    <w:tr2bl w:val="nil"/>
                  </w:tcBorders>
                  <w:noWrap w:val="0"/>
                  <w:vAlign w:val="center"/>
                </w:tcPr>
                <w:p w14:paraId="4C3EBFA9">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p>
              </w:tc>
            </w:tr>
          </w:tbl>
          <w:p w14:paraId="2FD39F12">
            <w:pPr>
              <w:autoSpaceDE w:val="0"/>
              <w:autoSpaceDN w:val="0"/>
              <w:adjustRightInd w:val="0"/>
              <w:spacing w:line="360" w:lineRule="auto"/>
              <w:rPr>
                <w:rFonts w:eastAsia="宋体"/>
                <w:color w:val="auto"/>
              </w:rPr>
            </w:pPr>
          </w:p>
        </w:tc>
      </w:tr>
      <w:tr w14:paraId="0B6418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11" w:hRule="atLeast"/>
          <w:jc w:val="center"/>
        </w:trPr>
        <w:tc>
          <w:tcPr>
            <w:tcW w:w="426" w:type="dxa"/>
            <w:vAlign w:val="center"/>
          </w:tcPr>
          <w:p w14:paraId="146E10FE">
            <w:pPr>
              <w:jc w:val="center"/>
              <w:rPr>
                <w:color w:val="auto"/>
              </w:rPr>
            </w:pPr>
          </w:p>
          <w:p w14:paraId="575025C1">
            <w:pPr>
              <w:jc w:val="center"/>
              <w:rPr>
                <w:color w:val="auto"/>
              </w:rPr>
            </w:pPr>
          </w:p>
          <w:p w14:paraId="191701F6">
            <w:pPr>
              <w:jc w:val="center"/>
              <w:rPr>
                <w:color w:val="auto"/>
              </w:rPr>
            </w:pPr>
          </w:p>
          <w:p w14:paraId="0ABEA750">
            <w:pPr>
              <w:jc w:val="center"/>
              <w:rPr>
                <w:color w:val="auto"/>
              </w:rPr>
            </w:pPr>
          </w:p>
          <w:p w14:paraId="259C8594">
            <w:pPr>
              <w:jc w:val="center"/>
              <w:rPr>
                <w:color w:val="auto"/>
              </w:rPr>
            </w:pPr>
          </w:p>
          <w:p w14:paraId="184945DB">
            <w:pPr>
              <w:jc w:val="center"/>
              <w:rPr>
                <w:color w:val="auto"/>
              </w:rPr>
            </w:pPr>
          </w:p>
          <w:p w14:paraId="6BB53CC1">
            <w:pPr>
              <w:jc w:val="center"/>
              <w:rPr>
                <w:color w:val="auto"/>
              </w:rPr>
            </w:pPr>
          </w:p>
          <w:p w14:paraId="3662490B">
            <w:pPr>
              <w:jc w:val="center"/>
              <w:rPr>
                <w:color w:val="auto"/>
              </w:rPr>
            </w:pPr>
          </w:p>
          <w:p w14:paraId="5CE2B406">
            <w:pPr>
              <w:jc w:val="center"/>
              <w:rPr>
                <w:color w:val="auto"/>
              </w:rPr>
            </w:pPr>
          </w:p>
          <w:p w14:paraId="7F7DD8C8">
            <w:pPr>
              <w:jc w:val="center"/>
              <w:rPr>
                <w:color w:val="auto"/>
              </w:rPr>
            </w:pPr>
          </w:p>
          <w:p w14:paraId="4CD2E0B7">
            <w:pPr>
              <w:jc w:val="center"/>
              <w:rPr>
                <w:color w:val="auto"/>
              </w:rPr>
            </w:pPr>
          </w:p>
          <w:p w14:paraId="796E6A7A">
            <w:pPr>
              <w:rPr>
                <w:color w:val="auto"/>
              </w:rPr>
            </w:pPr>
          </w:p>
          <w:p w14:paraId="42D1AD69">
            <w:pPr>
              <w:jc w:val="center"/>
              <w:rPr>
                <w:color w:val="auto"/>
              </w:rPr>
            </w:pPr>
          </w:p>
          <w:p w14:paraId="26B1FABD">
            <w:pPr>
              <w:jc w:val="center"/>
              <w:rPr>
                <w:color w:val="auto"/>
              </w:rPr>
            </w:pPr>
          </w:p>
          <w:p w14:paraId="76AC9CFF">
            <w:pPr>
              <w:jc w:val="center"/>
              <w:rPr>
                <w:color w:val="auto"/>
              </w:rPr>
            </w:pPr>
          </w:p>
          <w:p w14:paraId="6CD5913C">
            <w:pPr>
              <w:jc w:val="center"/>
              <w:rPr>
                <w:color w:val="auto"/>
              </w:rPr>
            </w:pPr>
          </w:p>
          <w:p w14:paraId="07EBA763">
            <w:pPr>
              <w:jc w:val="center"/>
              <w:rPr>
                <w:color w:val="auto"/>
              </w:rPr>
            </w:pPr>
            <w:r>
              <w:rPr>
                <w:rFonts w:hint="eastAsia"/>
                <w:color w:val="auto"/>
              </w:rPr>
              <w:t>与项目有关的原有环境污染问题</w:t>
            </w:r>
          </w:p>
          <w:p w14:paraId="5754311B">
            <w:pPr>
              <w:pStyle w:val="12"/>
              <w:rPr>
                <w:color w:val="auto"/>
                <w:szCs w:val="21"/>
              </w:rPr>
            </w:pPr>
          </w:p>
          <w:p w14:paraId="7D817D04">
            <w:pPr>
              <w:pStyle w:val="12"/>
              <w:rPr>
                <w:color w:val="auto"/>
                <w:szCs w:val="21"/>
              </w:rPr>
            </w:pPr>
          </w:p>
          <w:p w14:paraId="323747AF">
            <w:pPr>
              <w:pStyle w:val="12"/>
              <w:rPr>
                <w:color w:val="auto"/>
                <w:szCs w:val="21"/>
              </w:rPr>
            </w:pPr>
          </w:p>
          <w:p w14:paraId="3CBC6240">
            <w:pPr>
              <w:pStyle w:val="12"/>
              <w:rPr>
                <w:color w:val="auto"/>
                <w:szCs w:val="21"/>
              </w:rPr>
            </w:pPr>
          </w:p>
          <w:p w14:paraId="1D149B05">
            <w:pPr>
              <w:pStyle w:val="12"/>
              <w:rPr>
                <w:color w:val="auto"/>
                <w:szCs w:val="21"/>
              </w:rPr>
            </w:pPr>
          </w:p>
          <w:p w14:paraId="50B3B728">
            <w:pPr>
              <w:pStyle w:val="12"/>
              <w:rPr>
                <w:color w:val="auto"/>
                <w:szCs w:val="21"/>
              </w:rPr>
            </w:pPr>
          </w:p>
          <w:p w14:paraId="352F2D34">
            <w:pPr>
              <w:pStyle w:val="12"/>
              <w:rPr>
                <w:color w:val="auto"/>
                <w:szCs w:val="21"/>
              </w:rPr>
            </w:pPr>
          </w:p>
          <w:p w14:paraId="4150BA66">
            <w:pPr>
              <w:pStyle w:val="12"/>
              <w:rPr>
                <w:color w:val="auto"/>
                <w:szCs w:val="21"/>
              </w:rPr>
            </w:pPr>
          </w:p>
          <w:p w14:paraId="32163A20">
            <w:pPr>
              <w:pStyle w:val="12"/>
              <w:rPr>
                <w:color w:val="auto"/>
                <w:szCs w:val="21"/>
              </w:rPr>
            </w:pPr>
          </w:p>
        </w:tc>
        <w:tc>
          <w:tcPr>
            <w:tcW w:w="9013" w:type="dxa"/>
            <w:vAlign w:val="center"/>
          </w:tcPr>
          <w:p w14:paraId="42F816C4">
            <w:pPr>
              <w:spacing w:line="360" w:lineRule="auto"/>
              <w:ind w:firstLine="480" w:firstLineChars="200"/>
              <w:rPr>
                <w:rFonts w:hint="default"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根据验收报告和排污许可执行报告。</w:t>
            </w:r>
          </w:p>
          <w:p w14:paraId="53ED5337">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1</w:t>
            </w:r>
            <w:r>
              <w:rPr>
                <w:rFonts w:hint="eastAsia" w:ascii="Times New Roman" w:hAnsi="Times New Roman" w:cs="Times New Roman"/>
                <w:color w:val="auto"/>
                <w:kern w:val="0"/>
                <w:sz w:val="24"/>
                <w:szCs w:val="24"/>
                <w:lang w:val="en-US" w:eastAsia="zh-CN"/>
              </w:rPr>
              <w:t xml:space="preserve">）废气 </w:t>
            </w:r>
          </w:p>
          <w:p w14:paraId="61A68550">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 xml:space="preserve">车间一微胶囊红磷阻燃剂投料、筛分、包装工序，含磷阻燃母粒投料 </w:t>
            </w:r>
            <w:r>
              <w:rPr>
                <w:rFonts w:hint="default" w:ascii="Times New Roman" w:hAnsi="Times New Roman" w:cs="Times New Roman"/>
                <w:color w:val="auto"/>
                <w:kern w:val="0"/>
                <w:sz w:val="24"/>
                <w:szCs w:val="24"/>
                <w:lang w:val="en-US" w:eastAsia="zh-CN"/>
              </w:rPr>
              <w:t>1</w:t>
            </w:r>
            <w:r>
              <w:rPr>
                <w:rFonts w:hint="eastAsia" w:ascii="Times New Roman" w:hAnsi="Times New Roman" w:cs="Times New Roman"/>
                <w:color w:val="auto"/>
                <w:kern w:val="0"/>
                <w:sz w:val="24"/>
                <w:szCs w:val="24"/>
                <w:lang w:val="en-US" w:eastAsia="zh-CN"/>
              </w:rPr>
              <w:t xml:space="preserve">、投料 </w:t>
            </w:r>
            <w:r>
              <w:rPr>
                <w:rFonts w:hint="default" w:ascii="Times New Roman" w:hAnsi="Times New Roman" w:cs="Times New Roman"/>
                <w:color w:val="auto"/>
                <w:kern w:val="0"/>
                <w:sz w:val="24"/>
                <w:szCs w:val="24"/>
                <w:lang w:val="en-US" w:eastAsia="zh-CN"/>
              </w:rPr>
              <w:t>2</w:t>
            </w:r>
            <w:r>
              <w:rPr>
                <w:rFonts w:hint="eastAsia" w:ascii="Times New Roman" w:hAnsi="Times New Roman" w:cs="Times New Roman"/>
                <w:color w:val="auto"/>
                <w:kern w:val="0"/>
                <w:sz w:val="24"/>
                <w:szCs w:val="24"/>
                <w:lang w:val="en-US" w:eastAsia="zh-CN"/>
              </w:rPr>
              <w:t xml:space="preserve">、筛分、包装工序废气设施出口颗粒物最大排放浓度 </w:t>
            </w:r>
            <w:r>
              <w:rPr>
                <w:rFonts w:hint="default" w:ascii="Times New Roman" w:hAnsi="Times New Roman" w:cs="Times New Roman"/>
                <w:color w:val="auto"/>
                <w:kern w:val="0"/>
                <w:sz w:val="24"/>
                <w:szCs w:val="24"/>
                <w:lang w:val="en-US" w:eastAsia="zh-CN"/>
              </w:rPr>
              <w:t>3.8mg/m3</w:t>
            </w:r>
            <w:r>
              <w:rPr>
                <w:rFonts w:hint="eastAsia" w:ascii="Times New Roman" w:hAnsi="Times New Roman" w:cs="Times New Roman"/>
                <w:color w:val="auto"/>
                <w:kern w:val="0"/>
                <w:sz w:val="24"/>
                <w:szCs w:val="24"/>
                <w:lang w:val="en-US" w:eastAsia="zh-CN"/>
              </w:rPr>
              <w:t>，最大排放速率</w:t>
            </w:r>
            <w:r>
              <w:rPr>
                <w:rFonts w:hint="default" w:ascii="Times New Roman" w:hAnsi="Times New Roman" w:cs="Times New Roman"/>
                <w:color w:val="auto"/>
                <w:kern w:val="0"/>
                <w:sz w:val="24"/>
                <w:szCs w:val="24"/>
                <w:lang w:val="en-US" w:eastAsia="zh-CN"/>
              </w:rPr>
              <w:t>5.86×10 -2kg/h</w:t>
            </w:r>
            <w:r>
              <w:rPr>
                <w:rFonts w:hint="eastAsia" w:ascii="Times New Roman" w:hAnsi="Times New Roman" w:cs="Times New Roman"/>
                <w:color w:val="auto"/>
                <w:kern w:val="0"/>
                <w:sz w:val="24"/>
                <w:szCs w:val="24"/>
                <w:lang w:val="en-US" w:eastAsia="zh-CN"/>
              </w:rPr>
              <w:t xml:space="preserve">，处理效率 </w:t>
            </w:r>
            <w:r>
              <w:rPr>
                <w:rFonts w:hint="default" w:ascii="Times New Roman" w:hAnsi="Times New Roman" w:cs="Times New Roman"/>
                <w:color w:val="auto"/>
                <w:kern w:val="0"/>
                <w:sz w:val="24"/>
                <w:szCs w:val="24"/>
                <w:lang w:val="en-US" w:eastAsia="zh-CN"/>
              </w:rPr>
              <w:t>95%</w:t>
            </w:r>
            <w:r>
              <w:rPr>
                <w:rFonts w:hint="eastAsia" w:ascii="Times New Roman" w:hAnsi="Times New Roman" w:cs="Times New Roman"/>
                <w:color w:val="auto"/>
                <w:kern w:val="0"/>
                <w:sz w:val="24"/>
                <w:szCs w:val="24"/>
                <w:lang w:val="en-US" w:eastAsia="zh-CN"/>
              </w:rPr>
              <w:t>，满足《大气污染物综合排放标准》</w:t>
            </w:r>
            <w:r>
              <w:rPr>
                <w:rFonts w:hint="default" w:ascii="Times New Roman" w:hAnsi="Times New Roman" w:cs="Times New Roman"/>
                <w:color w:val="auto"/>
                <w:kern w:val="0"/>
                <w:sz w:val="24"/>
                <w:szCs w:val="24"/>
                <w:lang w:val="en-US" w:eastAsia="zh-CN"/>
              </w:rPr>
              <w:t xml:space="preserve">GB16297-1996 </w:t>
            </w:r>
            <w:r>
              <w:rPr>
                <w:rFonts w:hint="eastAsia" w:ascii="Times New Roman" w:hAnsi="Times New Roman" w:cs="Times New Roman"/>
                <w:color w:val="auto"/>
                <w:kern w:val="0"/>
                <w:sz w:val="24"/>
                <w:szCs w:val="24"/>
                <w:lang w:val="en-US" w:eastAsia="zh-CN"/>
              </w:rPr>
              <w:t xml:space="preserve">标准限值要求（浓度限值 </w:t>
            </w:r>
            <w:r>
              <w:rPr>
                <w:rFonts w:hint="default" w:ascii="Times New Roman" w:hAnsi="Times New Roman" w:cs="Times New Roman"/>
                <w:color w:val="auto"/>
                <w:kern w:val="0"/>
                <w:sz w:val="24"/>
                <w:szCs w:val="24"/>
                <w:lang w:val="en-US" w:eastAsia="zh-CN"/>
              </w:rPr>
              <w:t>20mg/m3</w:t>
            </w:r>
            <w:r>
              <w:rPr>
                <w:rFonts w:hint="eastAsia" w:ascii="Times New Roman" w:hAnsi="Times New Roman" w:cs="Times New Roman"/>
                <w:color w:val="auto"/>
                <w:kern w:val="0"/>
                <w:sz w:val="24"/>
                <w:szCs w:val="24"/>
                <w:lang w:val="en-US" w:eastAsia="zh-CN"/>
              </w:rPr>
              <w:t xml:space="preserve">、速率限值 </w:t>
            </w:r>
            <w:r>
              <w:rPr>
                <w:rFonts w:hint="default" w:ascii="Times New Roman" w:hAnsi="Times New Roman" w:cs="Times New Roman"/>
                <w:color w:val="auto"/>
                <w:kern w:val="0"/>
                <w:sz w:val="24"/>
                <w:szCs w:val="24"/>
                <w:lang w:val="en-US" w:eastAsia="zh-CN"/>
              </w:rPr>
              <w:t>3.5kg/h</w:t>
            </w:r>
            <w:r>
              <w:rPr>
                <w:rFonts w:hint="eastAsia" w:ascii="Times New Roman" w:hAnsi="Times New Roman" w:cs="Times New Roman"/>
                <w:color w:val="auto"/>
                <w:kern w:val="0"/>
                <w:sz w:val="24"/>
                <w:szCs w:val="24"/>
                <w:lang w:val="en-US" w:eastAsia="zh-CN"/>
              </w:rPr>
              <w:t xml:space="preserve">）。车间一微胶囊红磷阻燃剂反应、搅拌、固液分离、干燥工序，含磷阻燃母粒（氢氧化铝及氢氧化镁）造粒工序，车间二复合阻燃剂干燥工序，不含磷阻燃母粒造粒工序，危废库有机废气设施出口颗粒物最大排放浓度 </w:t>
            </w:r>
            <w:r>
              <w:rPr>
                <w:rFonts w:hint="default" w:ascii="Times New Roman" w:hAnsi="Times New Roman" w:cs="Times New Roman"/>
                <w:color w:val="auto"/>
                <w:kern w:val="0"/>
                <w:sz w:val="24"/>
                <w:szCs w:val="24"/>
                <w:lang w:val="en-US" w:eastAsia="zh-CN"/>
              </w:rPr>
              <w:t>3.6mg/m3</w:t>
            </w:r>
            <w:r>
              <w:rPr>
                <w:rFonts w:hint="eastAsia" w:ascii="Times New Roman" w:hAnsi="Times New Roman" w:cs="Times New Roman"/>
                <w:color w:val="auto"/>
                <w:kern w:val="0"/>
                <w:sz w:val="24"/>
                <w:szCs w:val="24"/>
                <w:lang w:val="en-US" w:eastAsia="zh-CN"/>
              </w:rPr>
              <w:t>，最大排放速率</w:t>
            </w:r>
            <w:r>
              <w:rPr>
                <w:rFonts w:hint="default" w:ascii="Times New Roman" w:hAnsi="Times New Roman" w:cs="Times New Roman"/>
                <w:color w:val="auto"/>
                <w:kern w:val="0"/>
                <w:sz w:val="24"/>
                <w:szCs w:val="24"/>
                <w:lang w:val="en-US" w:eastAsia="zh-CN"/>
              </w:rPr>
              <w:t>5.31×10 -2kg/h</w:t>
            </w:r>
            <w:r>
              <w:rPr>
                <w:rFonts w:hint="eastAsia" w:ascii="Times New Roman" w:hAnsi="Times New Roman" w:cs="Times New Roman"/>
                <w:color w:val="auto"/>
                <w:kern w:val="0"/>
                <w:sz w:val="24"/>
                <w:szCs w:val="24"/>
                <w:lang w:val="en-US" w:eastAsia="zh-CN"/>
              </w:rPr>
              <w:t xml:space="preserve">，处理效率 </w:t>
            </w:r>
            <w:r>
              <w:rPr>
                <w:rFonts w:hint="default" w:ascii="Times New Roman" w:hAnsi="Times New Roman" w:cs="Times New Roman"/>
                <w:color w:val="auto"/>
                <w:kern w:val="0"/>
                <w:sz w:val="24"/>
                <w:szCs w:val="24"/>
                <w:lang w:val="en-US" w:eastAsia="zh-CN"/>
              </w:rPr>
              <w:t>95%</w:t>
            </w:r>
            <w:r>
              <w:rPr>
                <w:rFonts w:hint="eastAsia" w:ascii="Times New Roman" w:hAnsi="Times New Roman" w:cs="Times New Roman"/>
                <w:color w:val="auto"/>
                <w:kern w:val="0"/>
                <w:sz w:val="24"/>
                <w:szCs w:val="24"/>
                <w:lang w:val="en-US" w:eastAsia="zh-CN"/>
              </w:rPr>
              <w:t>，满足《大气污染物排放标准》（</w:t>
            </w:r>
            <w:r>
              <w:rPr>
                <w:rFonts w:hint="default" w:ascii="Times New Roman" w:hAnsi="Times New Roman" w:cs="Times New Roman"/>
                <w:color w:val="auto"/>
                <w:kern w:val="0"/>
                <w:sz w:val="24"/>
                <w:szCs w:val="24"/>
                <w:lang w:val="en-US" w:eastAsia="zh-CN"/>
              </w:rPr>
              <w:t>GB16297-1996</w:t>
            </w:r>
            <w:r>
              <w:rPr>
                <w:rFonts w:hint="eastAsia" w:ascii="Times New Roman" w:hAnsi="Times New Roman" w:cs="Times New Roman"/>
                <w:color w:val="auto"/>
                <w:kern w:val="0"/>
                <w:sz w:val="24"/>
                <w:szCs w:val="24"/>
                <w:lang w:val="en-US" w:eastAsia="zh-CN"/>
              </w:rPr>
              <w:t xml:space="preserve">）表 </w:t>
            </w:r>
            <w:r>
              <w:rPr>
                <w:rFonts w:hint="default" w:ascii="Times New Roman" w:hAnsi="Times New Roman" w:cs="Times New Roman"/>
                <w:color w:val="auto"/>
                <w:kern w:val="0"/>
                <w:sz w:val="24"/>
                <w:szCs w:val="24"/>
                <w:lang w:val="en-US" w:eastAsia="zh-CN"/>
              </w:rPr>
              <w:t xml:space="preserve">2 </w:t>
            </w:r>
            <w:r>
              <w:rPr>
                <w:rFonts w:hint="eastAsia" w:ascii="Times New Roman" w:hAnsi="Times New Roman" w:cs="Times New Roman"/>
                <w:color w:val="auto"/>
                <w:kern w:val="0"/>
                <w:sz w:val="24"/>
                <w:szCs w:val="24"/>
                <w:lang w:val="en-US" w:eastAsia="zh-CN"/>
              </w:rPr>
              <w:t xml:space="preserve">中的二级标准限值（浓度限值 </w:t>
            </w:r>
            <w:r>
              <w:rPr>
                <w:rFonts w:hint="default" w:ascii="Times New Roman" w:hAnsi="Times New Roman" w:cs="Times New Roman"/>
                <w:color w:val="auto"/>
                <w:kern w:val="0"/>
                <w:sz w:val="24"/>
                <w:szCs w:val="24"/>
                <w:lang w:val="en-US" w:eastAsia="zh-CN"/>
              </w:rPr>
              <w:t>20mg/m3</w:t>
            </w:r>
            <w:r>
              <w:rPr>
                <w:rFonts w:hint="eastAsia" w:ascii="Times New Roman" w:hAnsi="Times New Roman" w:cs="Times New Roman"/>
                <w:color w:val="auto"/>
                <w:kern w:val="0"/>
                <w:sz w:val="24"/>
                <w:szCs w:val="24"/>
                <w:lang w:val="en-US" w:eastAsia="zh-CN"/>
              </w:rPr>
              <w:t xml:space="preserve">、速率限值 </w:t>
            </w:r>
            <w:r>
              <w:rPr>
                <w:rFonts w:hint="default" w:ascii="Times New Roman" w:hAnsi="Times New Roman" w:cs="Times New Roman"/>
                <w:color w:val="auto"/>
                <w:kern w:val="0"/>
                <w:sz w:val="24"/>
                <w:szCs w:val="24"/>
                <w:lang w:val="en-US" w:eastAsia="zh-CN"/>
              </w:rPr>
              <w:t>3.5kg/h</w:t>
            </w:r>
            <w:r>
              <w:rPr>
                <w:rFonts w:hint="eastAsia" w:ascii="Times New Roman" w:hAnsi="Times New Roman" w:cs="Times New Roman"/>
                <w:color w:val="auto"/>
                <w:kern w:val="0"/>
                <w:sz w:val="24"/>
                <w:szCs w:val="24"/>
                <w:lang w:val="en-US" w:eastAsia="zh-CN"/>
              </w:rPr>
              <w:t>）；非甲烷总烃最大排放浓度</w:t>
            </w:r>
            <w:r>
              <w:rPr>
                <w:rFonts w:hint="default" w:ascii="Times New Roman" w:hAnsi="Times New Roman" w:cs="Times New Roman"/>
                <w:color w:val="auto"/>
                <w:kern w:val="0"/>
                <w:sz w:val="24"/>
                <w:szCs w:val="24"/>
                <w:lang w:val="en-US" w:eastAsia="zh-CN"/>
              </w:rPr>
              <w:t>4.94mg/m3</w:t>
            </w:r>
            <w:r>
              <w:rPr>
                <w:rFonts w:hint="eastAsia" w:ascii="Times New Roman" w:hAnsi="Times New Roman" w:cs="Times New Roman"/>
                <w:color w:val="auto"/>
                <w:kern w:val="0"/>
                <w:sz w:val="24"/>
                <w:szCs w:val="24"/>
                <w:lang w:val="en-US" w:eastAsia="zh-CN"/>
              </w:rPr>
              <w:t xml:space="preserve">，最大排放速率 </w:t>
            </w:r>
            <w:r>
              <w:rPr>
                <w:rFonts w:hint="default" w:ascii="Times New Roman" w:hAnsi="Times New Roman" w:cs="Times New Roman"/>
                <w:color w:val="auto"/>
                <w:kern w:val="0"/>
                <w:sz w:val="24"/>
                <w:szCs w:val="24"/>
                <w:lang w:val="en-US" w:eastAsia="zh-CN"/>
              </w:rPr>
              <w:t>7.29×10 -2kg/h</w:t>
            </w:r>
            <w:r>
              <w:rPr>
                <w:rFonts w:hint="eastAsia" w:ascii="Times New Roman" w:hAnsi="Times New Roman" w:cs="Times New Roman"/>
                <w:color w:val="auto"/>
                <w:kern w:val="0"/>
                <w:sz w:val="24"/>
                <w:szCs w:val="24"/>
                <w:lang w:val="en-US" w:eastAsia="zh-CN"/>
              </w:rPr>
              <w:t xml:space="preserve">，处理效率 </w:t>
            </w:r>
            <w:r>
              <w:rPr>
                <w:rFonts w:hint="default" w:ascii="Times New Roman" w:hAnsi="Times New Roman" w:cs="Times New Roman"/>
                <w:color w:val="auto"/>
                <w:kern w:val="0"/>
                <w:sz w:val="24"/>
                <w:szCs w:val="24"/>
                <w:lang w:val="en-US" w:eastAsia="zh-CN"/>
              </w:rPr>
              <w:t>92%</w:t>
            </w:r>
            <w:r>
              <w:rPr>
                <w:rFonts w:hint="eastAsia" w:ascii="Times New Roman" w:hAnsi="Times New Roman" w:cs="Times New Roman"/>
                <w:color w:val="auto"/>
                <w:kern w:val="0"/>
                <w:sz w:val="24"/>
                <w:szCs w:val="24"/>
                <w:lang w:val="en-US" w:eastAsia="zh-CN"/>
              </w:rPr>
              <w:t>，满足天津市《工业企业挥发性有机物排放标准》（</w:t>
            </w:r>
            <w:r>
              <w:rPr>
                <w:rFonts w:hint="default" w:ascii="Times New Roman" w:hAnsi="Times New Roman" w:cs="Times New Roman"/>
                <w:color w:val="auto"/>
                <w:kern w:val="0"/>
                <w:sz w:val="24"/>
                <w:szCs w:val="24"/>
                <w:lang w:val="en-US" w:eastAsia="zh-CN"/>
              </w:rPr>
              <w:t>DB12/524-2014</w:t>
            </w:r>
            <w:r>
              <w:rPr>
                <w:rFonts w:hint="eastAsia" w:ascii="Times New Roman" w:hAnsi="Times New Roman" w:cs="Times New Roman"/>
                <w:color w:val="auto"/>
                <w:kern w:val="0"/>
                <w:sz w:val="24"/>
                <w:szCs w:val="24"/>
                <w:lang w:val="en-US" w:eastAsia="zh-CN"/>
              </w:rPr>
              <w:t xml:space="preserve">）表 </w:t>
            </w:r>
            <w:r>
              <w:rPr>
                <w:rFonts w:hint="default" w:ascii="Times New Roman" w:hAnsi="Times New Roman" w:cs="Times New Roman"/>
                <w:color w:val="auto"/>
                <w:kern w:val="0"/>
                <w:sz w:val="24"/>
                <w:szCs w:val="24"/>
                <w:lang w:val="en-US" w:eastAsia="zh-CN"/>
              </w:rPr>
              <w:t xml:space="preserve">2 </w:t>
            </w:r>
            <w:r>
              <w:rPr>
                <w:rFonts w:hint="eastAsia" w:ascii="Times New Roman" w:hAnsi="Times New Roman" w:cs="Times New Roman"/>
                <w:color w:val="auto"/>
                <w:kern w:val="0"/>
                <w:sz w:val="24"/>
                <w:szCs w:val="24"/>
                <w:lang w:val="en-US" w:eastAsia="zh-CN"/>
              </w:rPr>
              <w:t xml:space="preserve">中其他行业污染物排放限值标准（浓度限值 </w:t>
            </w:r>
            <w:r>
              <w:rPr>
                <w:rFonts w:hint="default" w:ascii="Times New Roman" w:hAnsi="Times New Roman" w:cs="Times New Roman"/>
                <w:color w:val="auto"/>
                <w:kern w:val="0"/>
                <w:sz w:val="24"/>
                <w:szCs w:val="24"/>
                <w:lang w:val="en-US" w:eastAsia="zh-CN"/>
              </w:rPr>
              <w:t>80mg/m3</w:t>
            </w:r>
            <w:r>
              <w:rPr>
                <w:rFonts w:hint="eastAsia" w:ascii="Times New Roman" w:hAnsi="Times New Roman" w:cs="Times New Roman"/>
                <w:color w:val="auto"/>
                <w:kern w:val="0"/>
                <w:sz w:val="24"/>
                <w:szCs w:val="24"/>
                <w:lang w:val="en-US" w:eastAsia="zh-CN"/>
              </w:rPr>
              <w:t xml:space="preserve">、速率限值 </w:t>
            </w:r>
            <w:r>
              <w:rPr>
                <w:rFonts w:hint="default" w:ascii="Times New Roman" w:hAnsi="Times New Roman" w:cs="Times New Roman"/>
                <w:color w:val="auto"/>
                <w:kern w:val="0"/>
                <w:sz w:val="24"/>
                <w:szCs w:val="24"/>
                <w:lang w:val="en-US" w:eastAsia="zh-CN"/>
              </w:rPr>
              <w:t>2kg/h</w:t>
            </w:r>
            <w:r>
              <w:rPr>
                <w:rFonts w:hint="eastAsia" w:ascii="Times New Roman" w:hAnsi="Times New Roman" w:cs="Times New Roman"/>
                <w:color w:val="auto"/>
                <w:kern w:val="0"/>
                <w:sz w:val="24"/>
                <w:szCs w:val="24"/>
                <w:lang w:val="en-US" w:eastAsia="zh-CN"/>
              </w:rPr>
              <w:t xml:space="preserve">）；甲醛最大排放浓度 </w:t>
            </w:r>
            <w:r>
              <w:rPr>
                <w:rFonts w:hint="default" w:ascii="Times New Roman" w:hAnsi="Times New Roman" w:cs="Times New Roman"/>
                <w:color w:val="auto"/>
                <w:kern w:val="0"/>
                <w:sz w:val="24"/>
                <w:szCs w:val="24"/>
                <w:lang w:val="en-US" w:eastAsia="zh-CN"/>
              </w:rPr>
              <w:t>0.584mg/m3</w:t>
            </w:r>
            <w:r>
              <w:rPr>
                <w:rFonts w:hint="eastAsia" w:ascii="Times New Roman" w:hAnsi="Times New Roman" w:cs="Times New Roman"/>
                <w:color w:val="auto"/>
                <w:kern w:val="0"/>
                <w:sz w:val="24"/>
                <w:szCs w:val="24"/>
                <w:lang w:val="en-US" w:eastAsia="zh-CN"/>
              </w:rPr>
              <w:t>，最大排放速率</w:t>
            </w:r>
            <w:r>
              <w:rPr>
                <w:rFonts w:hint="default" w:ascii="Times New Roman" w:hAnsi="Times New Roman" w:cs="Times New Roman"/>
                <w:color w:val="auto"/>
                <w:kern w:val="0"/>
                <w:sz w:val="24"/>
                <w:szCs w:val="24"/>
                <w:lang w:val="en-US" w:eastAsia="zh-CN"/>
              </w:rPr>
              <w:t>8.60×10 -3kg/h</w:t>
            </w:r>
            <w:r>
              <w:rPr>
                <w:rFonts w:hint="eastAsia" w:ascii="Times New Roman" w:hAnsi="Times New Roman" w:cs="Times New Roman"/>
                <w:color w:val="auto"/>
                <w:kern w:val="0"/>
                <w:sz w:val="24"/>
                <w:szCs w:val="24"/>
                <w:lang w:val="en-US" w:eastAsia="zh-CN"/>
              </w:rPr>
              <w:t xml:space="preserve">，处理效率 </w:t>
            </w:r>
            <w:r>
              <w:rPr>
                <w:rFonts w:hint="default" w:ascii="Times New Roman" w:hAnsi="Times New Roman" w:cs="Times New Roman"/>
                <w:color w:val="auto"/>
                <w:kern w:val="0"/>
                <w:sz w:val="24"/>
                <w:szCs w:val="24"/>
                <w:lang w:val="en-US" w:eastAsia="zh-CN"/>
              </w:rPr>
              <w:t>87%</w:t>
            </w:r>
            <w:r>
              <w:rPr>
                <w:rFonts w:hint="eastAsia" w:ascii="Times New Roman" w:hAnsi="Times New Roman" w:cs="Times New Roman"/>
                <w:color w:val="auto"/>
                <w:kern w:val="0"/>
                <w:sz w:val="24"/>
                <w:szCs w:val="24"/>
                <w:lang w:val="en-US" w:eastAsia="zh-CN"/>
              </w:rPr>
              <w:t>，满足《合成树脂工业污染物排（</w:t>
            </w:r>
            <w:r>
              <w:rPr>
                <w:rFonts w:hint="default" w:ascii="Times New Roman" w:hAnsi="Times New Roman" w:cs="Times New Roman"/>
                <w:color w:val="auto"/>
                <w:kern w:val="0"/>
                <w:sz w:val="24"/>
                <w:szCs w:val="24"/>
                <w:lang w:val="en-US" w:eastAsia="zh-CN"/>
              </w:rPr>
              <w:t>GB31572-2015</w:t>
            </w:r>
            <w:r>
              <w:rPr>
                <w:rFonts w:hint="eastAsia" w:ascii="Times New Roman" w:hAnsi="Times New Roman" w:cs="Times New Roman"/>
                <w:color w:val="auto"/>
                <w:kern w:val="0"/>
                <w:sz w:val="24"/>
                <w:szCs w:val="24"/>
                <w:lang w:val="en-US" w:eastAsia="zh-CN"/>
              </w:rPr>
              <w:t xml:space="preserve">）表 </w:t>
            </w:r>
            <w:r>
              <w:rPr>
                <w:rFonts w:hint="default" w:ascii="Times New Roman" w:hAnsi="Times New Roman" w:cs="Times New Roman"/>
                <w:color w:val="auto"/>
                <w:kern w:val="0"/>
                <w:sz w:val="24"/>
                <w:szCs w:val="24"/>
                <w:lang w:val="en-US" w:eastAsia="zh-CN"/>
              </w:rPr>
              <w:t xml:space="preserve">4 </w:t>
            </w:r>
            <w:r>
              <w:rPr>
                <w:rFonts w:hint="eastAsia" w:ascii="Times New Roman" w:hAnsi="Times New Roman" w:cs="Times New Roman"/>
                <w:color w:val="auto"/>
                <w:kern w:val="0"/>
                <w:sz w:val="24"/>
                <w:szCs w:val="24"/>
                <w:lang w:val="en-US" w:eastAsia="zh-CN"/>
              </w:rPr>
              <w:t xml:space="preserve">中的排放限值标准（浓度限值 </w:t>
            </w:r>
            <w:r>
              <w:rPr>
                <w:rFonts w:hint="default" w:ascii="Times New Roman" w:hAnsi="Times New Roman" w:cs="Times New Roman"/>
                <w:color w:val="auto"/>
                <w:kern w:val="0"/>
                <w:sz w:val="24"/>
                <w:szCs w:val="24"/>
                <w:lang w:val="en-US" w:eastAsia="zh-CN"/>
              </w:rPr>
              <w:t>5mg/m3</w:t>
            </w:r>
            <w:r>
              <w:rPr>
                <w:rFonts w:hint="eastAsia" w:ascii="Times New Roman" w:hAnsi="Times New Roman" w:cs="Times New Roman"/>
                <w:color w:val="auto"/>
                <w:kern w:val="0"/>
                <w:sz w:val="24"/>
                <w:szCs w:val="24"/>
                <w:lang w:val="en-US" w:eastAsia="zh-CN"/>
              </w:rPr>
              <w:t xml:space="preserve">）。 </w:t>
            </w:r>
          </w:p>
          <w:p w14:paraId="122F706B">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车间二纳米阻燃剂（氢氧化铝）投料、干燥、包装工序，复合阻燃剂投料、包装工序，不含磷阻燃母粒投料、包装工序产生的粉尘出口颗粒物最大排放浓度</w:t>
            </w:r>
            <w:r>
              <w:rPr>
                <w:rFonts w:hint="default" w:ascii="Times New Roman" w:hAnsi="Times New Roman" w:cs="Times New Roman"/>
                <w:color w:val="auto"/>
                <w:kern w:val="0"/>
                <w:sz w:val="24"/>
                <w:szCs w:val="24"/>
                <w:lang w:val="en-US" w:eastAsia="zh-CN"/>
              </w:rPr>
              <w:t>3.5mg/m3</w:t>
            </w:r>
            <w:r>
              <w:rPr>
                <w:rFonts w:hint="eastAsia" w:ascii="Times New Roman" w:hAnsi="Times New Roman" w:cs="Times New Roman"/>
                <w:color w:val="auto"/>
                <w:kern w:val="0"/>
                <w:sz w:val="24"/>
                <w:szCs w:val="24"/>
                <w:lang w:val="en-US" w:eastAsia="zh-CN"/>
              </w:rPr>
              <w:t xml:space="preserve">，最大排放速率 </w:t>
            </w:r>
            <w:r>
              <w:rPr>
                <w:rFonts w:hint="default" w:ascii="Times New Roman" w:hAnsi="Times New Roman" w:cs="Times New Roman"/>
                <w:color w:val="auto"/>
                <w:kern w:val="0"/>
                <w:sz w:val="24"/>
                <w:szCs w:val="24"/>
                <w:lang w:val="en-US" w:eastAsia="zh-CN"/>
              </w:rPr>
              <w:t>4.31×10 -2kg/h</w:t>
            </w:r>
            <w:r>
              <w:rPr>
                <w:rFonts w:hint="eastAsia" w:ascii="Times New Roman" w:hAnsi="Times New Roman" w:cs="Times New Roman"/>
                <w:color w:val="auto"/>
                <w:kern w:val="0"/>
                <w:sz w:val="24"/>
                <w:szCs w:val="24"/>
                <w:lang w:val="en-US" w:eastAsia="zh-CN"/>
              </w:rPr>
              <w:t xml:space="preserve">，处理效率 </w:t>
            </w:r>
            <w:r>
              <w:rPr>
                <w:rFonts w:hint="default" w:ascii="Times New Roman" w:hAnsi="Times New Roman" w:cs="Times New Roman"/>
                <w:color w:val="auto"/>
                <w:kern w:val="0"/>
                <w:sz w:val="24"/>
                <w:szCs w:val="24"/>
                <w:lang w:val="en-US" w:eastAsia="zh-CN"/>
              </w:rPr>
              <w:t>94%</w:t>
            </w:r>
            <w:r>
              <w:rPr>
                <w:rFonts w:hint="eastAsia" w:ascii="Times New Roman" w:hAnsi="Times New Roman" w:cs="Times New Roman"/>
                <w:color w:val="auto"/>
                <w:kern w:val="0"/>
                <w:sz w:val="24"/>
                <w:szCs w:val="24"/>
                <w:lang w:val="en-US" w:eastAsia="zh-CN"/>
              </w:rPr>
              <w:t>，满足《大气污染物排放标准》（</w:t>
            </w:r>
            <w:r>
              <w:rPr>
                <w:rFonts w:hint="default" w:ascii="Times New Roman" w:hAnsi="Times New Roman" w:cs="Times New Roman"/>
                <w:color w:val="auto"/>
                <w:kern w:val="0"/>
                <w:sz w:val="24"/>
                <w:szCs w:val="24"/>
                <w:lang w:val="en-US" w:eastAsia="zh-CN"/>
              </w:rPr>
              <w:t>GB16297-1996</w:t>
            </w:r>
            <w:r>
              <w:rPr>
                <w:rFonts w:hint="eastAsia" w:ascii="Times New Roman" w:hAnsi="Times New Roman" w:cs="Times New Roman"/>
                <w:color w:val="auto"/>
                <w:kern w:val="0"/>
                <w:sz w:val="24"/>
                <w:szCs w:val="24"/>
                <w:lang w:val="en-US" w:eastAsia="zh-CN"/>
              </w:rPr>
              <w:t xml:space="preserve">）表 </w:t>
            </w:r>
            <w:r>
              <w:rPr>
                <w:rFonts w:hint="default" w:ascii="Times New Roman" w:hAnsi="Times New Roman" w:cs="Times New Roman"/>
                <w:color w:val="auto"/>
                <w:kern w:val="0"/>
                <w:sz w:val="24"/>
                <w:szCs w:val="24"/>
                <w:lang w:val="en-US" w:eastAsia="zh-CN"/>
              </w:rPr>
              <w:t xml:space="preserve">2 </w:t>
            </w:r>
            <w:r>
              <w:rPr>
                <w:rFonts w:hint="eastAsia" w:ascii="Times New Roman" w:hAnsi="Times New Roman" w:cs="Times New Roman"/>
                <w:color w:val="auto"/>
                <w:kern w:val="0"/>
                <w:sz w:val="24"/>
                <w:szCs w:val="24"/>
                <w:lang w:val="en-US" w:eastAsia="zh-CN"/>
              </w:rPr>
              <w:t xml:space="preserve">中的二级标准限值（浓度限值 </w:t>
            </w:r>
            <w:r>
              <w:rPr>
                <w:rFonts w:hint="default" w:ascii="Times New Roman" w:hAnsi="Times New Roman" w:cs="Times New Roman"/>
                <w:color w:val="auto"/>
                <w:kern w:val="0"/>
                <w:sz w:val="24"/>
                <w:szCs w:val="24"/>
                <w:lang w:val="en-US" w:eastAsia="zh-CN"/>
              </w:rPr>
              <w:t>20mg/m3</w:t>
            </w:r>
            <w:r>
              <w:rPr>
                <w:rFonts w:hint="eastAsia" w:ascii="Times New Roman" w:hAnsi="Times New Roman" w:cs="Times New Roman"/>
                <w:color w:val="auto"/>
                <w:kern w:val="0"/>
                <w:sz w:val="24"/>
                <w:szCs w:val="24"/>
                <w:lang w:val="en-US" w:eastAsia="zh-CN"/>
              </w:rPr>
              <w:t xml:space="preserve">、速率限值 </w:t>
            </w:r>
            <w:r>
              <w:rPr>
                <w:rFonts w:hint="default" w:ascii="Times New Roman" w:hAnsi="Times New Roman" w:cs="Times New Roman"/>
                <w:color w:val="auto"/>
                <w:kern w:val="0"/>
                <w:sz w:val="24"/>
                <w:szCs w:val="24"/>
                <w:lang w:val="en-US" w:eastAsia="zh-CN"/>
              </w:rPr>
              <w:t>3.5kg/h</w:t>
            </w:r>
            <w:r>
              <w:rPr>
                <w:rFonts w:hint="eastAsia" w:ascii="Times New Roman" w:hAnsi="Times New Roman" w:cs="Times New Roman"/>
                <w:color w:val="auto"/>
                <w:kern w:val="0"/>
                <w:sz w:val="24"/>
                <w:szCs w:val="24"/>
                <w:lang w:val="en-US" w:eastAsia="zh-CN"/>
              </w:rPr>
              <w:t xml:space="preserve">）。 </w:t>
            </w:r>
          </w:p>
          <w:p w14:paraId="5629FD1E">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 xml:space="preserve">污水处理站废气设施出口硫化氢最大排放浓度 </w:t>
            </w:r>
            <w:r>
              <w:rPr>
                <w:rFonts w:hint="default" w:ascii="Times New Roman" w:hAnsi="Times New Roman" w:cs="Times New Roman"/>
                <w:color w:val="auto"/>
                <w:kern w:val="0"/>
                <w:sz w:val="24"/>
                <w:szCs w:val="24"/>
                <w:lang w:val="en-US" w:eastAsia="zh-CN"/>
              </w:rPr>
              <w:t>0.08mg/m3</w:t>
            </w:r>
            <w:r>
              <w:rPr>
                <w:rFonts w:hint="eastAsia" w:ascii="Times New Roman" w:hAnsi="Times New Roman" w:cs="Times New Roman"/>
                <w:color w:val="auto"/>
                <w:kern w:val="0"/>
                <w:sz w:val="24"/>
                <w:szCs w:val="24"/>
                <w:lang w:val="en-US" w:eastAsia="zh-CN"/>
              </w:rPr>
              <w:t xml:space="preserve">，最大排放速率 </w:t>
            </w:r>
            <w:r>
              <w:rPr>
                <w:rFonts w:hint="default" w:ascii="Times New Roman" w:hAnsi="Times New Roman" w:cs="Times New Roman"/>
                <w:color w:val="auto"/>
                <w:kern w:val="0"/>
                <w:sz w:val="24"/>
                <w:szCs w:val="24"/>
                <w:lang w:val="en-US" w:eastAsia="zh-CN"/>
              </w:rPr>
              <w:t>4.64×10 -4kg/h</w:t>
            </w:r>
            <w:r>
              <w:rPr>
                <w:rFonts w:hint="eastAsia" w:ascii="Times New Roman" w:hAnsi="Times New Roman" w:cs="Times New Roman"/>
                <w:color w:val="auto"/>
                <w:kern w:val="0"/>
                <w:sz w:val="24"/>
                <w:szCs w:val="24"/>
                <w:lang w:val="en-US" w:eastAsia="zh-CN"/>
              </w:rPr>
              <w:t xml:space="preserve">，处理效率 </w:t>
            </w:r>
            <w:r>
              <w:rPr>
                <w:rFonts w:hint="default" w:ascii="Times New Roman" w:hAnsi="Times New Roman" w:cs="Times New Roman"/>
                <w:color w:val="auto"/>
                <w:kern w:val="0"/>
                <w:sz w:val="24"/>
                <w:szCs w:val="24"/>
                <w:lang w:val="en-US" w:eastAsia="zh-CN"/>
              </w:rPr>
              <w:t>81%</w:t>
            </w:r>
            <w:r>
              <w:rPr>
                <w:rFonts w:hint="eastAsia" w:ascii="Times New Roman" w:hAnsi="Times New Roman" w:cs="Times New Roman"/>
                <w:color w:val="auto"/>
                <w:kern w:val="0"/>
                <w:sz w:val="24"/>
                <w:szCs w:val="24"/>
                <w:lang w:val="en-US" w:eastAsia="zh-CN"/>
              </w:rPr>
              <w:t>，满足《恶臭污染物排放标准》（</w:t>
            </w:r>
            <w:r>
              <w:rPr>
                <w:rFonts w:hint="default" w:ascii="Times New Roman" w:hAnsi="Times New Roman" w:cs="Times New Roman"/>
                <w:color w:val="auto"/>
                <w:kern w:val="0"/>
                <w:sz w:val="24"/>
                <w:szCs w:val="24"/>
                <w:lang w:val="en-US" w:eastAsia="zh-CN"/>
              </w:rPr>
              <w:t>GB14554-93</w:t>
            </w:r>
            <w:r>
              <w:rPr>
                <w:rFonts w:hint="eastAsia" w:ascii="Times New Roman" w:hAnsi="Times New Roman" w:cs="Times New Roman"/>
                <w:color w:val="auto"/>
                <w:kern w:val="0"/>
                <w:sz w:val="24"/>
                <w:szCs w:val="24"/>
                <w:lang w:val="en-US" w:eastAsia="zh-CN"/>
              </w:rPr>
              <w:t xml:space="preserve">）中标准限值（速率限值 </w:t>
            </w:r>
            <w:r>
              <w:rPr>
                <w:rFonts w:hint="default" w:ascii="Times New Roman" w:hAnsi="Times New Roman" w:cs="Times New Roman"/>
                <w:color w:val="auto"/>
                <w:kern w:val="0"/>
                <w:sz w:val="24"/>
                <w:szCs w:val="24"/>
                <w:lang w:val="en-US" w:eastAsia="zh-CN"/>
              </w:rPr>
              <w:t>0.33kg/h</w:t>
            </w:r>
            <w:r>
              <w:rPr>
                <w:rFonts w:hint="eastAsia" w:ascii="Times New Roman" w:hAnsi="Times New Roman" w:cs="Times New Roman"/>
                <w:color w:val="auto"/>
                <w:kern w:val="0"/>
                <w:sz w:val="24"/>
                <w:szCs w:val="24"/>
                <w:lang w:val="en-US" w:eastAsia="zh-CN"/>
              </w:rPr>
              <w:t xml:space="preserve">）；非甲烷总烃最大排放浓度 </w:t>
            </w:r>
            <w:r>
              <w:rPr>
                <w:rFonts w:hint="default" w:ascii="Times New Roman" w:hAnsi="Times New Roman" w:cs="Times New Roman"/>
                <w:color w:val="auto"/>
                <w:kern w:val="0"/>
                <w:sz w:val="24"/>
                <w:szCs w:val="24"/>
                <w:lang w:val="en-US" w:eastAsia="zh-CN"/>
              </w:rPr>
              <w:t>3.91mg/m3</w:t>
            </w:r>
            <w:r>
              <w:rPr>
                <w:rFonts w:hint="eastAsia" w:ascii="Times New Roman" w:hAnsi="Times New Roman" w:cs="Times New Roman"/>
                <w:color w:val="auto"/>
                <w:kern w:val="0"/>
                <w:sz w:val="24"/>
                <w:szCs w:val="24"/>
                <w:lang w:val="en-US" w:eastAsia="zh-CN"/>
              </w:rPr>
              <w:t>，最大排放速率</w:t>
            </w:r>
            <w:r>
              <w:rPr>
                <w:rFonts w:hint="default" w:ascii="Times New Roman" w:hAnsi="Times New Roman" w:cs="Times New Roman"/>
                <w:color w:val="auto"/>
                <w:kern w:val="0"/>
                <w:sz w:val="24"/>
                <w:szCs w:val="24"/>
                <w:lang w:val="en-US" w:eastAsia="zh-CN"/>
              </w:rPr>
              <w:t>2.29×10 -2kg/h</w:t>
            </w:r>
            <w:r>
              <w:rPr>
                <w:rFonts w:hint="eastAsia" w:ascii="Times New Roman" w:hAnsi="Times New Roman" w:cs="Times New Roman"/>
                <w:color w:val="auto"/>
                <w:kern w:val="0"/>
                <w:sz w:val="24"/>
                <w:szCs w:val="24"/>
                <w:lang w:val="en-US" w:eastAsia="zh-CN"/>
              </w:rPr>
              <w:t xml:space="preserve">，处理效率 </w:t>
            </w:r>
            <w:r>
              <w:rPr>
                <w:rFonts w:hint="default" w:ascii="Times New Roman" w:hAnsi="Times New Roman" w:cs="Times New Roman"/>
                <w:color w:val="auto"/>
                <w:kern w:val="0"/>
                <w:sz w:val="24"/>
                <w:szCs w:val="24"/>
                <w:lang w:val="en-US" w:eastAsia="zh-CN"/>
              </w:rPr>
              <w:t>92%</w:t>
            </w:r>
            <w:r>
              <w:rPr>
                <w:rFonts w:hint="eastAsia" w:ascii="Times New Roman" w:hAnsi="Times New Roman" w:cs="Times New Roman"/>
                <w:color w:val="auto"/>
                <w:kern w:val="0"/>
                <w:sz w:val="24"/>
                <w:szCs w:val="24"/>
                <w:lang w:val="en-US" w:eastAsia="zh-CN"/>
              </w:rPr>
              <w:t>，满足天津市《工业企业挥发性有机物排放标准》 （</w:t>
            </w:r>
            <w:r>
              <w:rPr>
                <w:rFonts w:hint="default" w:ascii="Times New Roman" w:hAnsi="Times New Roman" w:cs="Times New Roman"/>
                <w:color w:val="auto"/>
                <w:kern w:val="0"/>
                <w:sz w:val="24"/>
                <w:szCs w:val="24"/>
                <w:lang w:val="en-US" w:eastAsia="zh-CN"/>
              </w:rPr>
              <w:t>DB12/524-2014</w:t>
            </w:r>
            <w:r>
              <w:rPr>
                <w:rFonts w:hint="eastAsia" w:ascii="Times New Roman" w:hAnsi="Times New Roman" w:cs="Times New Roman"/>
                <w:color w:val="auto"/>
                <w:kern w:val="0"/>
                <w:sz w:val="24"/>
                <w:szCs w:val="24"/>
                <w:lang w:val="en-US" w:eastAsia="zh-CN"/>
              </w:rPr>
              <w:t xml:space="preserve">）表 </w:t>
            </w:r>
            <w:r>
              <w:rPr>
                <w:rFonts w:hint="default" w:ascii="Times New Roman" w:hAnsi="Times New Roman" w:cs="Times New Roman"/>
                <w:color w:val="auto"/>
                <w:kern w:val="0"/>
                <w:sz w:val="24"/>
                <w:szCs w:val="24"/>
                <w:lang w:val="en-US" w:eastAsia="zh-CN"/>
              </w:rPr>
              <w:t xml:space="preserve">2 </w:t>
            </w:r>
            <w:r>
              <w:rPr>
                <w:rFonts w:hint="eastAsia" w:ascii="Times New Roman" w:hAnsi="Times New Roman" w:cs="Times New Roman"/>
                <w:color w:val="auto"/>
                <w:kern w:val="0"/>
                <w:sz w:val="24"/>
                <w:szCs w:val="24"/>
                <w:lang w:val="en-US" w:eastAsia="zh-CN"/>
              </w:rPr>
              <w:t xml:space="preserve">中其他行业污染物排放限值标准（浓度限值 </w:t>
            </w:r>
            <w:r>
              <w:rPr>
                <w:rFonts w:hint="default" w:ascii="Times New Roman" w:hAnsi="Times New Roman" w:cs="Times New Roman"/>
                <w:color w:val="auto"/>
                <w:kern w:val="0"/>
                <w:sz w:val="24"/>
                <w:szCs w:val="24"/>
                <w:lang w:val="en-US" w:eastAsia="zh-CN"/>
              </w:rPr>
              <w:t>80mg/m3</w:t>
            </w:r>
            <w:r>
              <w:rPr>
                <w:rFonts w:hint="eastAsia" w:ascii="Times New Roman" w:hAnsi="Times New Roman" w:cs="Times New Roman"/>
                <w:color w:val="auto"/>
                <w:kern w:val="0"/>
                <w:sz w:val="24"/>
                <w:szCs w:val="24"/>
                <w:lang w:val="en-US" w:eastAsia="zh-CN"/>
              </w:rPr>
              <w:t xml:space="preserve">、速率限值 </w:t>
            </w:r>
            <w:r>
              <w:rPr>
                <w:rFonts w:hint="default" w:ascii="Times New Roman" w:hAnsi="Times New Roman" w:cs="Times New Roman"/>
                <w:color w:val="auto"/>
                <w:kern w:val="0"/>
                <w:sz w:val="24"/>
                <w:szCs w:val="24"/>
                <w:lang w:val="en-US" w:eastAsia="zh-CN"/>
              </w:rPr>
              <w:t>2kg/h</w:t>
            </w:r>
            <w:r>
              <w:rPr>
                <w:rFonts w:hint="eastAsia" w:ascii="Times New Roman" w:hAnsi="Times New Roman" w:cs="Times New Roman"/>
                <w:color w:val="auto"/>
                <w:kern w:val="0"/>
                <w:sz w:val="24"/>
                <w:szCs w:val="24"/>
                <w:lang w:val="en-US" w:eastAsia="zh-CN"/>
              </w:rPr>
              <w:t xml:space="preserve">）。 </w:t>
            </w:r>
          </w:p>
          <w:p w14:paraId="16E0B0AF">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 xml:space="preserve">无组织各监测点颗粒物最大浓度为 </w:t>
            </w:r>
            <w:r>
              <w:rPr>
                <w:rFonts w:hint="default" w:ascii="Times New Roman" w:hAnsi="Times New Roman" w:cs="Times New Roman"/>
                <w:color w:val="auto"/>
                <w:kern w:val="0"/>
                <w:sz w:val="24"/>
                <w:szCs w:val="24"/>
                <w:lang w:val="en-US" w:eastAsia="zh-CN"/>
              </w:rPr>
              <w:t>0.433mg/m3</w:t>
            </w:r>
            <w:r>
              <w:rPr>
                <w:rFonts w:hint="eastAsia" w:ascii="Times New Roman" w:hAnsi="Times New Roman" w:cs="Times New Roman"/>
                <w:color w:val="auto"/>
                <w:kern w:val="0"/>
                <w:sz w:val="24"/>
                <w:szCs w:val="24"/>
                <w:lang w:val="en-US" w:eastAsia="zh-CN"/>
              </w:rPr>
              <w:t>，符合《大气污染物综合排放标准》 （</w:t>
            </w:r>
            <w:r>
              <w:rPr>
                <w:rFonts w:hint="default" w:ascii="Times New Roman" w:hAnsi="Times New Roman" w:cs="Times New Roman"/>
                <w:color w:val="auto"/>
                <w:kern w:val="0"/>
                <w:sz w:val="24"/>
                <w:szCs w:val="24"/>
                <w:lang w:val="en-US" w:eastAsia="zh-CN"/>
              </w:rPr>
              <w:t>GB16297-1996</w:t>
            </w:r>
            <w:r>
              <w:rPr>
                <w:rFonts w:hint="eastAsia" w:ascii="Times New Roman" w:hAnsi="Times New Roman" w:cs="Times New Roman"/>
                <w:color w:val="auto"/>
                <w:kern w:val="0"/>
                <w:sz w:val="24"/>
                <w:szCs w:val="24"/>
                <w:lang w:val="en-US" w:eastAsia="zh-CN"/>
              </w:rPr>
              <w:t>）标准限值要求（</w:t>
            </w:r>
            <w:r>
              <w:rPr>
                <w:rFonts w:hint="default" w:ascii="Times New Roman" w:hAnsi="Times New Roman" w:cs="Times New Roman"/>
                <w:color w:val="auto"/>
                <w:kern w:val="0"/>
                <w:sz w:val="24"/>
                <w:szCs w:val="24"/>
                <w:lang w:val="en-US" w:eastAsia="zh-CN"/>
              </w:rPr>
              <w:t>1.0mg/m3</w:t>
            </w:r>
            <w:r>
              <w:rPr>
                <w:rFonts w:hint="eastAsia" w:ascii="Times New Roman" w:hAnsi="Times New Roman" w:cs="Times New Roman"/>
                <w:color w:val="auto"/>
                <w:kern w:val="0"/>
                <w:sz w:val="24"/>
                <w:szCs w:val="24"/>
                <w:lang w:val="en-US" w:eastAsia="zh-CN"/>
              </w:rPr>
              <w:t xml:space="preserve">）。由监测结果可以看出，无组织各监测甲醛最大浓度为 </w:t>
            </w:r>
            <w:r>
              <w:rPr>
                <w:rFonts w:hint="default" w:ascii="Times New Roman" w:hAnsi="Times New Roman" w:cs="Times New Roman"/>
                <w:color w:val="auto"/>
                <w:kern w:val="0"/>
                <w:sz w:val="24"/>
                <w:szCs w:val="24"/>
                <w:lang w:val="en-US" w:eastAsia="zh-CN"/>
              </w:rPr>
              <w:t>0.031mg/m3</w:t>
            </w:r>
            <w:r>
              <w:rPr>
                <w:rFonts w:hint="eastAsia" w:ascii="Times New Roman" w:hAnsi="Times New Roman" w:cs="Times New Roman"/>
                <w:color w:val="auto"/>
                <w:kern w:val="0"/>
                <w:sz w:val="24"/>
                <w:szCs w:val="24"/>
                <w:lang w:val="en-US" w:eastAsia="zh-CN"/>
              </w:rPr>
              <w:t>，符合《挥发性有机物无组织排放控制标准》（</w:t>
            </w:r>
            <w:r>
              <w:rPr>
                <w:rFonts w:hint="default" w:ascii="Times New Roman" w:hAnsi="Times New Roman" w:cs="Times New Roman"/>
                <w:color w:val="auto"/>
                <w:kern w:val="0"/>
                <w:sz w:val="24"/>
                <w:szCs w:val="24"/>
                <w:lang w:val="en-US" w:eastAsia="zh-CN"/>
              </w:rPr>
              <w:t>GB37822-2019</w:t>
            </w:r>
            <w:r>
              <w:rPr>
                <w:rFonts w:hint="eastAsia" w:ascii="Times New Roman" w:hAnsi="Times New Roman" w:cs="Times New Roman"/>
                <w:color w:val="auto"/>
                <w:kern w:val="0"/>
                <w:sz w:val="24"/>
                <w:szCs w:val="24"/>
                <w:lang w:val="en-US" w:eastAsia="zh-CN"/>
              </w:rPr>
              <w:t>）限值要求（</w:t>
            </w:r>
            <w:r>
              <w:rPr>
                <w:rFonts w:hint="default" w:ascii="Times New Roman" w:hAnsi="Times New Roman" w:cs="Times New Roman"/>
                <w:color w:val="auto"/>
                <w:kern w:val="0"/>
                <w:sz w:val="24"/>
                <w:szCs w:val="24"/>
                <w:lang w:val="en-US" w:eastAsia="zh-CN"/>
              </w:rPr>
              <w:t>0.2mg/m3</w:t>
            </w:r>
            <w:r>
              <w:rPr>
                <w:rFonts w:hint="eastAsia" w:ascii="Times New Roman" w:hAnsi="Times New Roman" w:cs="Times New Roman"/>
                <w:color w:val="auto"/>
                <w:kern w:val="0"/>
                <w:sz w:val="24"/>
                <w:szCs w:val="24"/>
                <w:lang w:val="en-US" w:eastAsia="zh-CN"/>
              </w:rPr>
              <w:t xml:space="preserve">）。由监测结果可以看出，无组织各监测非甲烷总烃最大浓度为 </w:t>
            </w:r>
            <w:r>
              <w:rPr>
                <w:rFonts w:hint="default" w:ascii="Times New Roman" w:hAnsi="Times New Roman" w:cs="Times New Roman"/>
                <w:color w:val="auto"/>
                <w:kern w:val="0"/>
                <w:sz w:val="24"/>
                <w:szCs w:val="24"/>
                <w:lang w:val="en-US" w:eastAsia="zh-CN"/>
              </w:rPr>
              <w:t>0.89mg/m3</w:t>
            </w:r>
            <w:r>
              <w:rPr>
                <w:rFonts w:hint="eastAsia" w:ascii="Times New Roman" w:hAnsi="Times New Roman" w:cs="Times New Roman"/>
                <w:color w:val="auto"/>
                <w:kern w:val="0"/>
                <w:sz w:val="24"/>
                <w:szCs w:val="24"/>
                <w:lang w:val="en-US" w:eastAsia="zh-CN"/>
              </w:rPr>
              <w:t>，符合《挥发性有机物无组织排放控制标准》（</w:t>
            </w:r>
            <w:r>
              <w:rPr>
                <w:rFonts w:hint="default" w:ascii="Times New Roman" w:hAnsi="Times New Roman" w:cs="Times New Roman"/>
                <w:color w:val="auto"/>
                <w:kern w:val="0"/>
                <w:sz w:val="24"/>
                <w:szCs w:val="24"/>
                <w:lang w:val="en-US" w:eastAsia="zh-CN"/>
              </w:rPr>
              <w:t>GB 37822-2019</w:t>
            </w:r>
            <w:r>
              <w:rPr>
                <w:rFonts w:hint="eastAsia" w:ascii="Times New Roman" w:hAnsi="Times New Roman" w:cs="Times New Roman"/>
                <w:color w:val="auto"/>
                <w:kern w:val="0"/>
                <w:sz w:val="24"/>
                <w:szCs w:val="24"/>
                <w:lang w:val="en-US" w:eastAsia="zh-CN"/>
              </w:rPr>
              <w:t>）限值要求（</w:t>
            </w:r>
            <w:r>
              <w:rPr>
                <w:rFonts w:hint="default" w:ascii="Times New Roman" w:hAnsi="Times New Roman" w:cs="Times New Roman"/>
                <w:color w:val="auto"/>
                <w:kern w:val="0"/>
                <w:sz w:val="24"/>
                <w:szCs w:val="24"/>
                <w:lang w:val="en-US" w:eastAsia="zh-CN"/>
              </w:rPr>
              <w:t>4.0mg/m3</w:t>
            </w:r>
            <w:r>
              <w:rPr>
                <w:rFonts w:hint="eastAsia" w:ascii="Times New Roman" w:hAnsi="Times New Roman" w:cs="Times New Roman"/>
                <w:color w:val="auto"/>
                <w:kern w:val="0"/>
                <w:sz w:val="24"/>
                <w:szCs w:val="24"/>
                <w:lang w:val="en-US" w:eastAsia="zh-CN"/>
              </w:rPr>
              <w:t>）。由监测结果可以看出，无组织各监测点硫化氢最大浓度为</w:t>
            </w:r>
            <w:r>
              <w:rPr>
                <w:rFonts w:hint="default" w:ascii="Times New Roman" w:hAnsi="Times New Roman" w:cs="Times New Roman"/>
                <w:color w:val="auto"/>
                <w:kern w:val="0"/>
                <w:sz w:val="24"/>
                <w:szCs w:val="24"/>
                <w:lang w:val="en-US" w:eastAsia="zh-CN"/>
              </w:rPr>
              <w:t>0.015mg/m3</w:t>
            </w:r>
            <w:r>
              <w:rPr>
                <w:rFonts w:hint="eastAsia" w:ascii="Times New Roman" w:hAnsi="Times New Roman" w:cs="Times New Roman"/>
                <w:color w:val="auto"/>
                <w:kern w:val="0"/>
                <w:sz w:val="24"/>
                <w:szCs w:val="24"/>
                <w:lang w:val="en-US" w:eastAsia="zh-CN"/>
              </w:rPr>
              <w:t>，符合《恶臭污染物排放标准》（</w:t>
            </w:r>
            <w:r>
              <w:rPr>
                <w:rFonts w:hint="default" w:ascii="Times New Roman" w:hAnsi="Times New Roman" w:cs="Times New Roman"/>
                <w:color w:val="auto"/>
                <w:kern w:val="0"/>
                <w:sz w:val="24"/>
                <w:szCs w:val="24"/>
                <w:lang w:val="en-US" w:eastAsia="zh-CN"/>
              </w:rPr>
              <w:t>GB14554-93</w:t>
            </w:r>
            <w:r>
              <w:rPr>
                <w:rFonts w:hint="eastAsia" w:ascii="Times New Roman" w:hAnsi="Times New Roman" w:cs="Times New Roman"/>
                <w:color w:val="auto"/>
                <w:kern w:val="0"/>
                <w:sz w:val="24"/>
                <w:szCs w:val="24"/>
                <w:lang w:val="en-US" w:eastAsia="zh-CN"/>
              </w:rPr>
              <w:t>）中二级新扩改建标准浓度限值要求（</w:t>
            </w:r>
            <w:r>
              <w:rPr>
                <w:rFonts w:hint="default" w:ascii="Times New Roman" w:hAnsi="Times New Roman" w:cs="Times New Roman"/>
                <w:color w:val="auto"/>
                <w:kern w:val="0"/>
                <w:sz w:val="24"/>
                <w:szCs w:val="24"/>
                <w:lang w:val="en-US" w:eastAsia="zh-CN"/>
              </w:rPr>
              <w:t>0.06mg/m3</w:t>
            </w:r>
            <w:r>
              <w:rPr>
                <w:rFonts w:hint="eastAsia" w:ascii="Times New Roman" w:hAnsi="Times New Roman" w:cs="Times New Roman"/>
                <w:color w:val="auto"/>
                <w:kern w:val="0"/>
                <w:sz w:val="24"/>
                <w:szCs w:val="24"/>
                <w:lang w:val="en-US" w:eastAsia="zh-CN"/>
              </w:rPr>
              <w:t xml:space="preserve">）。 </w:t>
            </w:r>
          </w:p>
          <w:p w14:paraId="764A60D6">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2</w:t>
            </w:r>
            <w:r>
              <w:rPr>
                <w:rFonts w:hint="eastAsia" w:ascii="Times New Roman" w:hAnsi="Times New Roman" w:cs="Times New Roman"/>
                <w:color w:val="auto"/>
                <w:kern w:val="0"/>
                <w:sz w:val="24"/>
                <w:szCs w:val="24"/>
                <w:lang w:val="en-US" w:eastAsia="zh-CN"/>
              </w:rPr>
              <w:t xml:space="preserve">）废水 </w:t>
            </w:r>
          </w:p>
          <w:p w14:paraId="3173AB28">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由监测结果可以看出，项目废水各监测值均达到达到安徽（淮北）新型煤化工合成材料基地污水处理厂接管标准（</w:t>
            </w:r>
            <w:r>
              <w:rPr>
                <w:rFonts w:hint="default" w:ascii="Times New Roman" w:hAnsi="Times New Roman" w:cs="Times New Roman"/>
                <w:color w:val="auto"/>
                <w:kern w:val="0"/>
                <w:sz w:val="24"/>
                <w:szCs w:val="24"/>
                <w:lang w:val="en-US" w:eastAsia="zh-CN"/>
              </w:rPr>
              <w:t>pH6-9</w:t>
            </w:r>
            <w:r>
              <w:rPr>
                <w:rFonts w:hint="eastAsia" w:ascii="Times New Roman" w:hAnsi="Times New Roman" w:cs="Times New Roman"/>
                <w:color w:val="auto"/>
                <w:kern w:val="0"/>
                <w:sz w:val="24"/>
                <w:szCs w:val="24"/>
                <w:lang w:val="en-US" w:eastAsia="zh-CN"/>
              </w:rPr>
              <w:t xml:space="preserve">、化学需氧量 </w:t>
            </w:r>
            <w:r>
              <w:rPr>
                <w:rFonts w:hint="default" w:ascii="Times New Roman" w:hAnsi="Times New Roman" w:cs="Times New Roman"/>
                <w:color w:val="auto"/>
                <w:kern w:val="0"/>
                <w:sz w:val="24"/>
                <w:szCs w:val="24"/>
                <w:lang w:val="en-US" w:eastAsia="zh-CN"/>
              </w:rPr>
              <w:t>450mg/L</w:t>
            </w:r>
            <w:r>
              <w:rPr>
                <w:rFonts w:hint="eastAsia" w:ascii="Times New Roman" w:hAnsi="Times New Roman" w:cs="Times New Roman"/>
                <w:color w:val="auto"/>
                <w:kern w:val="0"/>
                <w:sz w:val="24"/>
                <w:szCs w:val="24"/>
                <w:lang w:val="en-US" w:eastAsia="zh-CN"/>
              </w:rPr>
              <w:t xml:space="preserve">、悬浮物 </w:t>
            </w:r>
            <w:r>
              <w:rPr>
                <w:rFonts w:hint="default" w:ascii="Times New Roman" w:hAnsi="Times New Roman" w:cs="Times New Roman"/>
                <w:color w:val="auto"/>
                <w:kern w:val="0"/>
                <w:sz w:val="24"/>
                <w:szCs w:val="24"/>
                <w:lang w:val="en-US" w:eastAsia="zh-CN"/>
              </w:rPr>
              <w:t>350mg/L</w:t>
            </w:r>
            <w:r>
              <w:rPr>
                <w:rFonts w:hint="eastAsia" w:ascii="Times New Roman" w:hAnsi="Times New Roman" w:cs="Times New Roman"/>
                <w:color w:val="auto"/>
                <w:kern w:val="0"/>
                <w:sz w:val="24"/>
                <w:szCs w:val="24"/>
                <w:lang w:val="en-US" w:eastAsia="zh-CN"/>
              </w:rPr>
              <w:t>、氨氮</w:t>
            </w:r>
            <w:r>
              <w:rPr>
                <w:rFonts w:hint="default" w:ascii="Times New Roman" w:hAnsi="Times New Roman" w:cs="Times New Roman"/>
                <w:color w:val="auto"/>
                <w:kern w:val="0"/>
                <w:sz w:val="24"/>
                <w:szCs w:val="24"/>
                <w:lang w:val="en-US" w:eastAsia="zh-CN"/>
              </w:rPr>
              <w:t>35mg/L</w:t>
            </w:r>
            <w:r>
              <w:rPr>
                <w:rFonts w:hint="eastAsia" w:ascii="Times New Roman" w:hAnsi="Times New Roman" w:cs="Times New Roman"/>
                <w:color w:val="auto"/>
                <w:kern w:val="0"/>
                <w:sz w:val="24"/>
                <w:szCs w:val="24"/>
                <w:lang w:val="en-US" w:eastAsia="zh-CN"/>
              </w:rPr>
              <w:t xml:space="preserve">、五日生化需氧量 </w:t>
            </w:r>
            <w:r>
              <w:rPr>
                <w:rFonts w:hint="default" w:ascii="Times New Roman" w:hAnsi="Times New Roman" w:cs="Times New Roman"/>
                <w:color w:val="auto"/>
                <w:kern w:val="0"/>
                <w:sz w:val="24"/>
                <w:szCs w:val="24"/>
                <w:lang w:val="en-US" w:eastAsia="zh-CN"/>
              </w:rPr>
              <w:t>180mg/L</w:t>
            </w:r>
            <w:r>
              <w:rPr>
                <w:rFonts w:hint="eastAsia" w:ascii="Times New Roman" w:hAnsi="Times New Roman" w:cs="Times New Roman"/>
                <w:color w:val="auto"/>
                <w:kern w:val="0"/>
                <w:sz w:val="24"/>
                <w:szCs w:val="24"/>
                <w:lang w:val="en-US" w:eastAsia="zh-CN"/>
              </w:rPr>
              <w:t xml:space="preserve">、总磷 </w:t>
            </w:r>
            <w:r>
              <w:rPr>
                <w:rFonts w:hint="default" w:ascii="Times New Roman" w:hAnsi="Times New Roman" w:cs="Times New Roman"/>
                <w:color w:val="auto"/>
                <w:kern w:val="0"/>
                <w:sz w:val="24"/>
                <w:szCs w:val="24"/>
                <w:lang w:val="en-US" w:eastAsia="zh-CN"/>
              </w:rPr>
              <w:t>4.5mg/L</w:t>
            </w:r>
            <w:r>
              <w:rPr>
                <w:rFonts w:hint="eastAsia" w:ascii="Times New Roman" w:hAnsi="Times New Roman" w:cs="Times New Roman"/>
                <w:color w:val="auto"/>
                <w:kern w:val="0"/>
                <w:sz w:val="24"/>
                <w:szCs w:val="24"/>
                <w:lang w:val="en-US" w:eastAsia="zh-CN"/>
              </w:rPr>
              <w:t xml:space="preserve">）。 </w:t>
            </w:r>
          </w:p>
          <w:p w14:paraId="5DEB2C4C">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3</w:t>
            </w:r>
            <w:r>
              <w:rPr>
                <w:rFonts w:hint="eastAsia" w:ascii="Times New Roman" w:hAnsi="Times New Roman" w:cs="Times New Roman"/>
                <w:color w:val="auto"/>
                <w:kern w:val="0"/>
                <w:sz w:val="24"/>
                <w:szCs w:val="24"/>
                <w:lang w:val="en-US" w:eastAsia="zh-CN"/>
              </w:rPr>
              <w:t xml:space="preserve">）噪声 </w:t>
            </w:r>
          </w:p>
          <w:p w14:paraId="00E97BFA">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 xml:space="preserve">由监测结果可以看出，项目厂界外 </w:t>
            </w:r>
            <w:r>
              <w:rPr>
                <w:rFonts w:hint="default" w:ascii="Times New Roman" w:hAnsi="Times New Roman" w:cs="Times New Roman"/>
                <w:color w:val="auto"/>
                <w:kern w:val="0"/>
                <w:sz w:val="24"/>
                <w:szCs w:val="24"/>
                <w:lang w:val="en-US" w:eastAsia="zh-CN"/>
              </w:rPr>
              <w:t xml:space="preserve">1 </w:t>
            </w:r>
            <w:r>
              <w:rPr>
                <w:rFonts w:hint="eastAsia" w:ascii="Times New Roman" w:hAnsi="Times New Roman" w:cs="Times New Roman"/>
                <w:color w:val="auto"/>
                <w:kern w:val="0"/>
                <w:sz w:val="24"/>
                <w:szCs w:val="24"/>
                <w:lang w:val="en-US" w:eastAsia="zh-CN"/>
              </w:rPr>
              <w:t xml:space="preserve">米昼间噪声监测最大值为 </w:t>
            </w:r>
            <w:r>
              <w:rPr>
                <w:rFonts w:hint="default" w:ascii="Times New Roman" w:hAnsi="Times New Roman" w:cs="Times New Roman"/>
                <w:color w:val="auto"/>
                <w:kern w:val="0"/>
                <w:sz w:val="24"/>
                <w:szCs w:val="24"/>
                <w:lang w:val="en-US" w:eastAsia="zh-CN"/>
              </w:rPr>
              <w:t>57.5dB</w:t>
            </w: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A</w:t>
            </w:r>
            <w:r>
              <w:rPr>
                <w:rFonts w:hint="eastAsia" w:ascii="Times New Roman" w:hAnsi="Times New Roman" w:cs="Times New Roman"/>
                <w:color w:val="auto"/>
                <w:kern w:val="0"/>
                <w:sz w:val="24"/>
                <w:szCs w:val="24"/>
                <w:lang w:val="en-US" w:eastAsia="zh-CN"/>
              </w:rPr>
              <w:t>），企业夜间不生产，符合《工业企业厂界环境噪声排放标准》（</w:t>
            </w:r>
            <w:r>
              <w:rPr>
                <w:rFonts w:hint="default" w:ascii="Times New Roman" w:hAnsi="Times New Roman" w:cs="Times New Roman"/>
                <w:color w:val="auto"/>
                <w:kern w:val="0"/>
                <w:sz w:val="24"/>
                <w:szCs w:val="24"/>
                <w:lang w:val="en-US" w:eastAsia="zh-CN"/>
              </w:rPr>
              <w:t>GB12348-2008</w:t>
            </w: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 xml:space="preserve">3 </w:t>
            </w:r>
            <w:r>
              <w:rPr>
                <w:rFonts w:hint="eastAsia" w:ascii="Times New Roman" w:hAnsi="Times New Roman" w:cs="Times New Roman"/>
                <w:color w:val="auto"/>
                <w:kern w:val="0"/>
                <w:sz w:val="24"/>
                <w:szCs w:val="24"/>
                <w:lang w:val="en-US" w:eastAsia="zh-CN"/>
              </w:rPr>
              <w:t xml:space="preserve">类标准要求（昼间 </w:t>
            </w:r>
            <w:r>
              <w:rPr>
                <w:rFonts w:hint="default" w:ascii="Times New Roman" w:hAnsi="Times New Roman" w:cs="Times New Roman"/>
                <w:color w:val="auto"/>
                <w:kern w:val="0"/>
                <w:sz w:val="24"/>
                <w:szCs w:val="24"/>
                <w:lang w:val="en-US" w:eastAsia="zh-CN"/>
              </w:rPr>
              <w:t>65 dB</w:t>
            </w: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A</w:t>
            </w:r>
            <w:r>
              <w:rPr>
                <w:rFonts w:hint="eastAsia" w:ascii="Times New Roman" w:hAnsi="Times New Roman" w:cs="Times New Roman"/>
                <w:color w:val="auto"/>
                <w:kern w:val="0"/>
                <w:sz w:val="24"/>
                <w:szCs w:val="24"/>
                <w:lang w:val="en-US" w:eastAsia="zh-CN"/>
              </w:rPr>
              <w:t xml:space="preserve">）、夜间 </w:t>
            </w:r>
            <w:r>
              <w:rPr>
                <w:rFonts w:hint="default" w:ascii="Times New Roman" w:hAnsi="Times New Roman" w:cs="Times New Roman"/>
                <w:color w:val="auto"/>
                <w:kern w:val="0"/>
                <w:sz w:val="24"/>
                <w:szCs w:val="24"/>
                <w:lang w:val="en-US" w:eastAsia="zh-CN"/>
              </w:rPr>
              <w:t>55 dB</w:t>
            </w:r>
            <w:r>
              <w:rPr>
                <w:rFonts w:hint="eastAsia" w:ascii="Times New Roman" w:hAnsi="Times New Roman"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A</w:t>
            </w:r>
            <w:r>
              <w:rPr>
                <w:rFonts w:hint="eastAsia" w:ascii="Times New Roman" w:hAnsi="Times New Roman" w:cs="Times New Roman"/>
                <w:color w:val="auto"/>
                <w:kern w:val="0"/>
                <w:sz w:val="24"/>
                <w:szCs w:val="24"/>
                <w:lang w:val="en-US" w:eastAsia="zh-CN"/>
              </w:rPr>
              <w:t xml:space="preserve">））。 </w:t>
            </w:r>
          </w:p>
          <w:p w14:paraId="516BE6FB">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 xml:space="preserve">（4）固废 </w:t>
            </w:r>
          </w:p>
          <w:p w14:paraId="2598D4FC">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 xml:space="preserve">本项目固体废物主要为废包装材料、废活性炭、滤渣、废滤网、水处理污泥交由有资质的单位处理处置，废 </w:t>
            </w:r>
            <w:r>
              <w:rPr>
                <w:rFonts w:hint="default" w:ascii="Times New Roman" w:hAnsi="Times New Roman" w:cs="Times New Roman"/>
                <w:color w:val="auto"/>
                <w:kern w:val="0"/>
                <w:sz w:val="24"/>
                <w:szCs w:val="24"/>
                <w:lang w:val="en-US" w:eastAsia="zh-CN"/>
              </w:rPr>
              <w:t xml:space="preserve">RO </w:t>
            </w:r>
            <w:r>
              <w:rPr>
                <w:rFonts w:hint="eastAsia" w:ascii="Times New Roman" w:hAnsi="Times New Roman" w:cs="Times New Roman"/>
                <w:color w:val="auto"/>
                <w:kern w:val="0"/>
                <w:sz w:val="24"/>
                <w:szCs w:val="24"/>
                <w:lang w:val="en-US" w:eastAsia="zh-CN"/>
              </w:rPr>
              <w:t>渗透膜交由供货商回收，粉尘回用至生产工段，生活垃圾交由环卫部门处理。由此可见，本项目所有固体废弃物均可得到妥善处置。</w:t>
            </w:r>
          </w:p>
          <w:p w14:paraId="37940EF4">
            <w:pPr>
              <w:spacing w:line="360" w:lineRule="auto"/>
              <w:ind w:firstLine="480" w:firstLineChars="200"/>
              <w:rPr>
                <w:rFonts w:hint="default"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查阅验收监测报告、排污许可执行报告，并进行核算项目现有工程污染物排放量见表2-6。</w:t>
            </w:r>
          </w:p>
          <w:p w14:paraId="49BFE682">
            <w:pPr>
              <w:pStyle w:val="44"/>
              <w:pageBreakBefore w:val="0"/>
              <w:kinsoku/>
              <w:wordWrap/>
              <w:topLinePunct w:val="0"/>
              <w:bidi w:val="0"/>
              <w:spacing w:after="0" w:afterLines="0"/>
              <w:rPr>
                <w:rFonts w:hint="eastAsia"/>
                <w:color w:val="auto"/>
                <w:lang w:val="en-US" w:eastAsia="zh-CN"/>
              </w:rPr>
            </w:pPr>
            <w:r>
              <w:rPr>
                <w:rFonts w:hint="eastAsia"/>
                <w:color w:val="auto"/>
                <w:lang w:val="en-US" w:eastAsia="zh-CN"/>
              </w:rPr>
              <w:t>表2-6 现有工程污染物排放量</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093"/>
              <w:gridCol w:w="3093"/>
              <w:gridCol w:w="3093"/>
            </w:tblGrid>
            <w:tr w14:paraId="00972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273" w:hRule="atLeast"/>
              </w:trPr>
              <w:tc>
                <w:tcPr>
                  <w:tcW w:w="3093" w:type="dxa"/>
                </w:tcPr>
                <w:p w14:paraId="14087612">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项目</w:t>
                  </w:r>
                </w:p>
              </w:tc>
              <w:tc>
                <w:tcPr>
                  <w:tcW w:w="3093" w:type="dxa"/>
                </w:tcPr>
                <w:p w14:paraId="03011A12">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排放量</w:t>
                  </w:r>
                </w:p>
              </w:tc>
              <w:tc>
                <w:tcPr>
                  <w:tcW w:w="3093" w:type="dxa"/>
                </w:tcPr>
                <w:p w14:paraId="695E067E">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总量控制指标</w:t>
                  </w:r>
                </w:p>
              </w:tc>
            </w:tr>
            <w:tr w14:paraId="46C0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273" w:hRule="atLeast"/>
              </w:trPr>
              <w:tc>
                <w:tcPr>
                  <w:tcW w:w="3093" w:type="dxa"/>
                </w:tcPr>
                <w:p w14:paraId="667B28F7">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颗粒物</w:t>
                  </w:r>
                </w:p>
              </w:tc>
              <w:tc>
                <w:tcPr>
                  <w:tcW w:w="3093" w:type="dxa"/>
                </w:tcPr>
                <w:p w14:paraId="00D35513">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1.39t/a</w:t>
                  </w:r>
                </w:p>
              </w:tc>
              <w:tc>
                <w:tcPr>
                  <w:tcW w:w="3093" w:type="dxa"/>
                </w:tcPr>
                <w:p w14:paraId="7671804A">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9.22t/a</w:t>
                  </w:r>
                </w:p>
              </w:tc>
            </w:tr>
            <w:tr w14:paraId="1FDC9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281" w:hRule="atLeast"/>
              </w:trPr>
              <w:tc>
                <w:tcPr>
                  <w:tcW w:w="3093" w:type="dxa"/>
                </w:tcPr>
                <w:p w14:paraId="0DC21102">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VOCs</w:t>
                  </w:r>
                </w:p>
              </w:tc>
              <w:tc>
                <w:tcPr>
                  <w:tcW w:w="3093" w:type="dxa"/>
                </w:tcPr>
                <w:p w14:paraId="6E47272E">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0.863t/a</w:t>
                  </w:r>
                </w:p>
              </w:tc>
              <w:tc>
                <w:tcPr>
                  <w:tcW w:w="3093" w:type="dxa"/>
                </w:tcPr>
                <w:p w14:paraId="2ECD51EF">
                  <w:pPr>
                    <w:pStyle w:val="43"/>
                    <w:pageBreakBefore w:val="0"/>
                    <w:kinsoku/>
                    <w:wordWrap/>
                    <w:topLinePunct w:val="0"/>
                    <w:bidi w:val="0"/>
                    <w:spacing w:after="0" w:afterLines="0"/>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14.845t/a</w:t>
                  </w:r>
                </w:p>
              </w:tc>
            </w:tr>
          </w:tbl>
          <w:p w14:paraId="1A93E5C2">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本项目为利用公用工程二楼建设，项目场地目前为空置状态，无历史遗留环境问题。</w:t>
            </w:r>
          </w:p>
          <w:p w14:paraId="2C29380E">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现有项目不存在环境问题及整改措施。</w:t>
            </w:r>
          </w:p>
          <w:p w14:paraId="41F7BC64">
            <w:pPr>
              <w:spacing w:line="360" w:lineRule="auto"/>
              <w:ind w:firstLine="480" w:firstLineChars="200"/>
              <w:rPr>
                <w:rFonts w:hint="eastAsia" w:ascii="Times New Roman" w:hAnsi="Times New Roman" w:cs="Times New Roman"/>
                <w:color w:val="auto"/>
                <w:kern w:val="0"/>
                <w:sz w:val="24"/>
                <w:szCs w:val="24"/>
                <w:lang w:val="en-US" w:eastAsia="zh-CN"/>
              </w:rPr>
            </w:pPr>
          </w:p>
          <w:p w14:paraId="662D21C2">
            <w:pPr>
              <w:spacing w:line="360" w:lineRule="auto"/>
              <w:ind w:firstLine="480" w:firstLineChars="200"/>
              <w:rPr>
                <w:rFonts w:hint="eastAsia" w:ascii="Times New Roman" w:hAnsi="Times New Roman" w:cs="Times New Roman"/>
                <w:color w:val="auto"/>
                <w:kern w:val="0"/>
                <w:sz w:val="24"/>
                <w:szCs w:val="24"/>
                <w:lang w:val="en-US" w:eastAsia="zh-CN"/>
              </w:rPr>
            </w:pPr>
          </w:p>
          <w:p w14:paraId="36AEAD10">
            <w:pPr>
              <w:spacing w:line="360" w:lineRule="auto"/>
              <w:ind w:firstLine="480" w:firstLineChars="200"/>
              <w:rPr>
                <w:rFonts w:hint="eastAsia" w:ascii="Times New Roman" w:hAnsi="Times New Roman" w:cs="Times New Roman"/>
                <w:color w:val="auto"/>
                <w:kern w:val="0"/>
                <w:sz w:val="24"/>
                <w:szCs w:val="24"/>
                <w:lang w:val="en-US" w:eastAsia="zh-CN"/>
              </w:rPr>
            </w:pPr>
          </w:p>
          <w:p w14:paraId="742A2109">
            <w:pPr>
              <w:spacing w:line="360" w:lineRule="auto"/>
              <w:ind w:firstLine="480" w:firstLineChars="200"/>
              <w:rPr>
                <w:rFonts w:hint="eastAsia" w:ascii="Times New Roman" w:hAnsi="Times New Roman" w:cs="Times New Roman"/>
                <w:color w:val="auto"/>
                <w:kern w:val="0"/>
                <w:sz w:val="24"/>
                <w:szCs w:val="24"/>
                <w:lang w:val="en-US" w:eastAsia="zh-CN"/>
              </w:rPr>
            </w:pPr>
          </w:p>
          <w:p w14:paraId="1EA8AB90">
            <w:pPr>
              <w:spacing w:line="360" w:lineRule="auto"/>
              <w:ind w:firstLine="480" w:firstLineChars="200"/>
              <w:rPr>
                <w:rFonts w:hint="eastAsia" w:ascii="Times New Roman" w:hAnsi="Times New Roman" w:cs="Times New Roman"/>
                <w:color w:val="auto"/>
                <w:kern w:val="0"/>
                <w:sz w:val="24"/>
                <w:szCs w:val="24"/>
                <w:lang w:val="en-US" w:eastAsia="zh-CN"/>
              </w:rPr>
            </w:pPr>
          </w:p>
          <w:p w14:paraId="51D9FA4E">
            <w:pPr>
              <w:spacing w:line="360" w:lineRule="auto"/>
              <w:ind w:firstLine="480" w:firstLineChars="200"/>
              <w:rPr>
                <w:rFonts w:hint="eastAsia" w:ascii="Times New Roman" w:hAnsi="Times New Roman" w:cs="Times New Roman"/>
                <w:color w:val="auto"/>
                <w:kern w:val="0"/>
                <w:sz w:val="24"/>
                <w:szCs w:val="24"/>
                <w:lang w:val="en-US" w:eastAsia="zh-CN"/>
              </w:rPr>
            </w:pPr>
          </w:p>
          <w:p w14:paraId="1B628399">
            <w:pPr>
              <w:spacing w:line="360" w:lineRule="auto"/>
              <w:ind w:firstLine="480" w:firstLineChars="200"/>
              <w:rPr>
                <w:rFonts w:hint="eastAsia" w:ascii="Times New Roman" w:hAnsi="Times New Roman" w:cs="Times New Roman"/>
                <w:color w:val="auto"/>
                <w:kern w:val="0"/>
                <w:sz w:val="24"/>
                <w:szCs w:val="24"/>
                <w:lang w:val="en-US" w:eastAsia="zh-CN"/>
              </w:rPr>
            </w:pPr>
          </w:p>
          <w:p w14:paraId="7D0BB732">
            <w:pPr>
              <w:pStyle w:val="2"/>
              <w:rPr>
                <w:rFonts w:hint="eastAsia" w:ascii="Times New Roman" w:hAnsi="Times New Roman" w:cs="Times New Roman"/>
                <w:color w:val="auto"/>
                <w:kern w:val="0"/>
                <w:sz w:val="24"/>
                <w:szCs w:val="24"/>
                <w:lang w:val="en-US" w:eastAsia="zh-CN"/>
              </w:rPr>
            </w:pPr>
          </w:p>
          <w:p w14:paraId="12EE950E">
            <w:pPr>
              <w:pStyle w:val="2"/>
              <w:rPr>
                <w:rFonts w:hint="eastAsia" w:ascii="Times New Roman" w:hAnsi="Times New Roman" w:cs="Times New Roman"/>
                <w:color w:val="auto"/>
                <w:kern w:val="0"/>
                <w:sz w:val="24"/>
                <w:szCs w:val="24"/>
                <w:lang w:val="en-US" w:eastAsia="zh-CN"/>
              </w:rPr>
            </w:pPr>
          </w:p>
          <w:p w14:paraId="18F33021">
            <w:pPr>
              <w:pStyle w:val="2"/>
              <w:rPr>
                <w:rFonts w:hint="eastAsia" w:ascii="Times New Roman" w:hAnsi="Times New Roman" w:cs="Times New Roman"/>
                <w:color w:val="auto"/>
                <w:kern w:val="0"/>
                <w:sz w:val="24"/>
                <w:szCs w:val="24"/>
                <w:lang w:val="en-US" w:eastAsia="zh-CN"/>
              </w:rPr>
            </w:pPr>
          </w:p>
        </w:tc>
      </w:tr>
    </w:tbl>
    <w:p w14:paraId="4F3209E7">
      <w:pPr>
        <w:jc w:val="left"/>
        <w:rPr>
          <w:b/>
          <w:bCs/>
          <w:color w:val="auto"/>
          <w:sz w:val="28"/>
          <w:szCs w:val="28"/>
        </w:rPr>
      </w:pPr>
      <w:r>
        <w:rPr>
          <w:rFonts w:hint="eastAsia"/>
          <w:b/>
          <w:bCs/>
          <w:color w:val="auto"/>
          <w:sz w:val="28"/>
          <w:szCs w:val="28"/>
        </w:rPr>
        <w:t>三、区域环境质量现状、环境保护目标及评价标准</w:t>
      </w:r>
    </w:p>
    <w:tbl>
      <w:tblPr>
        <w:tblStyle w:val="29"/>
        <w:tblW w:w="102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2"/>
        <w:gridCol w:w="9423"/>
      </w:tblGrid>
      <w:tr w14:paraId="7F25A8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045" w:hRule="atLeast"/>
          <w:jc w:val="center"/>
        </w:trPr>
        <w:tc>
          <w:tcPr>
            <w:tcW w:w="717" w:type="dxa"/>
            <w:vAlign w:val="center"/>
          </w:tcPr>
          <w:p w14:paraId="7325841C">
            <w:pPr>
              <w:jc w:val="center"/>
              <w:rPr>
                <w:color w:val="auto"/>
                <w:szCs w:val="21"/>
              </w:rPr>
            </w:pPr>
            <w:r>
              <w:rPr>
                <w:rFonts w:hint="eastAsia"/>
                <w:color w:val="auto"/>
                <w:szCs w:val="21"/>
              </w:rPr>
              <w:t>区域环境质量现状</w:t>
            </w:r>
          </w:p>
        </w:tc>
        <w:tc>
          <w:tcPr>
            <w:tcW w:w="8637" w:type="dxa"/>
            <w:vAlign w:val="center"/>
          </w:tcPr>
          <w:p w14:paraId="5431E095">
            <w:pPr>
              <w:widowControl/>
              <w:spacing w:line="360" w:lineRule="auto"/>
              <w:ind w:firstLine="482" w:firstLineChars="200"/>
              <w:jc w:val="left"/>
              <w:rPr>
                <w:rFonts w:ascii="Times New Roman" w:hAnsi="Times New Roman" w:cs="Times New Roman"/>
                <w:b/>
                <w:bCs/>
                <w:color w:val="auto"/>
                <w:sz w:val="24"/>
              </w:rPr>
            </w:pPr>
            <w:r>
              <w:rPr>
                <w:rFonts w:ascii="Times New Roman" w:hAnsi="Times New Roman" w:cs="Times New Roman"/>
                <w:b/>
                <w:bCs/>
                <w:color w:val="auto"/>
                <w:sz w:val="24"/>
              </w:rPr>
              <w:t>1、大气环境</w:t>
            </w:r>
          </w:p>
          <w:p w14:paraId="70DB78D3">
            <w:pPr>
              <w:widowControl/>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（1）项目所在区域达标判断</w:t>
            </w:r>
          </w:p>
          <w:p w14:paraId="13AFA296">
            <w:pPr>
              <w:spacing w:line="360" w:lineRule="auto"/>
              <w:ind w:firstLine="480" w:firstLineChars="200"/>
              <w:rPr>
                <w:rFonts w:ascii="宋体" w:hAnsi="宋体" w:eastAsia="宋体" w:cs="宋体"/>
                <w:color w:val="auto"/>
                <w:sz w:val="24"/>
              </w:rPr>
            </w:pPr>
            <w:r>
              <w:rPr>
                <w:rFonts w:ascii="Times New Roman" w:hAnsi="Times New Roman" w:cs="Times New Roman"/>
                <w:color w:val="auto"/>
                <w:sz w:val="24"/>
              </w:rPr>
              <w:t>根据《环境影响评价技术导则-大气环境》（HJ2.2-2018）：</w:t>
            </w:r>
            <w:r>
              <w:rPr>
                <w:rFonts w:hint="eastAsia" w:ascii="宋体" w:hAnsi="宋体" w:eastAsia="宋体" w:cs="宋体"/>
                <w:color w:val="auto"/>
                <w:sz w:val="24"/>
              </w:rPr>
              <w:t>“</w:t>
            </w:r>
            <w:r>
              <w:rPr>
                <w:rFonts w:ascii="Times New Roman" w:hAnsi="Times New Roman" w:cs="Times New Roman"/>
                <w:color w:val="auto"/>
                <w:sz w:val="24"/>
              </w:rPr>
              <w:t>6.2.1.1项目所在区域达标判定，优先采用国家或地方生态环境主管部门公开发布的评价基准年环境质量公告或环境质量报告中的数据或结论</w:t>
            </w:r>
            <w:r>
              <w:rPr>
                <w:rFonts w:hint="eastAsia" w:ascii="宋体" w:hAnsi="宋体" w:eastAsia="宋体" w:cs="宋体"/>
                <w:color w:val="auto"/>
                <w:sz w:val="24"/>
              </w:rPr>
              <w:t>。”</w:t>
            </w:r>
          </w:p>
          <w:p w14:paraId="661D61F7">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本次评价为202</w:t>
            </w:r>
            <w:r>
              <w:rPr>
                <w:rFonts w:hint="eastAsia" w:ascii="Times New Roman" w:hAnsi="Times New Roman" w:cs="Times New Roman"/>
                <w:color w:val="auto"/>
                <w:sz w:val="24"/>
                <w:lang w:val="en-US" w:eastAsia="zh-CN"/>
              </w:rPr>
              <w:t>4</w:t>
            </w:r>
            <w:r>
              <w:rPr>
                <w:rFonts w:ascii="Times New Roman" w:hAnsi="Times New Roman" w:cs="Times New Roman"/>
                <w:color w:val="auto"/>
                <w:sz w:val="24"/>
              </w:rPr>
              <w:t>年，评价基准年取20</w:t>
            </w:r>
            <w:r>
              <w:rPr>
                <w:rFonts w:hint="eastAsia" w:ascii="Times New Roman" w:hAnsi="Times New Roman" w:cs="Times New Roman"/>
                <w:color w:val="auto"/>
                <w:sz w:val="24"/>
              </w:rPr>
              <w:t>2</w:t>
            </w:r>
            <w:r>
              <w:rPr>
                <w:rFonts w:hint="eastAsia" w:ascii="Times New Roman" w:hAnsi="Times New Roman" w:cs="Times New Roman"/>
                <w:color w:val="auto"/>
                <w:sz w:val="24"/>
                <w:lang w:val="en-US" w:eastAsia="zh-CN"/>
              </w:rPr>
              <w:t>4</w:t>
            </w:r>
            <w:r>
              <w:rPr>
                <w:rFonts w:ascii="Times New Roman" w:hAnsi="Times New Roman" w:cs="Times New Roman"/>
                <w:color w:val="auto"/>
                <w:sz w:val="24"/>
              </w:rPr>
              <w:t>年，城市环境空气质量达标情况评价指标中SO</w:t>
            </w:r>
            <w:r>
              <w:rPr>
                <w:rFonts w:ascii="Times New Roman" w:hAnsi="Times New Roman" w:cs="Times New Roman"/>
                <w:color w:val="auto"/>
                <w:sz w:val="24"/>
                <w:vertAlign w:val="subscript"/>
              </w:rPr>
              <w:t>2</w:t>
            </w:r>
            <w:r>
              <w:rPr>
                <w:rFonts w:ascii="Times New Roman" w:hAnsi="Times New Roman" w:cs="Times New Roman"/>
                <w:color w:val="auto"/>
                <w:sz w:val="24"/>
              </w:rPr>
              <w:t>、NO</w:t>
            </w:r>
            <w:r>
              <w:rPr>
                <w:rFonts w:ascii="Times New Roman" w:hAnsi="Times New Roman" w:cs="Times New Roman"/>
                <w:color w:val="auto"/>
                <w:sz w:val="24"/>
                <w:vertAlign w:val="subscript"/>
              </w:rPr>
              <w:t>2</w:t>
            </w:r>
            <w:r>
              <w:rPr>
                <w:rFonts w:ascii="Times New Roman" w:hAnsi="Times New Roman" w:cs="Times New Roman"/>
                <w:color w:val="auto"/>
                <w:sz w:val="24"/>
              </w:rPr>
              <w:t>、PM</w:t>
            </w:r>
            <w:r>
              <w:rPr>
                <w:rFonts w:ascii="Times New Roman" w:hAnsi="Times New Roman" w:cs="Times New Roman"/>
                <w:color w:val="auto"/>
                <w:sz w:val="24"/>
                <w:vertAlign w:val="subscript"/>
              </w:rPr>
              <w:t>10</w:t>
            </w:r>
            <w:r>
              <w:rPr>
                <w:rFonts w:ascii="Times New Roman" w:hAnsi="Times New Roman" w:cs="Times New Roman"/>
                <w:color w:val="auto"/>
                <w:sz w:val="24"/>
              </w:rPr>
              <w:t>、PM</w:t>
            </w:r>
            <w:r>
              <w:rPr>
                <w:rFonts w:ascii="Times New Roman" w:hAnsi="Times New Roman" w:cs="Times New Roman"/>
                <w:color w:val="auto"/>
                <w:sz w:val="24"/>
                <w:vertAlign w:val="subscript"/>
              </w:rPr>
              <w:t>2.5</w:t>
            </w:r>
            <w:r>
              <w:rPr>
                <w:rFonts w:ascii="Times New Roman" w:hAnsi="Times New Roman" w:cs="Times New Roman"/>
                <w:color w:val="auto"/>
                <w:sz w:val="24"/>
              </w:rPr>
              <w:t>、CO和O</w:t>
            </w:r>
            <w:r>
              <w:rPr>
                <w:rFonts w:ascii="Times New Roman" w:hAnsi="Times New Roman" w:cs="Times New Roman"/>
                <w:color w:val="auto"/>
                <w:sz w:val="24"/>
                <w:vertAlign w:val="subscript"/>
              </w:rPr>
              <w:t>3</w:t>
            </w:r>
            <w:r>
              <w:rPr>
                <w:rFonts w:ascii="Times New Roman" w:hAnsi="Times New Roman" w:cs="Times New Roman"/>
                <w:color w:val="auto"/>
                <w:sz w:val="24"/>
              </w:rPr>
              <w:t>引用</w:t>
            </w:r>
            <w:r>
              <w:rPr>
                <w:rFonts w:hint="eastAsia" w:ascii="Times New Roman" w:hAnsi="Times New Roman" w:cs="Times New Roman"/>
                <w:color w:val="auto"/>
                <w:sz w:val="24"/>
              </w:rPr>
              <w:t>《202</w:t>
            </w:r>
            <w:r>
              <w:rPr>
                <w:rFonts w:hint="eastAsia" w:ascii="Times New Roman" w:hAnsi="Times New Roman" w:cs="Times New Roman"/>
                <w:color w:val="auto"/>
                <w:sz w:val="24"/>
                <w:lang w:val="en-US" w:eastAsia="zh-CN"/>
              </w:rPr>
              <w:t>4</w:t>
            </w:r>
            <w:r>
              <w:rPr>
                <w:rFonts w:hint="eastAsia" w:ascii="Times New Roman" w:hAnsi="Times New Roman" w:cs="Times New Roman"/>
                <w:color w:val="auto"/>
                <w:sz w:val="24"/>
              </w:rPr>
              <w:t>年度淮北市生态环境状况公报》（淮北市生态环境局，202</w:t>
            </w:r>
            <w:r>
              <w:rPr>
                <w:rFonts w:hint="eastAsia" w:ascii="Times New Roman" w:hAnsi="Times New Roman" w:cs="Times New Roman"/>
                <w:color w:val="auto"/>
                <w:sz w:val="24"/>
                <w:lang w:val="en-US" w:eastAsia="zh-CN"/>
              </w:rPr>
              <w:t>5</w:t>
            </w:r>
            <w:r>
              <w:rPr>
                <w:rFonts w:hint="eastAsia" w:ascii="Times New Roman" w:hAnsi="Times New Roman" w:cs="Times New Roman"/>
                <w:color w:val="auto"/>
                <w:sz w:val="24"/>
              </w:rPr>
              <w:t>年06月）</w:t>
            </w:r>
            <w:r>
              <w:rPr>
                <w:rFonts w:ascii="Times New Roman" w:hAnsi="Times New Roman" w:cs="Times New Roman"/>
                <w:color w:val="auto"/>
                <w:sz w:val="24"/>
              </w:rPr>
              <w:t>中数据。</w:t>
            </w:r>
          </w:p>
          <w:p w14:paraId="5058BDD2">
            <w:pPr>
              <w:pStyle w:val="45"/>
              <w:autoSpaceDE w:val="0"/>
              <w:autoSpaceDN w:val="0"/>
              <w:adjustRightInd w:val="0"/>
              <w:snapToGrid w:val="0"/>
              <w:ind w:firstLine="0" w:firstLineChars="0"/>
              <w:jc w:val="center"/>
              <w:rPr>
                <w:rFonts w:ascii="Times New Roman" w:hAnsi="Times New Roman"/>
                <w:b/>
                <w:bCs/>
                <w:color w:val="auto"/>
                <w:sz w:val="24"/>
                <w:lang w:val="zh-CN"/>
              </w:rPr>
            </w:pPr>
            <w:r>
              <w:rPr>
                <w:rFonts w:ascii="Times New Roman" w:hAnsi="Times New Roman"/>
                <w:b/>
                <w:bCs/>
                <w:color w:val="auto"/>
                <w:sz w:val="24"/>
                <w:lang w:val="zh-CN"/>
              </w:rPr>
              <w:t>表</w:t>
            </w:r>
            <w:r>
              <w:rPr>
                <w:rFonts w:ascii="Times New Roman" w:hAnsi="Times New Roman"/>
                <w:b/>
                <w:bCs/>
                <w:color w:val="auto"/>
                <w:sz w:val="24"/>
              </w:rPr>
              <w:t>3.1  区域空气质量现状评价表</w:t>
            </w:r>
          </w:p>
          <w:tbl>
            <w:tblPr>
              <w:tblStyle w:val="2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3018"/>
              <w:gridCol w:w="1531"/>
              <w:gridCol w:w="1239"/>
              <w:gridCol w:w="1306"/>
              <w:gridCol w:w="1151"/>
            </w:tblGrid>
            <w:tr w14:paraId="66F42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tcBorders>
                    <w:bottom w:val="single" w:color="auto" w:sz="4" w:space="0"/>
                    <w:right w:val="single" w:color="auto" w:sz="4" w:space="0"/>
                  </w:tcBorders>
                  <w:vAlign w:val="center"/>
                </w:tcPr>
                <w:p w14:paraId="6C5927F2">
                  <w:pPr>
                    <w:pStyle w:val="43"/>
                    <w:rPr>
                      <w:rFonts w:cs="Times New Roman"/>
                      <w:color w:val="auto"/>
                      <w:szCs w:val="21"/>
                    </w:rPr>
                  </w:pPr>
                  <w:r>
                    <w:rPr>
                      <w:rFonts w:cs="Times New Roman"/>
                      <w:color w:val="auto"/>
                      <w:szCs w:val="21"/>
                    </w:rPr>
                    <w:t>污染物</w:t>
                  </w:r>
                </w:p>
              </w:tc>
              <w:tc>
                <w:tcPr>
                  <w:tcW w:w="3018" w:type="dxa"/>
                  <w:tcBorders>
                    <w:left w:val="single" w:color="auto" w:sz="4" w:space="0"/>
                    <w:bottom w:val="single" w:color="auto" w:sz="4" w:space="0"/>
                    <w:right w:val="single" w:color="auto" w:sz="4" w:space="0"/>
                  </w:tcBorders>
                  <w:vAlign w:val="center"/>
                </w:tcPr>
                <w:p w14:paraId="7DF87987">
                  <w:pPr>
                    <w:pStyle w:val="43"/>
                    <w:rPr>
                      <w:rFonts w:cs="Times New Roman"/>
                      <w:color w:val="auto"/>
                      <w:szCs w:val="21"/>
                    </w:rPr>
                  </w:pPr>
                  <w:r>
                    <w:rPr>
                      <w:rFonts w:cs="Times New Roman"/>
                      <w:color w:val="auto"/>
                      <w:szCs w:val="21"/>
                    </w:rPr>
                    <w:t>评价指标</w:t>
                  </w:r>
                </w:p>
              </w:tc>
              <w:tc>
                <w:tcPr>
                  <w:tcW w:w="1531" w:type="dxa"/>
                  <w:tcBorders>
                    <w:left w:val="single" w:color="auto" w:sz="4" w:space="0"/>
                    <w:bottom w:val="single" w:color="auto" w:sz="4" w:space="0"/>
                    <w:right w:val="single" w:color="auto" w:sz="4" w:space="0"/>
                  </w:tcBorders>
                  <w:vAlign w:val="center"/>
                </w:tcPr>
                <w:p w14:paraId="5C81F771">
                  <w:pPr>
                    <w:pStyle w:val="43"/>
                    <w:rPr>
                      <w:rFonts w:cs="Times New Roman"/>
                      <w:color w:val="auto"/>
                      <w:szCs w:val="21"/>
                    </w:rPr>
                  </w:pPr>
                  <w:r>
                    <w:rPr>
                      <w:rFonts w:cs="Times New Roman"/>
                      <w:color w:val="auto"/>
                      <w:szCs w:val="21"/>
                    </w:rPr>
                    <w:t>年均浓度</w:t>
                  </w:r>
                </w:p>
              </w:tc>
              <w:tc>
                <w:tcPr>
                  <w:tcW w:w="1239" w:type="dxa"/>
                  <w:tcBorders>
                    <w:left w:val="single" w:color="auto" w:sz="4" w:space="0"/>
                    <w:bottom w:val="single" w:color="auto" w:sz="4" w:space="0"/>
                    <w:right w:val="single" w:color="auto" w:sz="4" w:space="0"/>
                  </w:tcBorders>
                  <w:vAlign w:val="center"/>
                </w:tcPr>
                <w:p w14:paraId="46C89DD1">
                  <w:pPr>
                    <w:pStyle w:val="43"/>
                    <w:rPr>
                      <w:rFonts w:cs="Times New Roman"/>
                      <w:color w:val="auto"/>
                      <w:szCs w:val="21"/>
                    </w:rPr>
                  </w:pPr>
                  <w:r>
                    <w:rPr>
                      <w:rFonts w:cs="Times New Roman"/>
                      <w:color w:val="auto"/>
                      <w:szCs w:val="21"/>
                    </w:rPr>
                    <w:t>标准值</w:t>
                  </w:r>
                </w:p>
              </w:tc>
              <w:tc>
                <w:tcPr>
                  <w:tcW w:w="1306" w:type="dxa"/>
                  <w:tcBorders>
                    <w:left w:val="single" w:color="auto" w:sz="4" w:space="0"/>
                    <w:bottom w:val="single" w:color="auto" w:sz="4" w:space="0"/>
                    <w:right w:val="single" w:color="auto" w:sz="4" w:space="0"/>
                  </w:tcBorders>
                  <w:vAlign w:val="center"/>
                </w:tcPr>
                <w:p w14:paraId="63350D6B">
                  <w:pPr>
                    <w:pStyle w:val="43"/>
                    <w:rPr>
                      <w:rFonts w:cs="Times New Roman"/>
                      <w:color w:val="auto"/>
                      <w:szCs w:val="21"/>
                    </w:rPr>
                  </w:pPr>
                  <w:r>
                    <w:rPr>
                      <w:rFonts w:cs="Times New Roman"/>
                      <w:color w:val="auto"/>
                      <w:szCs w:val="21"/>
                    </w:rPr>
                    <w:t>占标率/%</w:t>
                  </w:r>
                </w:p>
              </w:tc>
              <w:tc>
                <w:tcPr>
                  <w:tcW w:w="1151" w:type="dxa"/>
                  <w:tcBorders>
                    <w:left w:val="single" w:color="auto" w:sz="4" w:space="0"/>
                    <w:bottom w:val="single" w:color="auto" w:sz="4" w:space="0"/>
                  </w:tcBorders>
                  <w:vAlign w:val="center"/>
                </w:tcPr>
                <w:p w14:paraId="16B92FB3">
                  <w:pPr>
                    <w:pStyle w:val="43"/>
                    <w:rPr>
                      <w:rFonts w:cs="Times New Roman"/>
                      <w:color w:val="auto"/>
                      <w:szCs w:val="21"/>
                    </w:rPr>
                  </w:pPr>
                  <w:r>
                    <w:rPr>
                      <w:rFonts w:cs="Times New Roman"/>
                      <w:color w:val="auto"/>
                      <w:szCs w:val="21"/>
                    </w:rPr>
                    <w:t>达标情况</w:t>
                  </w:r>
                </w:p>
              </w:tc>
            </w:tr>
            <w:tr w14:paraId="21588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op w:val="single" w:color="auto" w:sz="4" w:space="0"/>
                    <w:bottom w:val="single" w:color="auto" w:sz="4" w:space="0"/>
                    <w:right w:val="single" w:color="auto" w:sz="4" w:space="0"/>
                  </w:tcBorders>
                  <w:shd w:val="clear" w:color="auto" w:fill="auto"/>
                  <w:vAlign w:val="center"/>
                </w:tcPr>
                <w:p w14:paraId="2F699793">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PM</w:t>
                  </w:r>
                  <w:r>
                    <w:rPr>
                      <w:rFonts w:cs="Times New Roman"/>
                      <w:color w:val="auto"/>
                      <w:szCs w:val="21"/>
                      <w:vertAlign w:val="subscript"/>
                    </w:rPr>
                    <w:t>10</w:t>
                  </w:r>
                </w:p>
              </w:tc>
              <w:tc>
                <w:tcPr>
                  <w:tcW w:w="3018" w:type="dxa"/>
                  <w:tcBorders>
                    <w:top w:val="single" w:color="auto" w:sz="4" w:space="0"/>
                    <w:left w:val="single" w:color="auto" w:sz="4" w:space="0"/>
                    <w:bottom w:val="single" w:color="auto" w:sz="4" w:space="0"/>
                    <w:right w:val="single" w:color="auto" w:sz="4" w:space="0"/>
                  </w:tcBorders>
                  <w:shd w:val="clear" w:color="auto" w:fill="auto"/>
                  <w:vAlign w:val="center"/>
                </w:tcPr>
                <w:p w14:paraId="3D989250">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年平均质量浓度</w:t>
                  </w:r>
                </w:p>
              </w:tc>
              <w:tc>
                <w:tcPr>
                  <w:tcW w:w="1531" w:type="dxa"/>
                  <w:tcBorders>
                    <w:top w:val="single" w:color="auto" w:sz="4" w:space="0"/>
                    <w:left w:val="single" w:color="auto" w:sz="4" w:space="0"/>
                    <w:bottom w:val="single" w:color="auto" w:sz="4" w:space="0"/>
                    <w:right w:val="single" w:color="auto" w:sz="4" w:space="0"/>
                  </w:tcBorders>
                  <w:shd w:val="clear" w:color="auto" w:fill="auto"/>
                  <w:vAlign w:val="center"/>
                </w:tcPr>
                <w:p w14:paraId="046CDA31">
                  <w:pPr>
                    <w:pStyle w:val="43"/>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rPr>
                    <w:t>7</w:t>
                  </w:r>
                  <w:r>
                    <w:rPr>
                      <w:rFonts w:hint="eastAsia" w:cs="Times New Roman"/>
                      <w:color w:val="auto"/>
                      <w:szCs w:val="21"/>
                      <w:lang w:val="en-US" w:eastAsia="zh-CN"/>
                    </w:rPr>
                    <w:t>0</w:t>
                  </w:r>
                  <w:r>
                    <w:rPr>
                      <w:rFonts w:cs="Times New Roman"/>
                      <w:color w:val="auto"/>
                      <w:szCs w:val="21"/>
                    </w:rPr>
                    <w:t>μg/m³</w:t>
                  </w:r>
                </w:p>
              </w:tc>
              <w:tc>
                <w:tcPr>
                  <w:tcW w:w="1239" w:type="dxa"/>
                  <w:tcBorders>
                    <w:top w:val="single" w:color="auto" w:sz="4" w:space="0"/>
                    <w:left w:val="single" w:color="auto" w:sz="4" w:space="0"/>
                    <w:bottom w:val="single" w:color="auto" w:sz="4" w:space="0"/>
                    <w:right w:val="single" w:color="auto" w:sz="4" w:space="0"/>
                  </w:tcBorders>
                  <w:shd w:val="clear" w:color="auto" w:fill="auto"/>
                  <w:vAlign w:val="center"/>
                </w:tcPr>
                <w:p w14:paraId="5CDDD27F">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70μg/m³</w:t>
                  </w:r>
                </w:p>
              </w:tc>
              <w:tc>
                <w:tcPr>
                  <w:tcW w:w="1306" w:type="dxa"/>
                  <w:tcBorders>
                    <w:top w:val="single" w:color="auto" w:sz="4" w:space="0"/>
                    <w:left w:val="single" w:color="auto" w:sz="4" w:space="0"/>
                    <w:bottom w:val="single" w:color="auto" w:sz="4" w:space="0"/>
                    <w:right w:val="single" w:color="auto" w:sz="4" w:space="0"/>
                  </w:tcBorders>
                  <w:vAlign w:val="center"/>
                </w:tcPr>
                <w:p w14:paraId="0313749D">
                  <w:pPr>
                    <w:pStyle w:val="43"/>
                    <w:rPr>
                      <w:rFonts w:hint="default" w:eastAsia="宋体" w:cs="Times New Roman"/>
                      <w:color w:val="auto"/>
                      <w:szCs w:val="21"/>
                      <w:lang w:val="en-US" w:eastAsia="zh-CN"/>
                    </w:rPr>
                  </w:pPr>
                  <w:r>
                    <w:rPr>
                      <w:rFonts w:hint="eastAsia" w:cs="Times New Roman"/>
                      <w:color w:val="auto"/>
                      <w:szCs w:val="21"/>
                      <w:lang w:val="en-US" w:eastAsia="zh-CN"/>
                    </w:rPr>
                    <w:t>100</w:t>
                  </w:r>
                </w:p>
              </w:tc>
              <w:tc>
                <w:tcPr>
                  <w:tcW w:w="1151" w:type="dxa"/>
                  <w:tcBorders>
                    <w:top w:val="single" w:color="auto" w:sz="4" w:space="0"/>
                    <w:left w:val="single" w:color="auto" w:sz="4" w:space="0"/>
                    <w:bottom w:val="single" w:color="auto" w:sz="4" w:space="0"/>
                  </w:tcBorders>
                  <w:vAlign w:val="center"/>
                </w:tcPr>
                <w:p w14:paraId="00B418A7">
                  <w:pPr>
                    <w:pStyle w:val="43"/>
                    <w:rPr>
                      <w:rFonts w:cs="Times New Roman"/>
                      <w:color w:val="auto"/>
                      <w:szCs w:val="21"/>
                    </w:rPr>
                  </w:pPr>
                  <w:r>
                    <w:rPr>
                      <w:rFonts w:cs="Times New Roman"/>
                      <w:color w:val="auto"/>
                      <w:szCs w:val="21"/>
                    </w:rPr>
                    <w:t>达标</w:t>
                  </w:r>
                </w:p>
              </w:tc>
            </w:tr>
            <w:tr w14:paraId="77E22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op w:val="single" w:color="auto" w:sz="4" w:space="0"/>
                    <w:bottom w:val="single" w:color="auto" w:sz="4" w:space="0"/>
                    <w:right w:val="single" w:color="auto" w:sz="4" w:space="0"/>
                  </w:tcBorders>
                  <w:shd w:val="clear" w:color="auto" w:fill="auto"/>
                  <w:vAlign w:val="center"/>
                </w:tcPr>
                <w:p w14:paraId="11F97CF1">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PM</w:t>
                  </w:r>
                  <w:r>
                    <w:rPr>
                      <w:rFonts w:cs="Times New Roman"/>
                      <w:color w:val="auto"/>
                      <w:szCs w:val="21"/>
                      <w:vertAlign w:val="subscript"/>
                    </w:rPr>
                    <w:t>2.5</w:t>
                  </w:r>
                </w:p>
              </w:tc>
              <w:tc>
                <w:tcPr>
                  <w:tcW w:w="3018" w:type="dxa"/>
                  <w:tcBorders>
                    <w:top w:val="single" w:color="auto" w:sz="4" w:space="0"/>
                    <w:left w:val="single" w:color="auto" w:sz="4" w:space="0"/>
                    <w:bottom w:val="single" w:color="auto" w:sz="4" w:space="0"/>
                    <w:right w:val="single" w:color="auto" w:sz="4" w:space="0"/>
                  </w:tcBorders>
                  <w:shd w:val="clear" w:color="auto" w:fill="auto"/>
                  <w:vAlign w:val="center"/>
                </w:tcPr>
                <w:p w14:paraId="61BF18E9">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年平均质量浓度</w:t>
                  </w:r>
                </w:p>
              </w:tc>
              <w:tc>
                <w:tcPr>
                  <w:tcW w:w="1531" w:type="dxa"/>
                  <w:tcBorders>
                    <w:top w:val="single" w:color="auto" w:sz="4" w:space="0"/>
                    <w:left w:val="single" w:color="auto" w:sz="4" w:space="0"/>
                    <w:bottom w:val="single" w:color="auto" w:sz="4" w:space="0"/>
                    <w:right w:val="single" w:color="auto" w:sz="4" w:space="0"/>
                  </w:tcBorders>
                  <w:shd w:val="clear" w:color="auto" w:fill="auto"/>
                  <w:vAlign w:val="center"/>
                </w:tcPr>
                <w:p w14:paraId="04EB18D8">
                  <w:pPr>
                    <w:pStyle w:val="43"/>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rPr>
                    <w:t>4</w:t>
                  </w:r>
                  <w:r>
                    <w:rPr>
                      <w:rFonts w:hint="eastAsia" w:cs="Times New Roman"/>
                      <w:color w:val="auto"/>
                      <w:szCs w:val="21"/>
                      <w:lang w:val="en-US" w:eastAsia="zh-CN"/>
                    </w:rPr>
                    <w:t>3</w:t>
                  </w:r>
                  <w:r>
                    <w:rPr>
                      <w:rFonts w:cs="Times New Roman"/>
                      <w:color w:val="auto"/>
                      <w:szCs w:val="21"/>
                    </w:rPr>
                    <w:t>μg/m³</w:t>
                  </w:r>
                </w:p>
              </w:tc>
              <w:tc>
                <w:tcPr>
                  <w:tcW w:w="1239" w:type="dxa"/>
                  <w:tcBorders>
                    <w:top w:val="single" w:color="auto" w:sz="4" w:space="0"/>
                    <w:left w:val="single" w:color="auto" w:sz="4" w:space="0"/>
                    <w:bottom w:val="single" w:color="auto" w:sz="4" w:space="0"/>
                    <w:right w:val="single" w:color="auto" w:sz="4" w:space="0"/>
                  </w:tcBorders>
                  <w:shd w:val="clear" w:color="auto" w:fill="auto"/>
                  <w:vAlign w:val="center"/>
                </w:tcPr>
                <w:p w14:paraId="1D581C5A">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35μg/m³</w:t>
                  </w:r>
                </w:p>
              </w:tc>
              <w:tc>
                <w:tcPr>
                  <w:tcW w:w="1306" w:type="dxa"/>
                  <w:tcBorders>
                    <w:top w:val="single" w:color="auto" w:sz="4" w:space="0"/>
                    <w:left w:val="single" w:color="auto" w:sz="4" w:space="0"/>
                    <w:bottom w:val="single" w:color="auto" w:sz="4" w:space="0"/>
                    <w:right w:val="single" w:color="auto" w:sz="4" w:space="0"/>
                  </w:tcBorders>
                  <w:vAlign w:val="center"/>
                </w:tcPr>
                <w:p w14:paraId="4EB61405">
                  <w:pPr>
                    <w:pStyle w:val="43"/>
                    <w:rPr>
                      <w:rFonts w:hint="eastAsia" w:cs="Times New Roman"/>
                      <w:color w:val="auto"/>
                      <w:szCs w:val="21"/>
                    </w:rPr>
                  </w:pPr>
                </w:p>
              </w:tc>
              <w:tc>
                <w:tcPr>
                  <w:tcW w:w="1151" w:type="dxa"/>
                  <w:tcBorders>
                    <w:top w:val="single" w:color="auto" w:sz="4" w:space="0"/>
                    <w:left w:val="single" w:color="auto" w:sz="4" w:space="0"/>
                    <w:bottom w:val="single" w:color="auto" w:sz="4" w:space="0"/>
                  </w:tcBorders>
                  <w:vAlign w:val="center"/>
                </w:tcPr>
                <w:p w14:paraId="20DAEAAA">
                  <w:pPr>
                    <w:pStyle w:val="43"/>
                    <w:rPr>
                      <w:rFonts w:cs="Times New Roman"/>
                      <w:color w:val="auto"/>
                      <w:szCs w:val="21"/>
                    </w:rPr>
                  </w:pPr>
                  <w:r>
                    <w:rPr>
                      <w:rFonts w:cs="Times New Roman"/>
                      <w:color w:val="auto"/>
                      <w:szCs w:val="21"/>
                    </w:rPr>
                    <w:t>不达标</w:t>
                  </w:r>
                </w:p>
              </w:tc>
            </w:tr>
            <w:tr w14:paraId="4398E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op w:val="single" w:color="auto" w:sz="4" w:space="0"/>
                    <w:bottom w:val="single" w:color="auto" w:sz="4" w:space="0"/>
                    <w:right w:val="single" w:color="auto" w:sz="4" w:space="0"/>
                  </w:tcBorders>
                  <w:vAlign w:val="center"/>
                </w:tcPr>
                <w:p w14:paraId="43FD51D4">
                  <w:pPr>
                    <w:pStyle w:val="43"/>
                    <w:rPr>
                      <w:rFonts w:cs="Times New Roman"/>
                      <w:color w:val="auto"/>
                      <w:szCs w:val="21"/>
                    </w:rPr>
                  </w:pPr>
                  <w:r>
                    <w:rPr>
                      <w:rFonts w:cs="Times New Roman"/>
                      <w:color w:val="auto"/>
                      <w:szCs w:val="21"/>
                    </w:rPr>
                    <w:t>SO</w:t>
                  </w:r>
                  <w:r>
                    <w:rPr>
                      <w:rFonts w:cs="Times New Roman"/>
                      <w:color w:val="auto"/>
                      <w:szCs w:val="21"/>
                      <w:vertAlign w:val="subscript"/>
                    </w:rPr>
                    <w:t>2</w:t>
                  </w:r>
                </w:p>
              </w:tc>
              <w:tc>
                <w:tcPr>
                  <w:tcW w:w="3018" w:type="dxa"/>
                  <w:tcBorders>
                    <w:top w:val="single" w:color="auto" w:sz="4" w:space="0"/>
                    <w:left w:val="single" w:color="auto" w:sz="4" w:space="0"/>
                    <w:bottom w:val="single" w:color="auto" w:sz="4" w:space="0"/>
                    <w:right w:val="single" w:color="auto" w:sz="4" w:space="0"/>
                  </w:tcBorders>
                  <w:vAlign w:val="center"/>
                </w:tcPr>
                <w:p w14:paraId="4098FEB9">
                  <w:pPr>
                    <w:pStyle w:val="43"/>
                    <w:rPr>
                      <w:rFonts w:cs="Times New Roman"/>
                      <w:color w:val="auto"/>
                      <w:szCs w:val="21"/>
                    </w:rPr>
                  </w:pPr>
                  <w:r>
                    <w:rPr>
                      <w:rFonts w:cs="Times New Roman"/>
                      <w:color w:val="auto"/>
                      <w:szCs w:val="21"/>
                    </w:rPr>
                    <w:t>年平均质量浓度</w:t>
                  </w:r>
                </w:p>
              </w:tc>
              <w:tc>
                <w:tcPr>
                  <w:tcW w:w="1531" w:type="dxa"/>
                  <w:tcBorders>
                    <w:top w:val="single" w:color="auto" w:sz="4" w:space="0"/>
                    <w:left w:val="single" w:color="auto" w:sz="4" w:space="0"/>
                    <w:bottom w:val="single" w:color="auto" w:sz="4" w:space="0"/>
                    <w:right w:val="single" w:color="auto" w:sz="4" w:space="0"/>
                  </w:tcBorders>
                  <w:vAlign w:val="center"/>
                </w:tcPr>
                <w:p w14:paraId="67E3CC74">
                  <w:pPr>
                    <w:pStyle w:val="43"/>
                    <w:rPr>
                      <w:rFonts w:cs="Times New Roman"/>
                      <w:color w:val="auto"/>
                      <w:szCs w:val="21"/>
                    </w:rPr>
                  </w:pPr>
                  <w:r>
                    <w:rPr>
                      <w:rFonts w:hint="eastAsia" w:cs="Times New Roman"/>
                      <w:color w:val="auto"/>
                      <w:szCs w:val="21"/>
                      <w:lang w:val="en-US" w:eastAsia="zh-CN"/>
                    </w:rPr>
                    <w:t>6</w:t>
                  </w:r>
                  <w:r>
                    <w:rPr>
                      <w:rFonts w:cs="Times New Roman"/>
                      <w:color w:val="auto"/>
                      <w:szCs w:val="21"/>
                    </w:rPr>
                    <w:t>μg/m³</w:t>
                  </w:r>
                </w:p>
              </w:tc>
              <w:tc>
                <w:tcPr>
                  <w:tcW w:w="1239" w:type="dxa"/>
                  <w:tcBorders>
                    <w:top w:val="single" w:color="auto" w:sz="4" w:space="0"/>
                    <w:left w:val="single" w:color="auto" w:sz="4" w:space="0"/>
                    <w:bottom w:val="single" w:color="auto" w:sz="4" w:space="0"/>
                    <w:right w:val="single" w:color="auto" w:sz="4" w:space="0"/>
                  </w:tcBorders>
                  <w:vAlign w:val="center"/>
                </w:tcPr>
                <w:p w14:paraId="05FE71DA">
                  <w:pPr>
                    <w:pStyle w:val="43"/>
                    <w:rPr>
                      <w:rFonts w:cs="Times New Roman"/>
                      <w:color w:val="auto"/>
                      <w:szCs w:val="21"/>
                    </w:rPr>
                  </w:pPr>
                  <w:r>
                    <w:rPr>
                      <w:rFonts w:cs="Times New Roman"/>
                      <w:color w:val="auto"/>
                      <w:szCs w:val="21"/>
                    </w:rPr>
                    <w:t>60μg/m³</w:t>
                  </w:r>
                </w:p>
              </w:tc>
              <w:tc>
                <w:tcPr>
                  <w:tcW w:w="1306" w:type="dxa"/>
                  <w:tcBorders>
                    <w:top w:val="single" w:color="auto" w:sz="4" w:space="0"/>
                    <w:left w:val="single" w:color="auto" w:sz="4" w:space="0"/>
                    <w:bottom w:val="single" w:color="auto" w:sz="4" w:space="0"/>
                    <w:right w:val="single" w:color="auto" w:sz="4" w:space="0"/>
                  </w:tcBorders>
                  <w:vAlign w:val="center"/>
                </w:tcPr>
                <w:p w14:paraId="32949DAC">
                  <w:pPr>
                    <w:pStyle w:val="43"/>
                    <w:rPr>
                      <w:rFonts w:cs="Times New Roman"/>
                      <w:color w:val="auto"/>
                      <w:szCs w:val="21"/>
                    </w:rPr>
                  </w:pPr>
                  <w:r>
                    <w:rPr>
                      <w:rFonts w:hint="eastAsia" w:cs="Times New Roman"/>
                      <w:color w:val="auto"/>
                      <w:szCs w:val="21"/>
                    </w:rPr>
                    <w:t>11.7</w:t>
                  </w:r>
                </w:p>
              </w:tc>
              <w:tc>
                <w:tcPr>
                  <w:tcW w:w="1151" w:type="dxa"/>
                  <w:tcBorders>
                    <w:top w:val="single" w:color="auto" w:sz="4" w:space="0"/>
                    <w:left w:val="single" w:color="auto" w:sz="4" w:space="0"/>
                    <w:bottom w:val="single" w:color="auto" w:sz="4" w:space="0"/>
                  </w:tcBorders>
                  <w:vAlign w:val="center"/>
                </w:tcPr>
                <w:p w14:paraId="6CEC3F61">
                  <w:pPr>
                    <w:pStyle w:val="43"/>
                    <w:rPr>
                      <w:rFonts w:cs="Times New Roman"/>
                      <w:color w:val="auto"/>
                      <w:szCs w:val="21"/>
                    </w:rPr>
                  </w:pPr>
                  <w:r>
                    <w:rPr>
                      <w:rFonts w:cs="Times New Roman"/>
                      <w:color w:val="auto"/>
                      <w:szCs w:val="21"/>
                    </w:rPr>
                    <w:t>达标</w:t>
                  </w:r>
                </w:p>
              </w:tc>
            </w:tr>
            <w:tr w14:paraId="05F8D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op w:val="single" w:color="auto" w:sz="4" w:space="0"/>
                    <w:bottom w:val="single" w:color="auto" w:sz="4" w:space="0"/>
                    <w:right w:val="single" w:color="auto" w:sz="4" w:space="0"/>
                  </w:tcBorders>
                  <w:vAlign w:val="center"/>
                </w:tcPr>
                <w:p w14:paraId="48FAE58E">
                  <w:pPr>
                    <w:pStyle w:val="43"/>
                    <w:rPr>
                      <w:rFonts w:cs="Times New Roman"/>
                      <w:color w:val="auto"/>
                      <w:szCs w:val="21"/>
                    </w:rPr>
                  </w:pPr>
                  <w:r>
                    <w:rPr>
                      <w:rFonts w:cs="Times New Roman"/>
                      <w:color w:val="auto"/>
                      <w:szCs w:val="21"/>
                    </w:rPr>
                    <w:t>NO</w:t>
                  </w:r>
                  <w:r>
                    <w:rPr>
                      <w:rFonts w:cs="Times New Roman"/>
                      <w:color w:val="auto"/>
                      <w:szCs w:val="21"/>
                      <w:vertAlign w:val="subscript"/>
                    </w:rPr>
                    <w:t>2</w:t>
                  </w:r>
                </w:p>
              </w:tc>
              <w:tc>
                <w:tcPr>
                  <w:tcW w:w="3018" w:type="dxa"/>
                  <w:tcBorders>
                    <w:top w:val="single" w:color="auto" w:sz="4" w:space="0"/>
                    <w:left w:val="single" w:color="auto" w:sz="4" w:space="0"/>
                    <w:bottom w:val="single" w:color="auto" w:sz="4" w:space="0"/>
                    <w:right w:val="single" w:color="auto" w:sz="4" w:space="0"/>
                  </w:tcBorders>
                  <w:vAlign w:val="center"/>
                </w:tcPr>
                <w:p w14:paraId="70AFE94A">
                  <w:pPr>
                    <w:pStyle w:val="43"/>
                    <w:rPr>
                      <w:rFonts w:cs="Times New Roman"/>
                      <w:color w:val="auto"/>
                      <w:szCs w:val="21"/>
                    </w:rPr>
                  </w:pPr>
                  <w:r>
                    <w:rPr>
                      <w:rFonts w:cs="Times New Roman"/>
                      <w:color w:val="auto"/>
                      <w:szCs w:val="21"/>
                    </w:rPr>
                    <w:t>年平均质量浓度</w:t>
                  </w:r>
                </w:p>
              </w:tc>
              <w:tc>
                <w:tcPr>
                  <w:tcW w:w="1531" w:type="dxa"/>
                  <w:tcBorders>
                    <w:top w:val="single" w:color="auto" w:sz="4" w:space="0"/>
                    <w:left w:val="single" w:color="auto" w:sz="4" w:space="0"/>
                    <w:bottom w:val="single" w:color="auto" w:sz="4" w:space="0"/>
                    <w:right w:val="single" w:color="auto" w:sz="4" w:space="0"/>
                  </w:tcBorders>
                  <w:vAlign w:val="center"/>
                </w:tcPr>
                <w:p w14:paraId="2BECD23F">
                  <w:pPr>
                    <w:pStyle w:val="43"/>
                    <w:rPr>
                      <w:rFonts w:cs="Times New Roman"/>
                      <w:color w:val="auto"/>
                      <w:szCs w:val="21"/>
                    </w:rPr>
                  </w:pPr>
                  <w:r>
                    <w:rPr>
                      <w:rFonts w:hint="eastAsia" w:cs="Times New Roman"/>
                      <w:color w:val="auto"/>
                      <w:szCs w:val="21"/>
                      <w:lang w:val="en-US" w:eastAsia="zh-CN"/>
                    </w:rPr>
                    <w:t>19</w:t>
                  </w:r>
                  <w:r>
                    <w:rPr>
                      <w:rFonts w:cs="Times New Roman"/>
                      <w:color w:val="auto"/>
                      <w:szCs w:val="21"/>
                    </w:rPr>
                    <w:t>μg/m³</w:t>
                  </w:r>
                </w:p>
              </w:tc>
              <w:tc>
                <w:tcPr>
                  <w:tcW w:w="1239" w:type="dxa"/>
                  <w:tcBorders>
                    <w:top w:val="single" w:color="auto" w:sz="4" w:space="0"/>
                    <w:left w:val="single" w:color="auto" w:sz="4" w:space="0"/>
                    <w:bottom w:val="single" w:color="auto" w:sz="4" w:space="0"/>
                    <w:right w:val="single" w:color="auto" w:sz="4" w:space="0"/>
                  </w:tcBorders>
                  <w:vAlign w:val="center"/>
                </w:tcPr>
                <w:p w14:paraId="6BC80D66">
                  <w:pPr>
                    <w:pStyle w:val="43"/>
                    <w:rPr>
                      <w:rFonts w:cs="Times New Roman"/>
                      <w:color w:val="auto"/>
                      <w:szCs w:val="21"/>
                    </w:rPr>
                  </w:pPr>
                  <w:r>
                    <w:rPr>
                      <w:rFonts w:cs="Times New Roman"/>
                      <w:color w:val="auto"/>
                      <w:szCs w:val="21"/>
                    </w:rPr>
                    <w:t>40μg/m³</w:t>
                  </w:r>
                </w:p>
              </w:tc>
              <w:tc>
                <w:tcPr>
                  <w:tcW w:w="1306" w:type="dxa"/>
                  <w:tcBorders>
                    <w:top w:val="single" w:color="auto" w:sz="4" w:space="0"/>
                    <w:left w:val="single" w:color="auto" w:sz="4" w:space="0"/>
                    <w:bottom w:val="single" w:color="auto" w:sz="4" w:space="0"/>
                    <w:right w:val="single" w:color="auto" w:sz="4" w:space="0"/>
                  </w:tcBorders>
                  <w:vAlign w:val="center"/>
                </w:tcPr>
                <w:p w14:paraId="472D4F36">
                  <w:pPr>
                    <w:pStyle w:val="43"/>
                    <w:rPr>
                      <w:rFonts w:cs="Times New Roman"/>
                      <w:color w:val="auto"/>
                      <w:szCs w:val="21"/>
                    </w:rPr>
                  </w:pPr>
                  <w:r>
                    <w:rPr>
                      <w:rFonts w:hint="eastAsia" w:cs="Times New Roman"/>
                      <w:color w:val="auto"/>
                      <w:szCs w:val="21"/>
                    </w:rPr>
                    <w:t>57.5</w:t>
                  </w:r>
                </w:p>
              </w:tc>
              <w:tc>
                <w:tcPr>
                  <w:tcW w:w="1151" w:type="dxa"/>
                  <w:tcBorders>
                    <w:top w:val="single" w:color="auto" w:sz="4" w:space="0"/>
                    <w:left w:val="single" w:color="auto" w:sz="4" w:space="0"/>
                    <w:bottom w:val="single" w:color="auto" w:sz="4" w:space="0"/>
                  </w:tcBorders>
                  <w:vAlign w:val="center"/>
                </w:tcPr>
                <w:p w14:paraId="1006BD46">
                  <w:pPr>
                    <w:pStyle w:val="43"/>
                    <w:rPr>
                      <w:rFonts w:cs="Times New Roman"/>
                      <w:color w:val="auto"/>
                      <w:szCs w:val="21"/>
                    </w:rPr>
                  </w:pPr>
                  <w:r>
                    <w:rPr>
                      <w:rFonts w:cs="Times New Roman"/>
                      <w:color w:val="auto"/>
                      <w:szCs w:val="21"/>
                    </w:rPr>
                    <w:t>达标</w:t>
                  </w:r>
                </w:p>
              </w:tc>
            </w:tr>
            <w:tr w14:paraId="33D51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op w:val="single" w:color="auto" w:sz="4" w:space="0"/>
                    <w:bottom w:val="single" w:color="auto" w:sz="4" w:space="0"/>
                    <w:right w:val="single" w:color="auto" w:sz="4" w:space="0"/>
                  </w:tcBorders>
                  <w:vAlign w:val="center"/>
                </w:tcPr>
                <w:p w14:paraId="1C3503A3">
                  <w:pPr>
                    <w:pStyle w:val="43"/>
                    <w:rPr>
                      <w:rFonts w:cs="Times New Roman"/>
                      <w:color w:val="auto"/>
                      <w:szCs w:val="21"/>
                    </w:rPr>
                  </w:pPr>
                  <w:r>
                    <w:rPr>
                      <w:rFonts w:cs="Times New Roman"/>
                      <w:color w:val="auto"/>
                      <w:szCs w:val="21"/>
                    </w:rPr>
                    <w:t>CO</w:t>
                  </w:r>
                </w:p>
              </w:tc>
              <w:tc>
                <w:tcPr>
                  <w:tcW w:w="3018" w:type="dxa"/>
                  <w:tcBorders>
                    <w:top w:val="single" w:color="auto" w:sz="4" w:space="0"/>
                    <w:left w:val="single" w:color="auto" w:sz="4" w:space="0"/>
                    <w:bottom w:val="single" w:color="auto" w:sz="4" w:space="0"/>
                    <w:right w:val="single" w:color="auto" w:sz="4" w:space="0"/>
                  </w:tcBorders>
                  <w:vAlign w:val="center"/>
                </w:tcPr>
                <w:p w14:paraId="6F8FB00B">
                  <w:pPr>
                    <w:pStyle w:val="43"/>
                    <w:rPr>
                      <w:rFonts w:cs="Times New Roman"/>
                      <w:color w:val="auto"/>
                      <w:szCs w:val="21"/>
                    </w:rPr>
                  </w:pPr>
                  <w:r>
                    <w:rPr>
                      <w:rFonts w:cs="Times New Roman"/>
                      <w:color w:val="auto"/>
                      <w:szCs w:val="21"/>
                    </w:rPr>
                    <w:t>日平均第95百分位质量浓度</w:t>
                  </w:r>
                </w:p>
              </w:tc>
              <w:tc>
                <w:tcPr>
                  <w:tcW w:w="1531" w:type="dxa"/>
                  <w:tcBorders>
                    <w:top w:val="single" w:color="auto" w:sz="4" w:space="0"/>
                    <w:left w:val="single" w:color="auto" w:sz="4" w:space="0"/>
                    <w:bottom w:val="single" w:color="auto" w:sz="4" w:space="0"/>
                    <w:right w:val="single" w:color="auto" w:sz="4" w:space="0"/>
                  </w:tcBorders>
                  <w:vAlign w:val="center"/>
                </w:tcPr>
                <w:p w14:paraId="202835D7">
                  <w:pPr>
                    <w:pStyle w:val="43"/>
                    <w:rPr>
                      <w:rFonts w:cs="Times New Roman"/>
                      <w:color w:val="auto"/>
                      <w:szCs w:val="21"/>
                    </w:rPr>
                  </w:pPr>
                  <w:r>
                    <w:rPr>
                      <w:rFonts w:hint="eastAsia" w:cs="Times New Roman"/>
                      <w:color w:val="auto"/>
                      <w:szCs w:val="21"/>
                    </w:rPr>
                    <w:t>1.0</w:t>
                  </w:r>
                  <w:r>
                    <w:rPr>
                      <w:rFonts w:cs="Times New Roman"/>
                      <w:color w:val="auto"/>
                      <w:szCs w:val="21"/>
                    </w:rPr>
                    <w:t>mg/m³</w:t>
                  </w:r>
                </w:p>
              </w:tc>
              <w:tc>
                <w:tcPr>
                  <w:tcW w:w="1239" w:type="dxa"/>
                  <w:tcBorders>
                    <w:top w:val="single" w:color="auto" w:sz="4" w:space="0"/>
                    <w:left w:val="single" w:color="auto" w:sz="4" w:space="0"/>
                    <w:bottom w:val="single" w:color="auto" w:sz="4" w:space="0"/>
                    <w:right w:val="single" w:color="auto" w:sz="4" w:space="0"/>
                  </w:tcBorders>
                  <w:vAlign w:val="center"/>
                </w:tcPr>
                <w:p w14:paraId="46437BE2">
                  <w:pPr>
                    <w:pStyle w:val="43"/>
                    <w:rPr>
                      <w:rFonts w:cs="Times New Roman"/>
                      <w:color w:val="auto"/>
                      <w:szCs w:val="21"/>
                    </w:rPr>
                  </w:pPr>
                  <w:r>
                    <w:rPr>
                      <w:rFonts w:cs="Times New Roman"/>
                      <w:color w:val="auto"/>
                      <w:szCs w:val="21"/>
                    </w:rPr>
                    <w:t>4mg/m³</w:t>
                  </w:r>
                </w:p>
              </w:tc>
              <w:tc>
                <w:tcPr>
                  <w:tcW w:w="1306" w:type="dxa"/>
                  <w:tcBorders>
                    <w:top w:val="single" w:color="auto" w:sz="4" w:space="0"/>
                    <w:left w:val="single" w:color="auto" w:sz="4" w:space="0"/>
                    <w:bottom w:val="single" w:color="auto" w:sz="4" w:space="0"/>
                    <w:right w:val="single" w:color="auto" w:sz="4" w:space="0"/>
                  </w:tcBorders>
                  <w:vAlign w:val="center"/>
                </w:tcPr>
                <w:p w14:paraId="32C4A9B8">
                  <w:pPr>
                    <w:pStyle w:val="43"/>
                    <w:rPr>
                      <w:rFonts w:cs="Times New Roman"/>
                      <w:color w:val="auto"/>
                      <w:szCs w:val="21"/>
                    </w:rPr>
                  </w:pPr>
                  <w:r>
                    <w:rPr>
                      <w:rFonts w:hint="eastAsia" w:cs="Times New Roman"/>
                      <w:color w:val="auto"/>
                      <w:szCs w:val="21"/>
                    </w:rPr>
                    <w:t>25</w:t>
                  </w:r>
                </w:p>
              </w:tc>
              <w:tc>
                <w:tcPr>
                  <w:tcW w:w="1151" w:type="dxa"/>
                  <w:tcBorders>
                    <w:top w:val="single" w:color="auto" w:sz="4" w:space="0"/>
                    <w:left w:val="single" w:color="auto" w:sz="4" w:space="0"/>
                    <w:bottom w:val="single" w:color="auto" w:sz="4" w:space="0"/>
                  </w:tcBorders>
                  <w:vAlign w:val="center"/>
                </w:tcPr>
                <w:p w14:paraId="25F3A082">
                  <w:pPr>
                    <w:pStyle w:val="43"/>
                    <w:rPr>
                      <w:rFonts w:cs="Times New Roman"/>
                      <w:color w:val="auto"/>
                      <w:szCs w:val="21"/>
                    </w:rPr>
                  </w:pPr>
                  <w:r>
                    <w:rPr>
                      <w:rFonts w:cs="Times New Roman"/>
                      <w:color w:val="auto"/>
                      <w:szCs w:val="21"/>
                    </w:rPr>
                    <w:t>达标</w:t>
                  </w:r>
                </w:p>
              </w:tc>
            </w:tr>
            <w:tr w14:paraId="755A1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op w:val="single" w:color="auto" w:sz="4" w:space="0"/>
                    <w:right w:val="single" w:color="auto" w:sz="4" w:space="0"/>
                  </w:tcBorders>
                  <w:shd w:val="clear" w:color="auto" w:fill="auto"/>
                  <w:vAlign w:val="center"/>
                </w:tcPr>
                <w:p w14:paraId="0460250B">
                  <w:pPr>
                    <w:pStyle w:val="43"/>
                    <w:rPr>
                      <w:rFonts w:cs="Times New Roman"/>
                      <w:color w:val="auto"/>
                      <w:szCs w:val="21"/>
                    </w:rPr>
                  </w:pPr>
                  <w:r>
                    <w:rPr>
                      <w:rFonts w:cs="Times New Roman"/>
                      <w:color w:val="auto"/>
                      <w:szCs w:val="21"/>
                    </w:rPr>
                    <w:t>O</w:t>
                  </w:r>
                  <w:r>
                    <w:rPr>
                      <w:rFonts w:cs="Times New Roman"/>
                      <w:color w:val="auto"/>
                      <w:szCs w:val="21"/>
                      <w:vertAlign w:val="subscript"/>
                    </w:rPr>
                    <w:t>3</w:t>
                  </w:r>
                </w:p>
              </w:tc>
              <w:tc>
                <w:tcPr>
                  <w:tcW w:w="3018" w:type="dxa"/>
                  <w:tcBorders>
                    <w:top w:val="single" w:color="auto" w:sz="4" w:space="0"/>
                    <w:left w:val="single" w:color="auto" w:sz="4" w:space="0"/>
                    <w:right w:val="single" w:color="auto" w:sz="4" w:space="0"/>
                  </w:tcBorders>
                  <w:shd w:val="clear" w:color="auto" w:fill="auto"/>
                  <w:vAlign w:val="center"/>
                </w:tcPr>
                <w:p w14:paraId="3692CE86">
                  <w:pPr>
                    <w:pStyle w:val="43"/>
                    <w:rPr>
                      <w:rFonts w:cs="Times New Roman"/>
                      <w:color w:val="auto"/>
                      <w:szCs w:val="21"/>
                    </w:rPr>
                  </w:pPr>
                  <w:r>
                    <w:rPr>
                      <w:rFonts w:cs="Times New Roman"/>
                      <w:color w:val="auto"/>
                      <w:szCs w:val="21"/>
                    </w:rPr>
                    <w:t>日8小时最大平均第90百分位质量浓度</w:t>
                  </w:r>
                </w:p>
              </w:tc>
              <w:tc>
                <w:tcPr>
                  <w:tcW w:w="1531" w:type="dxa"/>
                  <w:tcBorders>
                    <w:top w:val="single" w:color="auto" w:sz="4" w:space="0"/>
                    <w:left w:val="single" w:color="auto" w:sz="4" w:space="0"/>
                    <w:right w:val="single" w:color="auto" w:sz="4" w:space="0"/>
                  </w:tcBorders>
                  <w:shd w:val="clear" w:color="auto" w:fill="auto"/>
                  <w:vAlign w:val="center"/>
                </w:tcPr>
                <w:p w14:paraId="1645478C">
                  <w:pPr>
                    <w:pStyle w:val="43"/>
                    <w:rPr>
                      <w:rFonts w:cs="Times New Roman"/>
                      <w:color w:val="auto"/>
                      <w:szCs w:val="21"/>
                    </w:rPr>
                  </w:pPr>
                  <w:r>
                    <w:rPr>
                      <w:rFonts w:cs="Times New Roman"/>
                      <w:color w:val="auto"/>
                      <w:szCs w:val="21"/>
                    </w:rPr>
                    <w:t>1</w:t>
                  </w:r>
                  <w:r>
                    <w:rPr>
                      <w:rFonts w:hint="eastAsia" w:cs="Times New Roman"/>
                      <w:color w:val="auto"/>
                      <w:szCs w:val="21"/>
                      <w:lang w:val="en-US" w:eastAsia="zh-CN"/>
                    </w:rPr>
                    <w:t>75</w:t>
                  </w:r>
                  <w:r>
                    <w:rPr>
                      <w:rFonts w:cs="Times New Roman"/>
                      <w:color w:val="auto"/>
                      <w:szCs w:val="21"/>
                    </w:rPr>
                    <w:t>μg/m³</w:t>
                  </w:r>
                </w:p>
              </w:tc>
              <w:tc>
                <w:tcPr>
                  <w:tcW w:w="1239" w:type="dxa"/>
                  <w:tcBorders>
                    <w:top w:val="single" w:color="auto" w:sz="4" w:space="0"/>
                    <w:left w:val="single" w:color="auto" w:sz="4" w:space="0"/>
                    <w:right w:val="single" w:color="auto" w:sz="4" w:space="0"/>
                  </w:tcBorders>
                  <w:shd w:val="clear" w:color="auto" w:fill="auto"/>
                  <w:vAlign w:val="center"/>
                </w:tcPr>
                <w:p w14:paraId="39E05787">
                  <w:pPr>
                    <w:pStyle w:val="43"/>
                    <w:rPr>
                      <w:rFonts w:cs="Times New Roman"/>
                      <w:color w:val="auto"/>
                      <w:szCs w:val="21"/>
                    </w:rPr>
                  </w:pPr>
                  <w:r>
                    <w:rPr>
                      <w:rFonts w:cs="Times New Roman"/>
                      <w:color w:val="auto"/>
                      <w:szCs w:val="21"/>
                    </w:rPr>
                    <w:t>160μg/m³</w:t>
                  </w:r>
                </w:p>
              </w:tc>
              <w:tc>
                <w:tcPr>
                  <w:tcW w:w="1306" w:type="dxa"/>
                  <w:tcBorders>
                    <w:top w:val="single" w:color="auto" w:sz="4" w:space="0"/>
                    <w:left w:val="single" w:color="auto" w:sz="4" w:space="0"/>
                    <w:right w:val="single" w:color="auto" w:sz="4" w:space="0"/>
                  </w:tcBorders>
                  <w:shd w:val="clear" w:color="auto" w:fill="auto"/>
                  <w:vAlign w:val="center"/>
                </w:tcPr>
                <w:p w14:paraId="051440A4">
                  <w:pPr>
                    <w:pStyle w:val="43"/>
                    <w:rPr>
                      <w:rFonts w:cs="Times New Roman"/>
                      <w:color w:val="auto"/>
                      <w:szCs w:val="21"/>
                    </w:rPr>
                  </w:pPr>
                  <w:r>
                    <w:rPr>
                      <w:rFonts w:hint="eastAsia" w:cs="Times New Roman"/>
                      <w:color w:val="auto"/>
                      <w:szCs w:val="21"/>
                    </w:rPr>
                    <w:t>95</w:t>
                  </w:r>
                </w:p>
              </w:tc>
              <w:tc>
                <w:tcPr>
                  <w:tcW w:w="1151" w:type="dxa"/>
                  <w:tcBorders>
                    <w:top w:val="single" w:color="auto" w:sz="4" w:space="0"/>
                    <w:left w:val="single" w:color="auto" w:sz="4" w:space="0"/>
                  </w:tcBorders>
                  <w:vAlign w:val="center"/>
                </w:tcPr>
                <w:p w14:paraId="4E6857AD">
                  <w:pPr>
                    <w:pStyle w:val="43"/>
                    <w:rPr>
                      <w:rFonts w:cs="Times New Roman"/>
                      <w:color w:val="auto"/>
                      <w:szCs w:val="21"/>
                    </w:rPr>
                  </w:pPr>
                  <w:r>
                    <w:rPr>
                      <w:rFonts w:hint="eastAsia" w:cs="Times New Roman"/>
                      <w:color w:val="auto"/>
                      <w:szCs w:val="21"/>
                      <w:lang w:val="en-US" w:eastAsia="zh-CN"/>
                    </w:rPr>
                    <w:t>不</w:t>
                  </w:r>
                  <w:r>
                    <w:rPr>
                      <w:rFonts w:cs="Times New Roman"/>
                      <w:color w:val="auto"/>
                      <w:szCs w:val="21"/>
                    </w:rPr>
                    <w:t>达标</w:t>
                  </w:r>
                </w:p>
              </w:tc>
            </w:tr>
          </w:tbl>
          <w:p w14:paraId="3E69BB8A">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由上表3.1可知，该项目区六项污染中</w:t>
            </w:r>
            <w:r>
              <w:rPr>
                <w:rFonts w:hint="eastAsia" w:ascii="Times New Roman" w:hAnsi="Times New Roman" w:cs="Times New Roman"/>
                <w:color w:val="auto"/>
                <w:sz w:val="24"/>
                <w:szCs w:val="24"/>
                <w:lang w:val="en-US" w:eastAsia="zh-CN"/>
              </w:rPr>
              <w:t>O</w:t>
            </w:r>
            <w:r>
              <w:rPr>
                <w:rFonts w:hint="eastAsia" w:ascii="Times New Roman" w:hAnsi="Times New Roman" w:cs="Times New Roman"/>
                <w:color w:val="auto"/>
                <w:sz w:val="24"/>
                <w:szCs w:val="24"/>
                <w:vertAlign w:val="subscript"/>
                <w:lang w:val="en-US" w:eastAsia="zh-CN"/>
              </w:rPr>
              <w:t>3</w:t>
            </w:r>
            <w:r>
              <w:rPr>
                <w:rFonts w:hint="eastAsia" w:ascii="Times New Roman" w:hAnsi="Times New Roman" w:cs="Times New Roman"/>
                <w:color w:val="auto"/>
                <w:sz w:val="24"/>
              </w:rPr>
              <w:t>和</w:t>
            </w:r>
            <w:r>
              <w:rPr>
                <w:rFonts w:ascii="Times New Roman" w:hAnsi="Times New Roman" w:cs="Times New Roman"/>
                <w:color w:val="auto"/>
                <w:sz w:val="24"/>
              </w:rPr>
              <w:t>PM</w:t>
            </w:r>
            <w:r>
              <w:rPr>
                <w:rFonts w:ascii="Times New Roman" w:hAnsi="Times New Roman" w:cs="Times New Roman"/>
                <w:color w:val="auto"/>
                <w:sz w:val="24"/>
                <w:vertAlign w:val="subscript"/>
              </w:rPr>
              <w:t>2.5</w:t>
            </w:r>
            <w:r>
              <w:rPr>
                <w:rFonts w:ascii="Times New Roman" w:hAnsi="Times New Roman" w:cs="Times New Roman"/>
                <w:color w:val="auto"/>
                <w:sz w:val="24"/>
              </w:rPr>
              <w:t>不达标，则该项目区为城市环境质量</w:t>
            </w:r>
            <w:r>
              <w:rPr>
                <w:rFonts w:ascii="Times New Roman" w:hAnsi="Times New Roman" w:cs="Times New Roman"/>
                <w:b/>
                <w:bCs/>
                <w:color w:val="auto"/>
                <w:sz w:val="24"/>
              </w:rPr>
              <w:t>不达标区</w:t>
            </w:r>
            <w:r>
              <w:rPr>
                <w:rFonts w:ascii="Times New Roman" w:hAnsi="Times New Roman" w:cs="Times New Roman"/>
                <w:color w:val="auto"/>
                <w:sz w:val="24"/>
              </w:rPr>
              <w:t>。</w:t>
            </w:r>
          </w:p>
          <w:p w14:paraId="4EF45319">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2、地表水环境</w:t>
            </w:r>
          </w:p>
          <w:p w14:paraId="4E7C790C">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建设项目环境影响报告表编制技术指南（污染影响类）》：“引用与建设项目距离近的有效数据，包括近3年的规划环境影响评价的检测数据，所在流域控制单元内国家、地方控制断面检测数据，生态环境主管部门发布的水环境质量数据或地表水达标情况的结论。”</w:t>
            </w:r>
            <w:r>
              <w:rPr>
                <w:rFonts w:hint="eastAsia" w:ascii="Times New Roman" w:hAnsi="Times New Roman" w:cs="Times New Roman"/>
                <w:color w:val="auto"/>
                <w:sz w:val="24"/>
                <w:lang w:val="en-US" w:eastAsia="zh-CN"/>
              </w:rPr>
              <w:t>项目区</w:t>
            </w:r>
            <w:r>
              <w:rPr>
                <w:rFonts w:hint="eastAsia" w:ascii="Times New Roman" w:hAnsi="Times New Roman" w:cs="Times New Roman"/>
                <w:color w:val="auto"/>
                <w:sz w:val="24"/>
              </w:rPr>
              <w:t>各项监测指标均能满足《地表水环境质量标准》</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rPr>
              <w:t>GB3838-2002</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rPr>
              <w:t>中的Ⅳ类水标准要求</w:t>
            </w:r>
            <w:r>
              <w:rPr>
                <w:rFonts w:ascii="Times New Roman" w:hAnsi="Times New Roman" w:cs="Times New Roman"/>
                <w:color w:val="auto"/>
                <w:sz w:val="24"/>
              </w:rPr>
              <w:t>求。</w:t>
            </w:r>
          </w:p>
          <w:p w14:paraId="6E7CE62A">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3、声环境</w:t>
            </w:r>
          </w:p>
          <w:p w14:paraId="024C1C9E">
            <w:pPr>
              <w:pStyle w:val="41"/>
              <w:spacing w:line="360" w:lineRule="auto"/>
              <w:ind w:firstLine="480"/>
              <w:rPr>
                <w:rFonts w:ascii="Times New Roman" w:hAnsi="Times New Roman" w:cs="Times New Roman"/>
                <w:color w:val="auto"/>
                <w:sz w:val="24"/>
                <w:szCs w:val="24"/>
              </w:rPr>
            </w:pPr>
            <w:r>
              <w:rPr>
                <w:rFonts w:hint="eastAsia" w:ascii="Times New Roman" w:hAnsi="Times New Roman" w:cs="Times New Roman"/>
                <w:color w:val="auto"/>
                <w:sz w:val="24"/>
                <w:szCs w:val="24"/>
              </w:rPr>
              <w:t>根据现场勘察，</w:t>
            </w:r>
            <w:r>
              <w:rPr>
                <w:rFonts w:hint="eastAsia" w:ascii="Times New Roman" w:hAnsi="Times New Roman" w:cs="Times New Roman"/>
                <w:color w:val="auto"/>
                <w:sz w:val="24"/>
                <w:szCs w:val="24"/>
                <w:lang w:eastAsia="zh-CN"/>
              </w:rPr>
              <w:t>建设项目</w:t>
            </w:r>
            <w:r>
              <w:rPr>
                <w:rFonts w:ascii="Times New Roman" w:hAnsi="Times New Roman" w:cs="Times New Roman"/>
                <w:color w:val="auto"/>
                <w:sz w:val="24"/>
                <w:szCs w:val="24"/>
              </w:rPr>
              <w:t>厂界</w:t>
            </w:r>
            <w:r>
              <w:rPr>
                <w:rFonts w:hint="eastAsia" w:ascii="Times New Roman" w:hAnsi="Times New Roman" w:cs="Times New Roman"/>
                <w:color w:val="auto"/>
                <w:sz w:val="24"/>
                <w:szCs w:val="24"/>
              </w:rPr>
              <w:t>周边50米范围内</w:t>
            </w:r>
            <w:r>
              <w:rPr>
                <w:rFonts w:hint="eastAsia" w:ascii="Times New Roman" w:hAnsi="Times New Roman" w:cs="Times New Roman"/>
                <w:color w:val="auto"/>
                <w:sz w:val="24"/>
                <w:szCs w:val="24"/>
                <w:lang w:val="en-US" w:eastAsia="zh-CN"/>
              </w:rPr>
              <w:t>不</w:t>
            </w:r>
            <w:r>
              <w:rPr>
                <w:rFonts w:hint="eastAsia" w:ascii="Times New Roman" w:hAnsi="Times New Roman" w:cs="Times New Roman"/>
                <w:color w:val="auto"/>
                <w:sz w:val="24"/>
                <w:szCs w:val="24"/>
              </w:rPr>
              <w:t>存在声环境保护目标。根据《建设项目环境影响报告表编制技术指南（污染影响类）》，本项目</w:t>
            </w:r>
            <w:r>
              <w:rPr>
                <w:rFonts w:hint="eastAsia" w:ascii="Times New Roman" w:hAnsi="Times New Roman" w:cs="Times New Roman"/>
                <w:color w:val="auto"/>
                <w:sz w:val="24"/>
                <w:szCs w:val="24"/>
                <w:lang w:val="en-US" w:eastAsia="zh-CN"/>
              </w:rPr>
              <w:t>无</w:t>
            </w:r>
            <w:r>
              <w:rPr>
                <w:rFonts w:hint="eastAsia" w:ascii="Times New Roman" w:hAnsi="Times New Roman" w:cs="Times New Roman"/>
                <w:color w:val="auto"/>
                <w:sz w:val="24"/>
                <w:szCs w:val="24"/>
              </w:rPr>
              <w:t>需开展声环境质量现状检测。</w:t>
            </w:r>
          </w:p>
          <w:p w14:paraId="2599CAB3">
            <w:pPr>
              <w:pStyle w:val="40"/>
              <w:ind w:firstLine="482"/>
              <w:rPr>
                <w:rFonts w:ascii="Times New Roman" w:hAnsi="Times New Roman" w:cs="Times New Roman"/>
                <w:b/>
                <w:bCs/>
                <w:color w:val="auto"/>
              </w:rPr>
            </w:pPr>
            <w:r>
              <w:rPr>
                <w:rFonts w:ascii="Times New Roman" w:hAnsi="Times New Roman" w:cs="Times New Roman"/>
                <w:b/>
                <w:bCs/>
                <w:color w:val="auto"/>
              </w:rPr>
              <w:t>4、生态环境</w:t>
            </w:r>
          </w:p>
          <w:p w14:paraId="167B5B8D">
            <w:pPr>
              <w:pStyle w:val="40"/>
              <w:rPr>
                <w:color w:val="auto"/>
              </w:rPr>
            </w:pPr>
            <w:r>
              <w:rPr>
                <w:rFonts w:hint="eastAsia"/>
                <w:color w:val="auto"/>
              </w:rPr>
              <w:t>本项目建设地点位于</w:t>
            </w:r>
            <w:r>
              <w:rPr>
                <w:rFonts w:hint="eastAsia" w:ascii="Times New Roman" w:hAnsi="Times New Roman" w:cs="Times New Roman"/>
                <w:color w:val="auto"/>
                <w:sz w:val="24"/>
                <w:szCs w:val="24"/>
                <w:lang w:val="en-US" w:eastAsia="zh-CN"/>
              </w:rPr>
              <w:t>安徽（淮北）新型煤化工合成材料基地</w:t>
            </w:r>
            <w:r>
              <w:rPr>
                <w:rFonts w:hint="eastAsia"/>
                <w:color w:val="auto"/>
              </w:rPr>
              <w:t>，不属于</w:t>
            </w:r>
            <w:r>
              <w:rPr>
                <w:rFonts w:hint="eastAsia" w:ascii="Times New Roman" w:hAnsi="Times New Roman" w:cs="Times New Roman"/>
                <w:color w:val="auto"/>
              </w:rPr>
              <w:t>《建设项目环境影响报告表编制技术指南（污染影响类）》：“产业园区外建设项目新增用地且用地范围内含有生态环境保护目标时，应进行生态现状调查。”因此，本项目可不进行生态环境现状调查。</w:t>
            </w:r>
          </w:p>
          <w:p w14:paraId="73418CCB">
            <w:pPr>
              <w:pStyle w:val="40"/>
              <w:ind w:firstLine="482"/>
              <w:rPr>
                <w:rFonts w:ascii="Times New Roman" w:hAnsi="Times New Roman" w:cs="Times New Roman"/>
                <w:b/>
                <w:bCs/>
                <w:color w:val="auto"/>
              </w:rPr>
            </w:pPr>
            <w:r>
              <w:rPr>
                <w:rFonts w:hint="eastAsia" w:ascii="Times New Roman" w:hAnsi="Times New Roman" w:cs="Times New Roman"/>
                <w:b/>
                <w:bCs/>
                <w:color w:val="auto"/>
              </w:rPr>
              <w:t>5、地下水、土壤</w:t>
            </w:r>
          </w:p>
          <w:p w14:paraId="52661499">
            <w:pPr>
              <w:pStyle w:val="40"/>
              <w:rPr>
                <w:rFonts w:hint="eastAsia" w:ascii="Times New Roman" w:hAnsi="Times New Roman" w:cs="Times New Roman"/>
                <w:b w:val="0"/>
                <w:bCs w:val="0"/>
                <w:color w:val="auto"/>
                <w:lang w:val="en-US" w:eastAsia="zh-CN"/>
              </w:rPr>
            </w:pPr>
            <w:r>
              <w:rPr>
                <w:rFonts w:hint="eastAsia" w:ascii="Times New Roman" w:hAnsi="Times New Roman" w:cs="Times New Roman"/>
                <w:b w:val="0"/>
                <w:bCs w:val="0"/>
                <w:color w:val="auto"/>
                <w:lang w:val="en-US" w:eastAsia="zh-CN"/>
              </w:rPr>
              <w:t>本项目运营期按照相关规范做防渗设计，可不开展地下水和土壤环境现状调查。</w:t>
            </w:r>
          </w:p>
          <w:p w14:paraId="1BC3B5CB">
            <w:pPr>
              <w:pStyle w:val="40"/>
              <w:ind w:firstLine="482"/>
              <w:rPr>
                <w:rFonts w:ascii="Times New Roman" w:hAnsi="Times New Roman" w:cs="Times New Roman"/>
                <w:b/>
                <w:bCs/>
                <w:color w:val="auto"/>
              </w:rPr>
            </w:pPr>
            <w:r>
              <w:rPr>
                <w:rFonts w:hint="eastAsia" w:ascii="Times New Roman" w:hAnsi="Times New Roman" w:cs="Times New Roman"/>
                <w:b/>
                <w:bCs/>
                <w:color w:val="auto"/>
              </w:rPr>
              <w:t>6</w:t>
            </w:r>
            <w:r>
              <w:rPr>
                <w:rFonts w:ascii="Times New Roman" w:hAnsi="Times New Roman" w:cs="Times New Roman"/>
                <w:b/>
                <w:bCs/>
                <w:color w:val="auto"/>
              </w:rPr>
              <w:t>、</w:t>
            </w:r>
            <w:r>
              <w:rPr>
                <w:rFonts w:hint="eastAsia" w:ascii="Times New Roman" w:hAnsi="Times New Roman" w:cs="Times New Roman"/>
                <w:b/>
                <w:bCs/>
                <w:color w:val="auto"/>
              </w:rPr>
              <w:t>电磁辐射</w:t>
            </w:r>
          </w:p>
          <w:p w14:paraId="56C21ACC">
            <w:pPr>
              <w:pStyle w:val="41"/>
              <w:spacing w:line="360" w:lineRule="auto"/>
              <w:ind w:firstLine="480"/>
              <w:rPr>
                <w:rFonts w:ascii="Times New Roman" w:hAnsi="Times New Roman" w:cs="Times New Roman"/>
                <w:color w:val="auto"/>
                <w:sz w:val="24"/>
                <w:szCs w:val="24"/>
              </w:rPr>
            </w:pPr>
            <w:r>
              <w:rPr>
                <w:rFonts w:hint="eastAsia" w:ascii="Times New Roman" w:hAnsi="Times New Roman" w:cs="Times New Roman"/>
                <w:color w:val="auto"/>
                <w:sz w:val="24"/>
                <w:szCs w:val="24"/>
              </w:rPr>
              <w:t>本项目不涉及电磁辐射。</w:t>
            </w:r>
          </w:p>
          <w:p w14:paraId="51130022">
            <w:pPr>
              <w:pStyle w:val="41"/>
              <w:spacing w:line="360" w:lineRule="auto"/>
              <w:ind w:firstLine="0" w:firstLineChars="0"/>
              <w:rPr>
                <w:rFonts w:ascii="Times New Roman" w:hAnsi="Times New Roman" w:cs="Times New Roman"/>
                <w:color w:val="auto"/>
                <w:sz w:val="24"/>
                <w:szCs w:val="24"/>
              </w:rPr>
            </w:pPr>
          </w:p>
          <w:p w14:paraId="547A2ADD">
            <w:pPr>
              <w:pStyle w:val="41"/>
              <w:spacing w:line="360" w:lineRule="auto"/>
              <w:ind w:firstLine="0" w:firstLineChars="0"/>
              <w:rPr>
                <w:rFonts w:ascii="Times New Roman" w:hAnsi="Times New Roman" w:cs="Times New Roman"/>
                <w:color w:val="auto"/>
                <w:sz w:val="24"/>
                <w:szCs w:val="24"/>
              </w:rPr>
            </w:pPr>
          </w:p>
          <w:p w14:paraId="6480A760">
            <w:pPr>
              <w:pStyle w:val="41"/>
              <w:spacing w:line="360" w:lineRule="auto"/>
              <w:ind w:firstLine="0" w:firstLineChars="0"/>
              <w:rPr>
                <w:rFonts w:ascii="Times New Roman" w:hAnsi="Times New Roman" w:cs="Times New Roman"/>
                <w:color w:val="auto"/>
                <w:sz w:val="24"/>
                <w:szCs w:val="24"/>
              </w:rPr>
            </w:pPr>
          </w:p>
          <w:p w14:paraId="34F24062">
            <w:pPr>
              <w:pStyle w:val="41"/>
              <w:spacing w:line="360" w:lineRule="auto"/>
              <w:ind w:firstLine="0" w:firstLineChars="0"/>
              <w:rPr>
                <w:rFonts w:ascii="Times New Roman" w:hAnsi="Times New Roman" w:cs="Times New Roman"/>
                <w:color w:val="auto"/>
                <w:sz w:val="24"/>
                <w:szCs w:val="24"/>
              </w:rPr>
            </w:pPr>
          </w:p>
          <w:p w14:paraId="26F70667">
            <w:pPr>
              <w:pStyle w:val="41"/>
              <w:spacing w:line="360" w:lineRule="auto"/>
              <w:ind w:firstLine="0" w:firstLineChars="0"/>
              <w:rPr>
                <w:rFonts w:ascii="Times New Roman" w:hAnsi="Times New Roman" w:cs="Times New Roman"/>
                <w:color w:val="auto"/>
                <w:sz w:val="24"/>
                <w:szCs w:val="24"/>
              </w:rPr>
            </w:pPr>
          </w:p>
          <w:p w14:paraId="097EDB57">
            <w:pPr>
              <w:pStyle w:val="41"/>
              <w:spacing w:line="360" w:lineRule="auto"/>
              <w:ind w:firstLine="0" w:firstLineChars="0"/>
              <w:rPr>
                <w:rFonts w:ascii="Times New Roman" w:hAnsi="Times New Roman" w:cs="Times New Roman"/>
                <w:color w:val="auto"/>
                <w:sz w:val="24"/>
                <w:szCs w:val="24"/>
              </w:rPr>
            </w:pPr>
          </w:p>
          <w:p w14:paraId="03FFB753">
            <w:pPr>
              <w:pStyle w:val="41"/>
              <w:spacing w:line="360" w:lineRule="auto"/>
              <w:ind w:firstLine="0" w:firstLineChars="0"/>
              <w:rPr>
                <w:rFonts w:ascii="Times New Roman" w:hAnsi="Times New Roman" w:cs="Times New Roman"/>
                <w:color w:val="auto"/>
                <w:sz w:val="24"/>
                <w:szCs w:val="24"/>
              </w:rPr>
            </w:pPr>
          </w:p>
          <w:p w14:paraId="04AA18D7">
            <w:pPr>
              <w:pStyle w:val="41"/>
              <w:spacing w:line="360" w:lineRule="auto"/>
              <w:ind w:firstLine="0" w:firstLineChars="0"/>
              <w:rPr>
                <w:rFonts w:ascii="Times New Roman" w:hAnsi="Times New Roman" w:cs="Times New Roman"/>
                <w:color w:val="auto"/>
                <w:sz w:val="24"/>
                <w:szCs w:val="24"/>
              </w:rPr>
            </w:pPr>
          </w:p>
          <w:p w14:paraId="76087FA9">
            <w:pPr>
              <w:pStyle w:val="41"/>
              <w:spacing w:line="360" w:lineRule="auto"/>
              <w:ind w:firstLine="0" w:firstLineChars="0"/>
              <w:rPr>
                <w:rFonts w:ascii="Times New Roman" w:hAnsi="Times New Roman" w:cs="Times New Roman"/>
                <w:color w:val="auto"/>
                <w:sz w:val="24"/>
                <w:szCs w:val="24"/>
              </w:rPr>
            </w:pPr>
          </w:p>
          <w:p w14:paraId="77402C1F">
            <w:pPr>
              <w:pStyle w:val="41"/>
              <w:spacing w:line="360" w:lineRule="auto"/>
              <w:ind w:firstLine="0" w:firstLineChars="0"/>
              <w:rPr>
                <w:rFonts w:ascii="Times New Roman" w:hAnsi="Times New Roman" w:cs="Times New Roman"/>
                <w:color w:val="auto"/>
                <w:sz w:val="24"/>
                <w:szCs w:val="24"/>
              </w:rPr>
            </w:pPr>
          </w:p>
          <w:p w14:paraId="05D5A757">
            <w:pPr>
              <w:pStyle w:val="41"/>
              <w:spacing w:line="360" w:lineRule="auto"/>
              <w:ind w:firstLine="0" w:firstLineChars="0"/>
              <w:rPr>
                <w:rFonts w:ascii="Times New Roman" w:hAnsi="Times New Roman" w:cs="Times New Roman"/>
                <w:color w:val="auto"/>
                <w:sz w:val="24"/>
                <w:szCs w:val="24"/>
              </w:rPr>
            </w:pPr>
          </w:p>
          <w:p w14:paraId="6F38AD27">
            <w:pPr>
              <w:pStyle w:val="41"/>
              <w:spacing w:line="360" w:lineRule="auto"/>
              <w:ind w:firstLine="0" w:firstLineChars="0"/>
              <w:rPr>
                <w:rFonts w:ascii="Times New Roman" w:hAnsi="Times New Roman" w:cs="Times New Roman"/>
                <w:color w:val="auto"/>
                <w:sz w:val="24"/>
                <w:szCs w:val="24"/>
              </w:rPr>
            </w:pPr>
          </w:p>
          <w:p w14:paraId="2AB11757">
            <w:pPr>
              <w:pStyle w:val="41"/>
              <w:spacing w:line="360" w:lineRule="auto"/>
              <w:ind w:firstLine="0" w:firstLineChars="0"/>
              <w:rPr>
                <w:rFonts w:ascii="Times New Roman" w:hAnsi="Times New Roman" w:cs="Times New Roman"/>
                <w:color w:val="auto"/>
                <w:sz w:val="24"/>
                <w:szCs w:val="24"/>
              </w:rPr>
            </w:pPr>
          </w:p>
          <w:p w14:paraId="2FCB6CB9">
            <w:pPr>
              <w:pStyle w:val="41"/>
              <w:spacing w:line="360" w:lineRule="auto"/>
              <w:ind w:firstLine="0" w:firstLineChars="0"/>
              <w:rPr>
                <w:rFonts w:ascii="Times New Roman" w:hAnsi="Times New Roman" w:cs="Times New Roman"/>
                <w:color w:val="auto"/>
                <w:sz w:val="24"/>
                <w:szCs w:val="24"/>
              </w:rPr>
            </w:pPr>
          </w:p>
          <w:p w14:paraId="4208EAEC">
            <w:pPr>
              <w:pStyle w:val="41"/>
              <w:spacing w:line="360" w:lineRule="auto"/>
              <w:ind w:firstLine="0" w:firstLineChars="0"/>
              <w:rPr>
                <w:rFonts w:ascii="Times New Roman" w:hAnsi="Times New Roman" w:cs="Times New Roman"/>
                <w:color w:val="auto"/>
                <w:sz w:val="24"/>
                <w:szCs w:val="24"/>
              </w:rPr>
            </w:pPr>
          </w:p>
          <w:p w14:paraId="5D2808E3">
            <w:pPr>
              <w:pStyle w:val="41"/>
              <w:spacing w:line="360" w:lineRule="auto"/>
              <w:ind w:firstLine="0" w:firstLineChars="0"/>
              <w:rPr>
                <w:rFonts w:ascii="Times New Roman" w:hAnsi="Times New Roman" w:cs="Times New Roman"/>
                <w:color w:val="auto"/>
                <w:sz w:val="24"/>
                <w:szCs w:val="24"/>
              </w:rPr>
            </w:pPr>
          </w:p>
          <w:p w14:paraId="065B54EA">
            <w:pPr>
              <w:pStyle w:val="41"/>
              <w:spacing w:line="360" w:lineRule="auto"/>
              <w:ind w:firstLine="0" w:firstLineChars="0"/>
              <w:rPr>
                <w:rFonts w:ascii="Times New Roman" w:hAnsi="Times New Roman" w:cs="Times New Roman"/>
                <w:color w:val="auto"/>
                <w:sz w:val="24"/>
                <w:szCs w:val="24"/>
              </w:rPr>
            </w:pPr>
          </w:p>
          <w:p w14:paraId="379BB62B">
            <w:pPr>
              <w:pStyle w:val="41"/>
              <w:spacing w:line="360" w:lineRule="auto"/>
              <w:ind w:firstLine="0" w:firstLineChars="0"/>
              <w:rPr>
                <w:rFonts w:ascii="Times New Roman" w:hAnsi="Times New Roman" w:cs="Times New Roman"/>
                <w:color w:val="auto"/>
                <w:sz w:val="24"/>
                <w:szCs w:val="24"/>
              </w:rPr>
            </w:pPr>
          </w:p>
          <w:p w14:paraId="7A6B5075">
            <w:pPr>
              <w:pStyle w:val="41"/>
              <w:spacing w:line="360" w:lineRule="auto"/>
              <w:ind w:firstLine="0" w:firstLineChars="0"/>
              <w:rPr>
                <w:rFonts w:ascii="Times New Roman" w:hAnsi="Times New Roman" w:cs="Times New Roman"/>
                <w:color w:val="auto"/>
                <w:sz w:val="24"/>
                <w:szCs w:val="24"/>
              </w:rPr>
            </w:pPr>
          </w:p>
        </w:tc>
      </w:tr>
      <w:tr w14:paraId="17415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19" w:hRule="atLeast"/>
          <w:jc w:val="center"/>
        </w:trPr>
        <w:tc>
          <w:tcPr>
            <w:tcW w:w="717" w:type="dxa"/>
            <w:vAlign w:val="center"/>
          </w:tcPr>
          <w:p w14:paraId="08DD4D51">
            <w:pPr>
              <w:jc w:val="center"/>
              <w:rPr>
                <w:color w:val="auto"/>
                <w:szCs w:val="21"/>
              </w:rPr>
            </w:pPr>
            <w:r>
              <w:rPr>
                <w:rFonts w:hint="eastAsia"/>
                <w:color w:val="auto"/>
                <w:szCs w:val="21"/>
              </w:rPr>
              <w:t>环境保护目标</w:t>
            </w:r>
          </w:p>
        </w:tc>
        <w:tc>
          <w:tcPr>
            <w:tcW w:w="8637" w:type="dxa"/>
            <w:vAlign w:val="center"/>
          </w:tcPr>
          <w:p w14:paraId="19FF2649">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1.大气环境</w:t>
            </w:r>
          </w:p>
          <w:p w14:paraId="640567FA">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建设项目</w:t>
            </w:r>
            <w:r>
              <w:rPr>
                <w:rFonts w:hint="default" w:ascii="Times New Roman" w:hAnsi="Times New Roman" w:cs="Times New Roman"/>
                <w:color w:val="auto"/>
                <w:sz w:val="24"/>
                <w:szCs w:val="24"/>
              </w:rPr>
              <w:t>厂界外500米范围内</w:t>
            </w:r>
            <w:r>
              <w:rPr>
                <w:rFonts w:hint="eastAsia" w:ascii="Times New Roman" w:hAnsi="Times New Roman" w:cs="Times New Roman"/>
                <w:color w:val="auto"/>
                <w:sz w:val="24"/>
                <w:szCs w:val="24"/>
                <w:lang w:val="en-US" w:eastAsia="zh-CN"/>
              </w:rPr>
              <w:t>无</w:t>
            </w:r>
            <w:r>
              <w:rPr>
                <w:rFonts w:hint="eastAsia" w:ascii="Times New Roman" w:hAnsi="Times New Roman" w:cs="Times New Roman"/>
                <w:color w:val="auto"/>
                <w:sz w:val="24"/>
                <w:szCs w:val="24"/>
                <w:lang w:eastAsia="zh-CN"/>
              </w:rPr>
              <w:t>环境保护目标</w:t>
            </w:r>
            <w:r>
              <w:rPr>
                <w:rFonts w:hint="default" w:ascii="Times New Roman" w:hAnsi="Times New Roman" w:cs="Times New Roman"/>
                <w:color w:val="auto"/>
                <w:sz w:val="24"/>
                <w:szCs w:val="24"/>
              </w:rPr>
              <w:t>。</w:t>
            </w:r>
          </w:p>
          <w:p w14:paraId="505A8DAE">
            <w:pPr>
              <w:spacing w:line="360" w:lineRule="auto"/>
              <w:ind w:firstLine="480" w:firstLineChars="200"/>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建设项目环境保护目标分布示意图</w:t>
            </w:r>
            <w:r>
              <w:rPr>
                <w:rFonts w:hint="eastAsia" w:ascii="Times New Roman" w:hAnsi="Times New Roman" w:cs="Times New Roman"/>
                <w:b w:val="0"/>
                <w:bCs w:val="0"/>
                <w:color w:val="auto"/>
                <w:sz w:val="24"/>
                <w:szCs w:val="24"/>
                <w:lang w:val="en-US" w:eastAsia="zh-CN"/>
              </w:rPr>
              <w:t>见</w:t>
            </w:r>
            <w:r>
              <w:rPr>
                <w:rFonts w:hint="default" w:ascii="Times New Roman" w:hAnsi="Times New Roman" w:cs="Times New Roman"/>
                <w:b w:val="0"/>
                <w:bCs w:val="0"/>
                <w:color w:val="auto"/>
                <w:sz w:val="24"/>
                <w:szCs w:val="24"/>
              </w:rPr>
              <w:t>附图</w:t>
            </w:r>
            <w:r>
              <w:rPr>
                <w:rFonts w:hint="eastAsia"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 xml:space="preserve"> </w:t>
            </w:r>
          </w:p>
          <w:p w14:paraId="09145DD2">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2.声环境</w:t>
            </w:r>
          </w:p>
          <w:p w14:paraId="3A763023">
            <w:pPr>
              <w:spacing w:line="360" w:lineRule="auto"/>
              <w:ind w:firstLine="480" w:firstLineChars="200"/>
              <w:rPr>
                <w:rFonts w:hint="eastAsia" w:ascii="Times New Roman" w:hAnsi="Times New Roman" w:cs="Times New Roman"/>
                <w:color w:val="auto"/>
                <w:sz w:val="24"/>
                <w:lang w:eastAsia="zh-CN"/>
              </w:rPr>
            </w:pPr>
            <w:r>
              <w:rPr>
                <w:rFonts w:ascii="Times New Roman" w:hAnsi="Times New Roman" w:cs="Times New Roman"/>
                <w:color w:val="auto"/>
                <w:sz w:val="24"/>
              </w:rPr>
              <w:t>建设项目厂界外50米范围内</w:t>
            </w:r>
            <w:r>
              <w:rPr>
                <w:rFonts w:hint="eastAsia" w:ascii="Times New Roman" w:hAnsi="Times New Roman" w:cs="Times New Roman"/>
                <w:color w:val="auto"/>
                <w:sz w:val="24"/>
                <w:lang w:val="en-US" w:eastAsia="zh-CN"/>
              </w:rPr>
              <w:t>无</w:t>
            </w:r>
            <w:r>
              <w:rPr>
                <w:rFonts w:ascii="Times New Roman" w:hAnsi="Times New Roman" w:cs="Times New Roman"/>
                <w:color w:val="auto"/>
                <w:sz w:val="24"/>
              </w:rPr>
              <w:t>声环境保护目标</w:t>
            </w:r>
            <w:r>
              <w:rPr>
                <w:rFonts w:hint="eastAsia" w:ascii="Times New Roman" w:hAnsi="Times New Roman" w:cs="Times New Roman"/>
                <w:color w:val="auto"/>
                <w:sz w:val="24"/>
                <w:lang w:eastAsia="zh-CN"/>
              </w:rPr>
              <w:t>。</w:t>
            </w:r>
          </w:p>
          <w:p w14:paraId="2754C2CC">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3.地下水环境</w:t>
            </w:r>
          </w:p>
          <w:p w14:paraId="25375AFB">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建设项目厂界外500米范围内无地下水集中式饮用水水源和热水、矿泉水、温泉等特殊地下水资源。</w:t>
            </w:r>
          </w:p>
          <w:p w14:paraId="344BC8AB">
            <w:pPr>
              <w:pStyle w:val="41"/>
              <w:ind w:firstLine="482"/>
              <w:rPr>
                <w:b/>
                <w:bCs/>
                <w:color w:val="auto"/>
              </w:rPr>
            </w:pPr>
            <w:r>
              <w:rPr>
                <w:rFonts w:hint="eastAsia" w:ascii="Times New Roman" w:hAnsi="Times New Roman" w:cs="Times New Roman"/>
                <w:b/>
                <w:bCs/>
                <w:color w:val="auto"/>
                <w:sz w:val="24"/>
                <w:szCs w:val="24"/>
              </w:rPr>
              <w:t>4、生态环境</w:t>
            </w:r>
          </w:p>
          <w:p w14:paraId="2CE3A719">
            <w:pPr>
              <w:pStyle w:val="40"/>
              <w:rPr>
                <w:color w:val="auto"/>
              </w:rPr>
            </w:pPr>
            <w:r>
              <w:rPr>
                <w:rFonts w:hint="eastAsia"/>
                <w:color w:val="auto"/>
              </w:rPr>
              <w:t>本项目建设地点位于</w:t>
            </w:r>
            <w:r>
              <w:rPr>
                <w:rFonts w:hint="default" w:ascii="Times New Roman" w:hAnsi="Times New Roman" w:cs="Times New Roman"/>
                <w:color w:val="auto"/>
                <w:kern w:val="0"/>
                <w:sz w:val="24"/>
                <w:szCs w:val="24"/>
                <w:lang w:val="en-US" w:eastAsia="zh-CN"/>
              </w:rPr>
              <w:t>淮北市</w:t>
            </w:r>
            <w:r>
              <w:rPr>
                <w:rFonts w:hint="eastAsia" w:ascii="Times New Roman" w:hAnsi="Times New Roman" w:cs="Times New Roman"/>
                <w:color w:val="auto"/>
                <w:kern w:val="0"/>
                <w:sz w:val="24"/>
                <w:szCs w:val="24"/>
                <w:lang w:val="en-US" w:eastAsia="zh-CN"/>
              </w:rPr>
              <w:t>煤化工基地</w:t>
            </w:r>
            <w:r>
              <w:rPr>
                <w:rFonts w:hint="eastAsia"/>
                <w:color w:val="auto"/>
              </w:rPr>
              <w:t>，不属于</w:t>
            </w:r>
            <w:r>
              <w:rPr>
                <w:rFonts w:hint="eastAsia" w:ascii="Times New Roman" w:hAnsi="Times New Roman" w:cs="Times New Roman"/>
                <w:color w:val="auto"/>
              </w:rPr>
              <w:t>《建设项目环境影响报告表编制技术指南（污染影响类）》：“产业园区外建设项目新增用地且用地范围内含有生态环境保护目标时，应进行生态现状调查。”因此，本项目可不进行生态环境现状调查。</w:t>
            </w:r>
          </w:p>
        </w:tc>
      </w:tr>
      <w:tr w14:paraId="6F869B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7" w:type="dxa"/>
            <w:vAlign w:val="center"/>
          </w:tcPr>
          <w:p w14:paraId="43B2818E">
            <w:pPr>
              <w:jc w:val="center"/>
              <w:rPr>
                <w:color w:val="auto"/>
                <w:szCs w:val="21"/>
              </w:rPr>
            </w:pPr>
            <w:r>
              <w:rPr>
                <w:rFonts w:hint="eastAsia"/>
                <w:color w:val="auto"/>
                <w:szCs w:val="21"/>
              </w:rPr>
              <w:t>污染物排放控制标准</w:t>
            </w:r>
          </w:p>
        </w:tc>
        <w:tc>
          <w:tcPr>
            <w:tcW w:w="8637" w:type="dxa"/>
            <w:vAlign w:val="center"/>
          </w:tcPr>
          <w:p w14:paraId="36CCCEA4">
            <w:pPr>
              <w:spacing w:line="360" w:lineRule="auto"/>
              <w:ind w:firstLine="482" w:firstLineChars="200"/>
              <w:rPr>
                <w:rFonts w:ascii="Times New Roman" w:hAnsi="Times New Roman" w:eastAsia="宋体" w:cs="Times New Roman"/>
                <w:b/>
                <w:bCs/>
                <w:color w:val="auto"/>
                <w:sz w:val="24"/>
              </w:rPr>
            </w:pPr>
            <w:r>
              <w:rPr>
                <w:rFonts w:ascii="Times New Roman" w:hAnsi="Times New Roman" w:eastAsia="宋体" w:cs="Times New Roman"/>
                <w:b/>
                <w:bCs/>
                <w:color w:val="auto"/>
                <w:sz w:val="24"/>
              </w:rPr>
              <w:t xml:space="preserve">1、废水排放标准 </w:t>
            </w:r>
          </w:p>
          <w:p w14:paraId="1FAB0375">
            <w:pPr>
              <w:spacing w:line="360" w:lineRule="auto"/>
              <w:ind w:firstLine="480" w:firstLineChars="200"/>
              <w:rPr>
                <w:rFonts w:ascii="Times New Roman" w:hAnsi="Times New Roman" w:eastAsia="宋体" w:cs="Times New Roman"/>
                <w:color w:val="auto"/>
                <w:sz w:val="24"/>
              </w:rPr>
            </w:pPr>
            <w:r>
              <w:rPr>
                <w:rFonts w:hint="default" w:ascii="Times New Roman" w:hAnsi="Times New Roman" w:eastAsia="宋体" w:cs="Times New Roman"/>
                <w:color w:val="auto"/>
                <w:sz w:val="24"/>
                <w:szCs w:val="24"/>
              </w:rPr>
              <w:t>项目排水实行雨污分流制，雨水经厂区雨水管网收集后排入市政雨水管网。</w:t>
            </w:r>
            <w:r>
              <w:rPr>
                <w:rFonts w:hint="default" w:ascii="Times New Roman" w:hAnsi="Times New Roman" w:eastAsia="宋体" w:cs="Times New Roman"/>
                <w:color w:val="auto"/>
                <w:sz w:val="24"/>
                <w:szCs w:val="24"/>
                <w:lang w:eastAsia="zh-CN"/>
              </w:rPr>
              <w:t>项目运营期</w:t>
            </w:r>
            <w:r>
              <w:rPr>
                <w:rFonts w:hint="eastAsia" w:ascii="Times New Roman" w:hAnsi="Times New Roman" w:eastAsia="宋体" w:cs="Times New Roman"/>
                <w:color w:val="auto"/>
                <w:sz w:val="24"/>
                <w:szCs w:val="24"/>
                <w:lang w:eastAsia="zh-CN"/>
              </w:rPr>
              <w:t>无</w:t>
            </w:r>
            <w:r>
              <w:rPr>
                <w:rFonts w:hint="default" w:ascii="Times New Roman" w:hAnsi="Times New Roman" w:eastAsia="宋体" w:cs="Times New Roman"/>
                <w:color w:val="auto"/>
                <w:sz w:val="24"/>
                <w:szCs w:val="24"/>
                <w:lang w:eastAsia="zh-CN"/>
              </w:rPr>
              <w:t>生产性废水</w:t>
            </w:r>
            <w:r>
              <w:rPr>
                <w:rFonts w:hint="eastAsia" w:ascii="Times New Roman" w:hAnsi="Times New Roman" w:eastAsia="宋体" w:cs="Times New Roman"/>
                <w:color w:val="auto"/>
                <w:sz w:val="24"/>
                <w:szCs w:val="24"/>
                <w:lang w:eastAsia="zh-CN"/>
              </w:rPr>
              <w:t>产生及排放</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生活污水</w:t>
            </w:r>
            <w:r>
              <w:rPr>
                <w:rFonts w:hint="default" w:ascii="Times New Roman" w:hAnsi="Times New Roman" w:eastAsia="宋体" w:cs="Times New Roman"/>
                <w:color w:val="auto"/>
                <w:sz w:val="24"/>
                <w:szCs w:val="24"/>
                <w:lang w:eastAsia="zh-CN"/>
              </w:rPr>
              <w:t>依托</w:t>
            </w:r>
            <w:r>
              <w:rPr>
                <w:rFonts w:hint="default" w:ascii="Times New Roman" w:hAnsi="Times New Roman" w:cs="Times New Roman"/>
                <w:color w:val="auto"/>
                <w:kern w:val="0"/>
                <w:sz w:val="24"/>
                <w:szCs w:val="24"/>
                <w:lang w:val="en-US" w:eastAsia="zh-CN"/>
              </w:rPr>
              <w:t>公司</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化粪池</w:t>
            </w:r>
            <w:r>
              <w:rPr>
                <w:rFonts w:hint="eastAsia" w:ascii="Times New Roman" w:hAnsi="Times New Roman" w:cs="Times New Roman"/>
                <w:color w:val="auto"/>
                <w:sz w:val="24"/>
                <w:szCs w:val="24"/>
                <w:lang w:eastAsia="zh-CN"/>
              </w:rPr>
              <w:t>”</w:t>
            </w:r>
            <w:r>
              <w:rPr>
                <w:rFonts w:hint="eastAsia" w:ascii="宋体" w:hAnsi="宋体" w:eastAsia="宋体" w:cs="宋体"/>
                <w:color w:val="auto"/>
                <w:sz w:val="24"/>
                <w:szCs w:val="24"/>
                <w:lang w:eastAsia="zh-CN"/>
              </w:rPr>
              <w:t>预</w:t>
            </w:r>
            <w:r>
              <w:rPr>
                <w:rFonts w:hint="eastAsia" w:ascii="宋体" w:hAnsi="宋体" w:eastAsia="宋体" w:cs="宋体"/>
                <w:color w:val="auto"/>
                <w:sz w:val="24"/>
                <w:szCs w:val="24"/>
              </w:rPr>
              <w:t>处理</w:t>
            </w:r>
            <w:r>
              <w:rPr>
                <w:rFonts w:hint="default" w:ascii="Times New Roman" w:hAnsi="Times New Roman" w:eastAsia="宋体" w:cs="Times New Roman"/>
                <w:color w:val="auto"/>
                <w:sz w:val="24"/>
                <w:szCs w:val="24"/>
              </w:rPr>
              <w:t>达</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污水综合排放标准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GB</w:t>
            </w:r>
            <w:r>
              <w:rPr>
                <w:rFonts w:hint="eastAsia" w:ascii="Times New Roman" w:hAnsi="Times New Roman" w:eastAsia="宋体" w:cs="Times New Roman"/>
                <w:color w:val="auto"/>
                <w:sz w:val="24"/>
                <w:szCs w:val="24"/>
                <w:lang w:val="en-US" w:eastAsia="zh-CN"/>
              </w:rPr>
              <w:t>8978-1996</w:t>
            </w:r>
            <w:r>
              <w:rPr>
                <w:rFonts w:hint="default" w:ascii="Times New Roman" w:hAnsi="Times New Roman" w:eastAsia="宋体" w:cs="Times New Roman"/>
                <w:color w:val="auto"/>
                <w:sz w:val="24"/>
                <w:szCs w:val="24"/>
                <w:lang w:eastAsia="zh-CN"/>
              </w:rPr>
              <w:t>）表</w:t>
            </w:r>
            <w:r>
              <w:rPr>
                <w:rFonts w:hint="eastAsia" w:ascii="Times New Roman" w:hAnsi="Times New Roman" w:eastAsia="宋体" w:cs="Times New Roman"/>
                <w:color w:val="auto"/>
                <w:sz w:val="24"/>
                <w:szCs w:val="24"/>
                <w:lang w:val="en-US" w:eastAsia="zh-CN"/>
              </w:rPr>
              <w:t>3中三级标准限值</w:t>
            </w:r>
            <w:r>
              <w:rPr>
                <w:rFonts w:hint="default" w:ascii="Times New Roman" w:hAnsi="Times New Roman" w:eastAsia="宋体" w:cs="Times New Roman"/>
                <w:color w:val="auto"/>
                <w:sz w:val="24"/>
                <w:szCs w:val="24"/>
              </w:rPr>
              <w:t>及</w:t>
            </w:r>
            <w:r>
              <w:rPr>
                <w:rFonts w:hint="eastAsia" w:ascii="Times New Roman" w:hAnsi="Times New Roman" w:eastAsia="宋体" w:cs="Times New Roman"/>
                <w:color w:val="auto"/>
                <w:sz w:val="24"/>
                <w:szCs w:val="24"/>
                <w:lang w:eastAsia="zh-CN"/>
              </w:rPr>
              <w:t>基地污水处理厂</w:t>
            </w:r>
            <w:r>
              <w:rPr>
                <w:rFonts w:hint="default" w:ascii="Times New Roman" w:hAnsi="Times New Roman" w:eastAsia="宋体" w:cs="Times New Roman"/>
                <w:color w:val="auto"/>
                <w:sz w:val="24"/>
                <w:szCs w:val="24"/>
              </w:rPr>
              <w:t>接管</w:t>
            </w:r>
            <w:r>
              <w:rPr>
                <w:rFonts w:hint="default" w:ascii="Times New Roman" w:hAnsi="Times New Roman" w:eastAsia="宋体" w:cs="Times New Roman"/>
                <w:color w:val="auto"/>
                <w:sz w:val="24"/>
                <w:szCs w:val="24"/>
                <w:lang w:eastAsia="zh-CN"/>
              </w:rPr>
              <w:t>限值后</w:t>
            </w:r>
            <w:r>
              <w:rPr>
                <w:rFonts w:hint="eastAsia" w:ascii="Times New Roman" w:hAnsi="Times New Roman" w:eastAsia="宋体" w:cs="Times New Roman"/>
                <w:color w:val="auto"/>
                <w:sz w:val="24"/>
                <w:szCs w:val="24"/>
                <w:lang w:eastAsia="zh-CN"/>
              </w:rPr>
              <w:t>排入基地污水处理厂</w:t>
            </w:r>
            <w:r>
              <w:rPr>
                <w:rFonts w:hint="default" w:ascii="Times New Roman" w:hAnsi="Times New Roman" w:eastAsia="宋体" w:cs="Times New Roman"/>
                <w:color w:val="auto"/>
                <w:sz w:val="24"/>
                <w:szCs w:val="24"/>
              </w:rPr>
              <w:t>处理达《城镇污水处理厂污染物排放标准》（GB18918-2002）表1中</w:t>
            </w:r>
            <w:r>
              <w:rPr>
                <w:rFonts w:hint="eastAsia" w:ascii="Times New Roman" w:hAnsi="Times New Roman" w:eastAsia="宋体" w:cs="Times New Roman"/>
                <w:color w:val="auto"/>
                <w:sz w:val="24"/>
                <w:szCs w:val="24"/>
                <w:lang w:eastAsia="zh-CN"/>
              </w:rPr>
              <w:t>一级</w:t>
            </w:r>
            <w:r>
              <w:rPr>
                <w:rFonts w:hint="eastAsia"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rPr>
              <w:t>标准后</w:t>
            </w:r>
            <w:r>
              <w:rPr>
                <w:rFonts w:hint="eastAsia" w:ascii="Times New Roman" w:hAnsi="Times New Roman" w:eastAsia="宋体" w:cs="Times New Roman"/>
                <w:color w:val="auto"/>
                <w:sz w:val="24"/>
                <w:szCs w:val="24"/>
                <w:lang w:val="en-US" w:eastAsia="zh-CN"/>
              </w:rPr>
              <w:t>回用</w:t>
            </w:r>
            <w:r>
              <w:rPr>
                <w:rFonts w:ascii="Times New Roman" w:hAnsi="Times New Roman" w:eastAsia="宋体" w:cs="Times New Roman"/>
                <w:color w:val="auto"/>
                <w:sz w:val="24"/>
                <w:szCs w:val="24"/>
              </w:rPr>
              <w:t>。相</w:t>
            </w:r>
            <w:r>
              <w:rPr>
                <w:rFonts w:ascii="Times New Roman" w:hAnsi="Times New Roman" w:eastAsia="宋体" w:cs="Times New Roman"/>
                <w:color w:val="auto"/>
                <w:sz w:val="24"/>
              </w:rPr>
              <w:t>关标准限值见表3.</w:t>
            </w:r>
            <w:r>
              <w:rPr>
                <w:rFonts w:hint="eastAsia" w:ascii="Times New Roman" w:hAnsi="Times New Roman" w:eastAsia="宋体" w:cs="Times New Roman"/>
                <w:color w:val="auto"/>
                <w:sz w:val="24"/>
                <w:lang w:val="en-US" w:eastAsia="zh-CN"/>
              </w:rPr>
              <w:t>2</w:t>
            </w:r>
            <w:r>
              <w:rPr>
                <w:rFonts w:ascii="Times New Roman" w:hAnsi="Times New Roman" w:eastAsia="宋体" w:cs="Times New Roman"/>
                <w:color w:val="auto"/>
                <w:sz w:val="24"/>
              </w:rPr>
              <w:t>。</w:t>
            </w:r>
          </w:p>
          <w:p w14:paraId="35717F4A">
            <w:pPr>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表3.</w:t>
            </w:r>
            <w:r>
              <w:rPr>
                <w:rFonts w:hint="eastAsia" w:ascii="Times New Roman" w:hAnsi="Times New Roman" w:eastAsia="宋体" w:cs="Times New Roman"/>
                <w:b/>
                <w:bCs/>
                <w:color w:val="auto"/>
                <w:sz w:val="24"/>
                <w:lang w:val="en-US" w:eastAsia="zh-CN"/>
              </w:rPr>
              <w:t>2</w:t>
            </w:r>
            <w:r>
              <w:rPr>
                <w:rFonts w:ascii="Times New Roman" w:hAnsi="Times New Roman" w:eastAsia="宋体" w:cs="Times New Roman"/>
                <w:b/>
                <w:bCs/>
                <w:color w:val="auto"/>
                <w:sz w:val="24"/>
              </w:rPr>
              <w:t xml:space="preserve">  废水排放标准限值  单位：mg/L</w:t>
            </w:r>
          </w:p>
          <w:tbl>
            <w:tblPr>
              <w:tblStyle w:val="2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70"/>
              <w:gridCol w:w="1320"/>
              <w:gridCol w:w="1185"/>
              <w:gridCol w:w="1245"/>
              <w:gridCol w:w="1275"/>
              <w:gridCol w:w="1159"/>
            </w:tblGrid>
            <w:tr w14:paraId="29425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0" w:type="dxa"/>
                  <w:vAlign w:val="center"/>
                </w:tcPr>
                <w:p w14:paraId="26C80A25">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执行标准</w:t>
                  </w:r>
                </w:p>
              </w:tc>
              <w:tc>
                <w:tcPr>
                  <w:tcW w:w="1320" w:type="dxa"/>
                  <w:vAlign w:val="center"/>
                </w:tcPr>
                <w:p w14:paraId="36C166BF">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pH</w:t>
                  </w:r>
                </w:p>
              </w:tc>
              <w:tc>
                <w:tcPr>
                  <w:tcW w:w="1185" w:type="dxa"/>
                  <w:vAlign w:val="center"/>
                </w:tcPr>
                <w:p w14:paraId="44A3ACFB">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COD</w:t>
                  </w:r>
                </w:p>
              </w:tc>
              <w:tc>
                <w:tcPr>
                  <w:tcW w:w="1245" w:type="dxa"/>
                  <w:vAlign w:val="center"/>
                </w:tcPr>
                <w:p w14:paraId="0BE78BAE">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SS</w:t>
                  </w:r>
                </w:p>
              </w:tc>
              <w:tc>
                <w:tcPr>
                  <w:tcW w:w="1275" w:type="dxa"/>
                  <w:vAlign w:val="center"/>
                </w:tcPr>
                <w:p w14:paraId="6090F97C">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NH</w:t>
                  </w:r>
                  <w:r>
                    <w:rPr>
                      <w:rFonts w:ascii="Times New Roman" w:hAnsi="Times New Roman" w:eastAsia="宋体" w:cs="Times New Roman"/>
                      <w:color w:val="auto"/>
                      <w:sz w:val="21"/>
                      <w:szCs w:val="21"/>
                      <w:vertAlign w:val="subscript"/>
                    </w:rPr>
                    <w:t>3</w:t>
                  </w:r>
                  <w:r>
                    <w:rPr>
                      <w:rFonts w:ascii="Times New Roman" w:hAnsi="Times New Roman" w:eastAsia="宋体" w:cs="Times New Roman"/>
                      <w:color w:val="auto"/>
                      <w:sz w:val="21"/>
                      <w:szCs w:val="21"/>
                    </w:rPr>
                    <w:t>-N</w:t>
                  </w:r>
                </w:p>
              </w:tc>
              <w:tc>
                <w:tcPr>
                  <w:tcW w:w="1159" w:type="dxa"/>
                  <w:vAlign w:val="center"/>
                </w:tcPr>
                <w:p w14:paraId="577A084A">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BOD</w:t>
                  </w:r>
                  <w:r>
                    <w:rPr>
                      <w:rFonts w:ascii="Times New Roman" w:hAnsi="Times New Roman" w:eastAsia="宋体" w:cs="Times New Roman"/>
                      <w:color w:val="auto"/>
                      <w:sz w:val="21"/>
                      <w:szCs w:val="21"/>
                      <w:vertAlign w:val="subscript"/>
                    </w:rPr>
                    <w:t>5</w:t>
                  </w:r>
                </w:p>
              </w:tc>
            </w:tr>
            <w:tr w14:paraId="23EFC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0" w:type="dxa"/>
                  <w:vAlign w:val="center"/>
                </w:tcPr>
                <w:p w14:paraId="27BA139E">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基地污水处理厂</w:t>
                  </w:r>
                  <w:r>
                    <w:rPr>
                      <w:rFonts w:ascii="Times New Roman" w:hAnsi="Times New Roman" w:eastAsia="宋体" w:cs="Times New Roman"/>
                      <w:color w:val="auto"/>
                      <w:sz w:val="21"/>
                      <w:szCs w:val="21"/>
                    </w:rPr>
                    <w:t>接管限值</w:t>
                  </w:r>
                </w:p>
              </w:tc>
              <w:tc>
                <w:tcPr>
                  <w:tcW w:w="1320" w:type="dxa"/>
                  <w:vAlign w:val="center"/>
                </w:tcPr>
                <w:p w14:paraId="0DB4353C">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6～9</w:t>
                  </w:r>
                </w:p>
              </w:tc>
              <w:tc>
                <w:tcPr>
                  <w:tcW w:w="1185" w:type="dxa"/>
                  <w:vAlign w:val="center"/>
                </w:tcPr>
                <w:p w14:paraId="6202FBD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480</w:t>
                  </w:r>
                </w:p>
              </w:tc>
              <w:tc>
                <w:tcPr>
                  <w:tcW w:w="1245" w:type="dxa"/>
                  <w:vAlign w:val="center"/>
                </w:tcPr>
                <w:p w14:paraId="69B5A63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310</w:t>
                  </w:r>
                </w:p>
              </w:tc>
              <w:tc>
                <w:tcPr>
                  <w:tcW w:w="1275" w:type="dxa"/>
                  <w:vAlign w:val="center"/>
                </w:tcPr>
                <w:p w14:paraId="145B246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c>
                <w:tcPr>
                  <w:tcW w:w="1159" w:type="dxa"/>
                  <w:vAlign w:val="center"/>
                </w:tcPr>
                <w:p w14:paraId="556A996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120</w:t>
                  </w:r>
                </w:p>
              </w:tc>
            </w:tr>
            <w:tr w14:paraId="1E1A2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0" w:type="dxa"/>
                  <w:vAlign w:val="center"/>
                </w:tcPr>
                <w:p w14:paraId="58DD9BA0">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（GB8978-1996）表2三级标准</w:t>
                  </w:r>
                </w:p>
              </w:tc>
              <w:tc>
                <w:tcPr>
                  <w:tcW w:w="1320" w:type="dxa"/>
                  <w:vAlign w:val="center"/>
                </w:tcPr>
                <w:p w14:paraId="4C53E5A9">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6～9</w:t>
                  </w:r>
                </w:p>
              </w:tc>
              <w:tc>
                <w:tcPr>
                  <w:tcW w:w="1185" w:type="dxa"/>
                  <w:vAlign w:val="center"/>
                </w:tcPr>
                <w:p w14:paraId="4235E366">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500</w:t>
                  </w:r>
                </w:p>
              </w:tc>
              <w:tc>
                <w:tcPr>
                  <w:tcW w:w="1245" w:type="dxa"/>
                  <w:vAlign w:val="center"/>
                </w:tcPr>
                <w:p w14:paraId="0F8354D0">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400</w:t>
                  </w:r>
                </w:p>
              </w:tc>
              <w:tc>
                <w:tcPr>
                  <w:tcW w:w="1275" w:type="dxa"/>
                  <w:vAlign w:val="center"/>
                </w:tcPr>
                <w:p w14:paraId="123EF976">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c>
                <w:tcPr>
                  <w:tcW w:w="1159" w:type="dxa"/>
                  <w:vAlign w:val="center"/>
                </w:tcPr>
                <w:p w14:paraId="6396593B">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300</w:t>
                  </w:r>
                </w:p>
              </w:tc>
            </w:tr>
            <w:tr w14:paraId="308DC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0" w:type="dxa"/>
                  <w:shd w:val="clear" w:color="auto" w:fill="7E7E7E" w:themeFill="background1" w:themeFillShade="7F"/>
                  <w:vAlign w:val="center"/>
                </w:tcPr>
                <w:p w14:paraId="0CCD90D4">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本项目执行标准</w:t>
                  </w:r>
                </w:p>
              </w:tc>
              <w:tc>
                <w:tcPr>
                  <w:tcW w:w="1320" w:type="dxa"/>
                  <w:shd w:val="clear" w:color="auto" w:fill="auto"/>
                  <w:vAlign w:val="center"/>
                </w:tcPr>
                <w:p w14:paraId="24A4B910">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6～9</w:t>
                  </w:r>
                </w:p>
              </w:tc>
              <w:tc>
                <w:tcPr>
                  <w:tcW w:w="1185" w:type="dxa"/>
                  <w:shd w:val="clear" w:color="auto" w:fill="auto"/>
                  <w:vAlign w:val="center"/>
                </w:tcPr>
                <w:p w14:paraId="0360D5E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480</w:t>
                  </w:r>
                </w:p>
              </w:tc>
              <w:tc>
                <w:tcPr>
                  <w:tcW w:w="1245" w:type="dxa"/>
                  <w:shd w:val="clear" w:color="auto" w:fill="auto"/>
                  <w:vAlign w:val="center"/>
                </w:tcPr>
                <w:p w14:paraId="2A5E2F1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310</w:t>
                  </w:r>
                </w:p>
              </w:tc>
              <w:tc>
                <w:tcPr>
                  <w:tcW w:w="1275" w:type="dxa"/>
                  <w:shd w:val="clear" w:color="auto" w:fill="auto"/>
                  <w:vAlign w:val="center"/>
                </w:tcPr>
                <w:p w14:paraId="766ABDC0">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c>
                <w:tcPr>
                  <w:tcW w:w="1159" w:type="dxa"/>
                  <w:shd w:val="clear" w:color="auto" w:fill="auto"/>
                  <w:vAlign w:val="center"/>
                </w:tcPr>
                <w:p w14:paraId="4813038E">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120</w:t>
                  </w:r>
                </w:p>
              </w:tc>
            </w:tr>
          </w:tbl>
          <w:p w14:paraId="3FFB5A03">
            <w:pPr>
              <w:spacing w:line="360" w:lineRule="auto"/>
              <w:ind w:firstLine="482" w:firstLineChars="200"/>
              <w:rPr>
                <w:rFonts w:ascii="Times New Roman" w:hAnsi="Times New Roman" w:eastAsia="宋体" w:cs="Times New Roman"/>
                <w:b/>
                <w:bCs/>
                <w:color w:val="auto"/>
                <w:sz w:val="24"/>
              </w:rPr>
            </w:pPr>
            <w:r>
              <w:rPr>
                <w:rFonts w:ascii="Times New Roman" w:hAnsi="Times New Roman" w:eastAsia="宋体" w:cs="Times New Roman"/>
                <w:b/>
                <w:bCs/>
                <w:color w:val="auto"/>
                <w:sz w:val="24"/>
              </w:rPr>
              <w:t>2、大气污染物排放标准</w:t>
            </w:r>
          </w:p>
          <w:p w14:paraId="49319041">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运营期非甲烷总烃、甲苯、氯化氢、颗粒物</w:t>
            </w:r>
            <w:r>
              <w:rPr>
                <w:rFonts w:ascii="Times New Roman" w:hAnsi="Times New Roman" w:eastAsia="宋体" w:cs="Times New Roman"/>
                <w:color w:val="auto"/>
                <w:sz w:val="24"/>
              </w:rPr>
              <w:t>排放执行《大气污染物综合排放标准》（GB16297-1996）表2中最高允许排放浓度及无组织排放监控浓度限值，相关标准限值见表3.</w:t>
            </w:r>
            <w:r>
              <w:rPr>
                <w:rFonts w:hint="eastAsia" w:ascii="Times New Roman" w:hAnsi="Times New Roman" w:eastAsia="宋体" w:cs="Times New Roman"/>
                <w:color w:val="auto"/>
                <w:sz w:val="24"/>
                <w:lang w:val="en-US" w:eastAsia="zh-CN"/>
              </w:rPr>
              <w:t>3</w:t>
            </w:r>
            <w:r>
              <w:rPr>
                <w:rFonts w:ascii="Times New Roman" w:hAnsi="Times New Roman" w:eastAsia="宋体" w:cs="Times New Roman"/>
                <w:color w:val="auto"/>
                <w:sz w:val="24"/>
              </w:rPr>
              <w:t>；厂区内挥发性有机物无组织排放执行《挥发性有机物无组织控制排放标准》（GB37822-2019）附录A</w:t>
            </w:r>
            <w:r>
              <w:rPr>
                <w:rFonts w:hint="eastAsia" w:ascii="宋体" w:hAnsi="宋体" w:eastAsia="宋体" w:cs="宋体"/>
                <w:color w:val="auto"/>
                <w:sz w:val="24"/>
              </w:rPr>
              <w:t>中“</w:t>
            </w:r>
            <w:r>
              <w:rPr>
                <w:rFonts w:ascii="Times New Roman" w:hAnsi="Times New Roman" w:eastAsia="宋体" w:cs="Times New Roman"/>
                <w:color w:val="auto"/>
                <w:sz w:val="24"/>
              </w:rPr>
              <w:t>表A.1中限值-特别</w:t>
            </w:r>
            <w:r>
              <w:rPr>
                <w:rFonts w:hint="eastAsia" w:ascii="宋体" w:hAnsi="宋体" w:eastAsia="宋体" w:cs="宋体"/>
                <w:color w:val="auto"/>
                <w:sz w:val="24"/>
              </w:rPr>
              <w:t>排放限值”，</w:t>
            </w:r>
            <w:r>
              <w:rPr>
                <w:rFonts w:ascii="Times New Roman" w:hAnsi="Times New Roman" w:eastAsia="宋体" w:cs="Times New Roman"/>
                <w:color w:val="auto"/>
                <w:sz w:val="24"/>
              </w:rPr>
              <w:t>相关标准限值见表3.</w:t>
            </w:r>
            <w:r>
              <w:rPr>
                <w:rFonts w:hint="eastAsia" w:ascii="Times New Roman" w:hAnsi="Times New Roman" w:eastAsia="宋体" w:cs="Times New Roman"/>
                <w:color w:val="auto"/>
                <w:sz w:val="24"/>
                <w:lang w:val="en-US" w:eastAsia="zh-CN"/>
              </w:rPr>
              <w:t>4</w:t>
            </w:r>
            <w:r>
              <w:rPr>
                <w:rFonts w:ascii="Times New Roman" w:hAnsi="Times New Roman" w:eastAsia="宋体" w:cs="Times New Roman"/>
                <w:color w:val="auto"/>
                <w:sz w:val="24"/>
              </w:rPr>
              <w:t>。</w:t>
            </w:r>
          </w:p>
          <w:p w14:paraId="2373FC7F">
            <w:pPr>
              <w:pStyle w:val="44"/>
              <w:spacing w:line="240" w:lineRule="auto"/>
              <w:rPr>
                <w:rFonts w:eastAsia="宋体" w:cs="Times New Roman"/>
                <w:b/>
                <w:bCs/>
                <w:color w:val="auto"/>
                <w:szCs w:val="24"/>
              </w:rPr>
            </w:pPr>
          </w:p>
          <w:p w14:paraId="1E2349F0">
            <w:pPr>
              <w:pStyle w:val="44"/>
              <w:spacing w:line="240" w:lineRule="auto"/>
              <w:rPr>
                <w:rFonts w:eastAsia="宋体" w:cs="Times New Roman"/>
                <w:b/>
                <w:bCs/>
                <w:color w:val="auto"/>
                <w:szCs w:val="24"/>
              </w:rPr>
            </w:pPr>
          </w:p>
          <w:p w14:paraId="5FB529BD">
            <w:pPr>
              <w:pStyle w:val="44"/>
              <w:spacing w:line="240" w:lineRule="auto"/>
              <w:rPr>
                <w:rFonts w:eastAsia="宋体" w:cs="Times New Roman"/>
                <w:b/>
                <w:bCs/>
                <w:color w:val="auto"/>
                <w:szCs w:val="24"/>
              </w:rPr>
            </w:pPr>
          </w:p>
          <w:p w14:paraId="0AB92B7E">
            <w:pPr>
              <w:pStyle w:val="44"/>
              <w:spacing w:line="240" w:lineRule="auto"/>
              <w:rPr>
                <w:rFonts w:eastAsia="宋体" w:cs="Times New Roman"/>
                <w:b/>
                <w:bCs/>
                <w:color w:val="auto"/>
                <w:szCs w:val="24"/>
              </w:rPr>
            </w:pPr>
            <w:r>
              <w:rPr>
                <w:rFonts w:eastAsia="宋体" w:cs="Times New Roman"/>
                <w:b/>
                <w:bCs/>
                <w:color w:val="auto"/>
                <w:szCs w:val="24"/>
              </w:rPr>
              <w:t>表3.</w:t>
            </w:r>
            <w:r>
              <w:rPr>
                <w:rFonts w:hint="eastAsia" w:eastAsia="宋体" w:cs="Times New Roman"/>
                <w:b/>
                <w:bCs/>
                <w:color w:val="auto"/>
                <w:szCs w:val="24"/>
                <w:lang w:val="en-US" w:eastAsia="zh-CN"/>
              </w:rPr>
              <w:t>3</w:t>
            </w:r>
            <w:r>
              <w:rPr>
                <w:rFonts w:eastAsia="宋体" w:cs="Times New Roman"/>
                <w:b/>
                <w:bCs/>
                <w:color w:val="auto"/>
                <w:szCs w:val="24"/>
              </w:rPr>
              <w:t xml:space="preserve">  新污染源大气污染物排放限值</w:t>
            </w:r>
          </w:p>
          <w:tbl>
            <w:tblPr>
              <w:tblStyle w:val="29"/>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380"/>
              <w:gridCol w:w="1993"/>
              <w:gridCol w:w="1336"/>
              <w:gridCol w:w="1336"/>
              <w:gridCol w:w="1337"/>
              <w:gridCol w:w="1337"/>
            </w:tblGrid>
            <w:tr w14:paraId="6A9A8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5" w:type="dxa"/>
                  <w:vMerge w:val="restart"/>
                  <w:vAlign w:val="center"/>
                </w:tcPr>
                <w:p w14:paraId="1601D0EB">
                  <w:pPr>
                    <w:pStyle w:val="43"/>
                    <w:rPr>
                      <w:rFonts w:cs="Times New Roman"/>
                      <w:color w:val="auto"/>
                      <w:szCs w:val="21"/>
                    </w:rPr>
                  </w:pPr>
                  <w:r>
                    <w:rPr>
                      <w:rFonts w:cs="Times New Roman"/>
                      <w:color w:val="auto"/>
                      <w:szCs w:val="21"/>
                    </w:rPr>
                    <w:t>序号</w:t>
                  </w:r>
                </w:p>
              </w:tc>
              <w:tc>
                <w:tcPr>
                  <w:tcW w:w="1380" w:type="dxa"/>
                  <w:vMerge w:val="restart"/>
                  <w:vAlign w:val="center"/>
                </w:tcPr>
                <w:p w14:paraId="3396657B">
                  <w:pPr>
                    <w:pStyle w:val="43"/>
                    <w:rPr>
                      <w:rFonts w:cs="Times New Roman"/>
                      <w:color w:val="auto"/>
                      <w:szCs w:val="21"/>
                    </w:rPr>
                  </w:pPr>
                  <w:r>
                    <w:rPr>
                      <w:rFonts w:cs="Times New Roman"/>
                      <w:color w:val="auto"/>
                      <w:szCs w:val="21"/>
                    </w:rPr>
                    <w:t>污染物</w:t>
                  </w:r>
                </w:p>
              </w:tc>
              <w:tc>
                <w:tcPr>
                  <w:tcW w:w="1993" w:type="dxa"/>
                  <w:vMerge w:val="restart"/>
                  <w:vAlign w:val="center"/>
                </w:tcPr>
                <w:p w14:paraId="3050737D">
                  <w:pPr>
                    <w:pStyle w:val="43"/>
                    <w:rPr>
                      <w:rFonts w:cs="Times New Roman"/>
                      <w:color w:val="auto"/>
                      <w:szCs w:val="21"/>
                    </w:rPr>
                  </w:pPr>
                  <w:r>
                    <w:rPr>
                      <w:rFonts w:cs="Times New Roman"/>
                      <w:color w:val="auto"/>
                      <w:szCs w:val="21"/>
                    </w:rPr>
                    <w:t>最高允许排放浓度mg/m</w:t>
                  </w:r>
                  <w:r>
                    <w:rPr>
                      <w:rFonts w:cs="Times New Roman"/>
                      <w:color w:val="auto"/>
                      <w:szCs w:val="21"/>
                      <w:vertAlign w:val="superscript"/>
                    </w:rPr>
                    <w:t>3</w:t>
                  </w:r>
                </w:p>
              </w:tc>
              <w:tc>
                <w:tcPr>
                  <w:tcW w:w="2672" w:type="dxa"/>
                  <w:gridSpan w:val="2"/>
                  <w:vAlign w:val="center"/>
                </w:tcPr>
                <w:p w14:paraId="610C156B">
                  <w:pPr>
                    <w:pStyle w:val="43"/>
                    <w:rPr>
                      <w:rFonts w:cs="Times New Roman"/>
                      <w:color w:val="auto"/>
                      <w:szCs w:val="21"/>
                    </w:rPr>
                  </w:pPr>
                  <w:r>
                    <w:rPr>
                      <w:rFonts w:cs="Times New Roman"/>
                      <w:color w:val="auto"/>
                      <w:szCs w:val="21"/>
                    </w:rPr>
                    <w:t>最高允许排放速率</w:t>
                  </w:r>
                </w:p>
              </w:tc>
              <w:tc>
                <w:tcPr>
                  <w:tcW w:w="2674" w:type="dxa"/>
                  <w:gridSpan w:val="2"/>
                  <w:vAlign w:val="center"/>
                </w:tcPr>
                <w:p w14:paraId="4C3541ED">
                  <w:pPr>
                    <w:pStyle w:val="43"/>
                    <w:rPr>
                      <w:rFonts w:cs="Times New Roman"/>
                      <w:color w:val="auto"/>
                      <w:szCs w:val="21"/>
                    </w:rPr>
                  </w:pPr>
                  <w:r>
                    <w:rPr>
                      <w:rFonts w:cs="Times New Roman"/>
                      <w:color w:val="auto"/>
                      <w:szCs w:val="21"/>
                    </w:rPr>
                    <w:t>无组织排放监控浓度限值</w:t>
                  </w:r>
                </w:p>
              </w:tc>
            </w:tr>
            <w:tr w14:paraId="238B8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5" w:type="dxa"/>
                  <w:vMerge w:val="continue"/>
                  <w:vAlign w:val="center"/>
                </w:tcPr>
                <w:p w14:paraId="39DD1B88">
                  <w:pPr>
                    <w:pStyle w:val="43"/>
                    <w:rPr>
                      <w:rFonts w:cs="Times New Roman"/>
                      <w:color w:val="auto"/>
                      <w:szCs w:val="21"/>
                    </w:rPr>
                  </w:pPr>
                </w:p>
              </w:tc>
              <w:tc>
                <w:tcPr>
                  <w:tcW w:w="1380" w:type="dxa"/>
                  <w:vMerge w:val="continue"/>
                  <w:vAlign w:val="center"/>
                </w:tcPr>
                <w:p w14:paraId="65C948D3">
                  <w:pPr>
                    <w:pStyle w:val="43"/>
                    <w:rPr>
                      <w:rFonts w:cs="Times New Roman"/>
                      <w:color w:val="auto"/>
                      <w:szCs w:val="21"/>
                    </w:rPr>
                  </w:pPr>
                </w:p>
              </w:tc>
              <w:tc>
                <w:tcPr>
                  <w:tcW w:w="1993" w:type="dxa"/>
                  <w:vMerge w:val="continue"/>
                  <w:vAlign w:val="center"/>
                </w:tcPr>
                <w:p w14:paraId="7B8BB3C9">
                  <w:pPr>
                    <w:pStyle w:val="43"/>
                    <w:rPr>
                      <w:rFonts w:cs="Times New Roman"/>
                      <w:color w:val="auto"/>
                      <w:szCs w:val="21"/>
                    </w:rPr>
                  </w:pPr>
                </w:p>
              </w:tc>
              <w:tc>
                <w:tcPr>
                  <w:tcW w:w="1336" w:type="dxa"/>
                  <w:vAlign w:val="center"/>
                </w:tcPr>
                <w:p w14:paraId="483939CA">
                  <w:pPr>
                    <w:pStyle w:val="43"/>
                    <w:rPr>
                      <w:rFonts w:cs="Times New Roman"/>
                      <w:color w:val="auto"/>
                      <w:szCs w:val="21"/>
                    </w:rPr>
                  </w:pPr>
                  <w:r>
                    <w:rPr>
                      <w:rFonts w:cs="Times New Roman"/>
                      <w:color w:val="auto"/>
                      <w:szCs w:val="21"/>
                    </w:rPr>
                    <w:t>排气筒高度m</w:t>
                  </w:r>
                </w:p>
              </w:tc>
              <w:tc>
                <w:tcPr>
                  <w:tcW w:w="1336" w:type="dxa"/>
                  <w:vAlign w:val="center"/>
                </w:tcPr>
                <w:p w14:paraId="64B1C677">
                  <w:pPr>
                    <w:pStyle w:val="43"/>
                    <w:rPr>
                      <w:rFonts w:cs="Times New Roman"/>
                      <w:color w:val="auto"/>
                      <w:szCs w:val="21"/>
                    </w:rPr>
                  </w:pPr>
                  <w:r>
                    <w:rPr>
                      <w:rFonts w:cs="Times New Roman"/>
                      <w:color w:val="auto"/>
                      <w:szCs w:val="21"/>
                    </w:rPr>
                    <w:t>二级</w:t>
                  </w:r>
                </w:p>
              </w:tc>
              <w:tc>
                <w:tcPr>
                  <w:tcW w:w="1337" w:type="dxa"/>
                  <w:vAlign w:val="center"/>
                </w:tcPr>
                <w:p w14:paraId="583127AC">
                  <w:pPr>
                    <w:pStyle w:val="43"/>
                    <w:rPr>
                      <w:rFonts w:cs="Times New Roman"/>
                      <w:color w:val="auto"/>
                      <w:szCs w:val="21"/>
                    </w:rPr>
                  </w:pPr>
                  <w:r>
                    <w:rPr>
                      <w:rFonts w:cs="Times New Roman"/>
                      <w:color w:val="auto"/>
                      <w:szCs w:val="21"/>
                    </w:rPr>
                    <w:t>监控点</w:t>
                  </w:r>
                </w:p>
              </w:tc>
              <w:tc>
                <w:tcPr>
                  <w:tcW w:w="1337" w:type="dxa"/>
                  <w:vAlign w:val="center"/>
                </w:tcPr>
                <w:p w14:paraId="18231E54">
                  <w:pPr>
                    <w:pStyle w:val="43"/>
                    <w:rPr>
                      <w:rFonts w:cs="Times New Roman"/>
                      <w:color w:val="auto"/>
                      <w:szCs w:val="21"/>
                    </w:rPr>
                  </w:pPr>
                  <w:r>
                    <w:rPr>
                      <w:rFonts w:cs="Times New Roman"/>
                      <w:color w:val="auto"/>
                      <w:szCs w:val="21"/>
                    </w:rPr>
                    <w:t>浓度</w:t>
                  </w:r>
                </w:p>
                <w:p w14:paraId="1965D87A">
                  <w:pPr>
                    <w:pStyle w:val="43"/>
                    <w:rPr>
                      <w:rFonts w:cs="Times New Roman"/>
                      <w:color w:val="auto"/>
                      <w:szCs w:val="21"/>
                    </w:rPr>
                  </w:pPr>
                  <w:r>
                    <w:rPr>
                      <w:rFonts w:cs="Times New Roman"/>
                      <w:color w:val="auto"/>
                      <w:szCs w:val="21"/>
                    </w:rPr>
                    <w:t>mg/m</w:t>
                  </w:r>
                  <w:r>
                    <w:rPr>
                      <w:rFonts w:cs="Times New Roman"/>
                      <w:color w:val="auto"/>
                      <w:szCs w:val="21"/>
                      <w:vertAlign w:val="superscript"/>
                    </w:rPr>
                    <w:t>3</w:t>
                  </w:r>
                </w:p>
              </w:tc>
            </w:tr>
            <w:tr w14:paraId="43888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5" w:type="dxa"/>
                  <w:vAlign w:val="center"/>
                </w:tcPr>
                <w:p w14:paraId="6DC8CAA8">
                  <w:pPr>
                    <w:pStyle w:val="43"/>
                    <w:rPr>
                      <w:rFonts w:cs="Times New Roman"/>
                      <w:color w:val="auto"/>
                      <w:szCs w:val="21"/>
                    </w:rPr>
                  </w:pPr>
                  <w:r>
                    <w:rPr>
                      <w:rFonts w:cs="Times New Roman"/>
                      <w:color w:val="auto"/>
                      <w:szCs w:val="21"/>
                    </w:rPr>
                    <w:t>1</w:t>
                  </w:r>
                </w:p>
              </w:tc>
              <w:tc>
                <w:tcPr>
                  <w:tcW w:w="1380" w:type="dxa"/>
                  <w:vAlign w:val="center"/>
                </w:tcPr>
                <w:p w14:paraId="6083AD6D">
                  <w:pPr>
                    <w:pStyle w:val="43"/>
                    <w:rPr>
                      <w:rFonts w:cs="Times New Roman"/>
                      <w:color w:val="auto"/>
                      <w:szCs w:val="21"/>
                    </w:rPr>
                  </w:pPr>
                  <w:r>
                    <w:rPr>
                      <w:rFonts w:cs="Times New Roman"/>
                      <w:color w:val="auto"/>
                      <w:szCs w:val="21"/>
                    </w:rPr>
                    <w:t>非甲烷总烃</w:t>
                  </w:r>
                </w:p>
              </w:tc>
              <w:tc>
                <w:tcPr>
                  <w:tcW w:w="1993" w:type="dxa"/>
                  <w:vAlign w:val="center"/>
                </w:tcPr>
                <w:p w14:paraId="6F51DCCA">
                  <w:pPr>
                    <w:pStyle w:val="43"/>
                    <w:rPr>
                      <w:rFonts w:cs="Times New Roman"/>
                      <w:color w:val="auto"/>
                      <w:szCs w:val="21"/>
                    </w:rPr>
                  </w:pPr>
                  <w:r>
                    <w:rPr>
                      <w:rFonts w:cs="Times New Roman"/>
                      <w:color w:val="auto"/>
                      <w:szCs w:val="21"/>
                    </w:rPr>
                    <w:t>120</w:t>
                  </w:r>
                </w:p>
              </w:tc>
              <w:tc>
                <w:tcPr>
                  <w:tcW w:w="1336" w:type="dxa"/>
                  <w:vAlign w:val="center"/>
                </w:tcPr>
                <w:p w14:paraId="167438D1">
                  <w:pPr>
                    <w:pStyle w:val="43"/>
                    <w:rPr>
                      <w:rFonts w:cs="Times New Roman"/>
                      <w:color w:val="auto"/>
                      <w:szCs w:val="21"/>
                    </w:rPr>
                  </w:pPr>
                  <w:r>
                    <w:rPr>
                      <w:rFonts w:cs="Times New Roman"/>
                      <w:color w:val="auto"/>
                      <w:szCs w:val="21"/>
                    </w:rPr>
                    <w:t>15</w:t>
                  </w:r>
                </w:p>
              </w:tc>
              <w:tc>
                <w:tcPr>
                  <w:tcW w:w="1336" w:type="dxa"/>
                  <w:vAlign w:val="center"/>
                </w:tcPr>
                <w:p w14:paraId="0EF2B694">
                  <w:pPr>
                    <w:pStyle w:val="43"/>
                    <w:rPr>
                      <w:rFonts w:cs="Times New Roman"/>
                      <w:color w:val="auto"/>
                      <w:szCs w:val="21"/>
                    </w:rPr>
                  </w:pPr>
                  <w:r>
                    <w:rPr>
                      <w:rFonts w:cs="Times New Roman"/>
                      <w:color w:val="auto"/>
                      <w:szCs w:val="21"/>
                    </w:rPr>
                    <w:t>10</w:t>
                  </w:r>
                </w:p>
              </w:tc>
              <w:tc>
                <w:tcPr>
                  <w:tcW w:w="1337" w:type="dxa"/>
                  <w:vAlign w:val="center"/>
                </w:tcPr>
                <w:p w14:paraId="34535F22">
                  <w:pPr>
                    <w:pStyle w:val="43"/>
                    <w:rPr>
                      <w:rFonts w:cs="Times New Roman"/>
                      <w:color w:val="auto"/>
                      <w:szCs w:val="21"/>
                    </w:rPr>
                  </w:pPr>
                  <w:r>
                    <w:rPr>
                      <w:rFonts w:cs="Times New Roman"/>
                      <w:color w:val="auto"/>
                      <w:szCs w:val="21"/>
                    </w:rPr>
                    <w:t>周界外浓度最高点</w:t>
                  </w:r>
                </w:p>
              </w:tc>
              <w:tc>
                <w:tcPr>
                  <w:tcW w:w="1337" w:type="dxa"/>
                  <w:vAlign w:val="center"/>
                </w:tcPr>
                <w:p w14:paraId="519B5E55">
                  <w:pPr>
                    <w:pStyle w:val="43"/>
                    <w:rPr>
                      <w:rFonts w:cs="Times New Roman"/>
                      <w:color w:val="auto"/>
                      <w:szCs w:val="21"/>
                    </w:rPr>
                  </w:pPr>
                  <w:r>
                    <w:rPr>
                      <w:rFonts w:cs="Times New Roman"/>
                      <w:color w:val="auto"/>
                      <w:szCs w:val="21"/>
                    </w:rPr>
                    <w:t>4.0</w:t>
                  </w:r>
                </w:p>
              </w:tc>
            </w:tr>
            <w:tr w14:paraId="11823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5" w:type="dxa"/>
                  <w:vAlign w:val="center"/>
                </w:tcPr>
                <w:p w14:paraId="642A54FE">
                  <w:pPr>
                    <w:pStyle w:val="43"/>
                    <w:rPr>
                      <w:rFonts w:cs="Times New Roman"/>
                      <w:color w:val="auto"/>
                      <w:szCs w:val="21"/>
                    </w:rPr>
                  </w:pPr>
                  <w:r>
                    <w:rPr>
                      <w:rFonts w:cs="Times New Roman"/>
                      <w:color w:val="auto"/>
                      <w:szCs w:val="21"/>
                    </w:rPr>
                    <w:t>2</w:t>
                  </w:r>
                </w:p>
              </w:tc>
              <w:tc>
                <w:tcPr>
                  <w:tcW w:w="1380" w:type="dxa"/>
                  <w:vAlign w:val="center"/>
                </w:tcPr>
                <w:p w14:paraId="6E780B08">
                  <w:pPr>
                    <w:pStyle w:val="43"/>
                    <w:rPr>
                      <w:rFonts w:cs="Times New Roman"/>
                      <w:color w:val="auto"/>
                      <w:szCs w:val="21"/>
                    </w:rPr>
                  </w:pPr>
                  <w:r>
                    <w:rPr>
                      <w:rFonts w:cs="Times New Roman"/>
                      <w:color w:val="auto"/>
                      <w:szCs w:val="21"/>
                    </w:rPr>
                    <w:t>颗粒物</w:t>
                  </w:r>
                </w:p>
              </w:tc>
              <w:tc>
                <w:tcPr>
                  <w:tcW w:w="1993" w:type="dxa"/>
                  <w:vAlign w:val="center"/>
                </w:tcPr>
                <w:p w14:paraId="771A0F5D">
                  <w:pPr>
                    <w:pStyle w:val="43"/>
                    <w:rPr>
                      <w:rFonts w:cs="Times New Roman"/>
                      <w:color w:val="auto"/>
                      <w:szCs w:val="21"/>
                    </w:rPr>
                  </w:pPr>
                  <w:r>
                    <w:rPr>
                      <w:rFonts w:cs="Times New Roman"/>
                      <w:color w:val="auto"/>
                      <w:szCs w:val="21"/>
                    </w:rPr>
                    <w:t>120</w:t>
                  </w:r>
                </w:p>
              </w:tc>
              <w:tc>
                <w:tcPr>
                  <w:tcW w:w="1336" w:type="dxa"/>
                  <w:vAlign w:val="center"/>
                </w:tcPr>
                <w:p w14:paraId="22CAB613">
                  <w:pPr>
                    <w:pStyle w:val="43"/>
                    <w:rPr>
                      <w:rFonts w:cs="Times New Roman"/>
                      <w:color w:val="auto"/>
                      <w:szCs w:val="21"/>
                    </w:rPr>
                  </w:pPr>
                  <w:r>
                    <w:rPr>
                      <w:rFonts w:cs="Times New Roman"/>
                      <w:color w:val="auto"/>
                      <w:szCs w:val="21"/>
                    </w:rPr>
                    <w:t>15</w:t>
                  </w:r>
                </w:p>
              </w:tc>
              <w:tc>
                <w:tcPr>
                  <w:tcW w:w="1336" w:type="dxa"/>
                  <w:vAlign w:val="center"/>
                </w:tcPr>
                <w:p w14:paraId="29B1F343">
                  <w:pPr>
                    <w:pStyle w:val="43"/>
                    <w:rPr>
                      <w:rFonts w:cs="Times New Roman"/>
                      <w:color w:val="auto"/>
                      <w:szCs w:val="21"/>
                    </w:rPr>
                  </w:pPr>
                  <w:r>
                    <w:rPr>
                      <w:rFonts w:cs="Times New Roman"/>
                      <w:color w:val="auto"/>
                      <w:szCs w:val="21"/>
                    </w:rPr>
                    <w:t>3.5</w:t>
                  </w:r>
                </w:p>
              </w:tc>
              <w:tc>
                <w:tcPr>
                  <w:tcW w:w="1337" w:type="dxa"/>
                  <w:vAlign w:val="center"/>
                </w:tcPr>
                <w:p w14:paraId="1879D34B">
                  <w:pPr>
                    <w:pStyle w:val="43"/>
                    <w:rPr>
                      <w:rFonts w:cs="Times New Roman"/>
                      <w:color w:val="auto"/>
                      <w:szCs w:val="21"/>
                    </w:rPr>
                  </w:pPr>
                  <w:r>
                    <w:rPr>
                      <w:rFonts w:cs="Times New Roman"/>
                      <w:color w:val="auto"/>
                      <w:szCs w:val="21"/>
                    </w:rPr>
                    <w:t>周界外浓度最高点</w:t>
                  </w:r>
                </w:p>
              </w:tc>
              <w:tc>
                <w:tcPr>
                  <w:tcW w:w="1337" w:type="dxa"/>
                  <w:vAlign w:val="center"/>
                </w:tcPr>
                <w:p w14:paraId="3A4E5E0C">
                  <w:pPr>
                    <w:pStyle w:val="43"/>
                    <w:rPr>
                      <w:rFonts w:cs="Times New Roman"/>
                      <w:color w:val="auto"/>
                      <w:szCs w:val="21"/>
                    </w:rPr>
                  </w:pPr>
                  <w:r>
                    <w:rPr>
                      <w:rFonts w:cs="Times New Roman"/>
                      <w:color w:val="auto"/>
                      <w:szCs w:val="21"/>
                    </w:rPr>
                    <w:t>1.0</w:t>
                  </w:r>
                </w:p>
              </w:tc>
            </w:tr>
            <w:tr w14:paraId="020B8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5" w:type="dxa"/>
                  <w:vAlign w:val="center"/>
                </w:tcPr>
                <w:p w14:paraId="5BD3A135">
                  <w:pPr>
                    <w:pStyle w:val="43"/>
                    <w:rPr>
                      <w:rFonts w:hint="eastAsia" w:eastAsia="宋体" w:cs="Times New Roman"/>
                      <w:color w:val="auto"/>
                      <w:szCs w:val="21"/>
                      <w:lang w:val="en-US" w:eastAsia="zh-CN"/>
                    </w:rPr>
                  </w:pPr>
                  <w:r>
                    <w:rPr>
                      <w:rFonts w:hint="eastAsia" w:cs="Times New Roman"/>
                      <w:color w:val="auto"/>
                      <w:szCs w:val="21"/>
                      <w:lang w:val="en-US" w:eastAsia="zh-CN"/>
                    </w:rPr>
                    <w:t>3</w:t>
                  </w:r>
                </w:p>
              </w:tc>
              <w:tc>
                <w:tcPr>
                  <w:tcW w:w="1380" w:type="dxa"/>
                  <w:vAlign w:val="center"/>
                </w:tcPr>
                <w:p w14:paraId="48BB0EC3">
                  <w:pPr>
                    <w:pStyle w:val="43"/>
                    <w:rPr>
                      <w:rFonts w:hint="eastAsia" w:eastAsia="宋体" w:cs="Times New Roman"/>
                      <w:color w:val="auto"/>
                      <w:szCs w:val="21"/>
                      <w:lang w:eastAsia="zh-CN"/>
                    </w:rPr>
                  </w:pPr>
                  <w:r>
                    <w:rPr>
                      <w:rFonts w:hint="eastAsia" w:cs="Times New Roman"/>
                      <w:color w:val="auto"/>
                      <w:szCs w:val="21"/>
                      <w:lang w:eastAsia="zh-CN"/>
                    </w:rPr>
                    <w:t>甲苯</w:t>
                  </w:r>
                </w:p>
              </w:tc>
              <w:tc>
                <w:tcPr>
                  <w:tcW w:w="1993" w:type="dxa"/>
                  <w:vAlign w:val="center"/>
                </w:tcPr>
                <w:p w14:paraId="01293E39">
                  <w:pPr>
                    <w:pStyle w:val="43"/>
                    <w:rPr>
                      <w:rFonts w:hint="default" w:eastAsia="宋体" w:cs="Times New Roman"/>
                      <w:color w:val="auto"/>
                      <w:szCs w:val="21"/>
                      <w:lang w:val="en-US" w:eastAsia="zh-CN"/>
                    </w:rPr>
                  </w:pPr>
                  <w:r>
                    <w:rPr>
                      <w:rFonts w:hint="eastAsia" w:cs="Times New Roman"/>
                      <w:color w:val="auto"/>
                      <w:szCs w:val="21"/>
                      <w:lang w:val="en-US" w:eastAsia="zh-CN"/>
                    </w:rPr>
                    <w:t>40</w:t>
                  </w:r>
                </w:p>
              </w:tc>
              <w:tc>
                <w:tcPr>
                  <w:tcW w:w="1336" w:type="dxa"/>
                  <w:vAlign w:val="center"/>
                </w:tcPr>
                <w:p w14:paraId="71BB44DD">
                  <w:pPr>
                    <w:pStyle w:val="43"/>
                    <w:rPr>
                      <w:rFonts w:hint="default" w:eastAsia="宋体" w:cs="Times New Roman"/>
                      <w:color w:val="auto"/>
                      <w:szCs w:val="21"/>
                      <w:lang w:val="en-US" w:eastAsia="zh-CN"/>
                    </w:rPr>
                  </w:pPr>
                  <w:r>
                    <w:rPr>
                      <w:rFonts w:hint="eastAsia" w:cs="Times New Roman"/>
                      <w:color w:val="auto"/>
                      <w:szCs w:val="21"/>
                      <w:lang w:val="en-US" w:eastAsia="zh-CN"/>
                    </w:rPr>
                    <w:t>15</w:t>
                  </w:r>
                </w:p>
              </w:tc>
              <w:tc>
                <w:tcPr>
                  <w:tcW w:w="1336" w:type="dxa"/>
                  <w:vAlign w:val="center"/>
                </w:tcPr>
                <w:p w14:paraId="32FCED52">
                  <w:pPr>
                    <w:pStyle w:val="43"/>
                    <w:rPr>
                      <w:rFonts w:hint="default" w:eastAsia="宋体" w:cs="Times New Roman"/>
                      <w:color w:val="auto"/>
                      <w:szCs w:val="21"/>
                      <w:lang w:val="en-US" w:eastAsia="zh-CN"/>
                    </w:rPr>
                  </w:pPr>
                  <w:r>
                    <w:rPr>
                      <w:rFonts w:hint="eastAsia" w:cs="Times New Roman"/>
                      <w:color w:val="auto"/>
                      <w:szCs w:val="21"/>
                      <w:lang w:val="en-US" w:eastAsia="zh-CN"/>
                    </w:rPr>
                    <w:t>3.1</w:t>
                  </w:r>
                </w:p>
              </w:tc>
              <w:tc>
                <w:tcPr>
                  <w:tcW w:w="1337" w:type="dxa"/>
                  <w:vAlign w:val="center"/>
                </w:tcPr>
                <w:p w14:paraId="1AA184CD">
                  <w:pPr>
                    <w:pStyle w:val="43"/>
                    <w:rPr>
                      <w:rFonts w:cs="Times New Roman"/>
                      <w:color w:val="auto"/>
                      <w:szCs w:val="21"/>
                    </w:rPr>
                  </w:pPr>
                  <w:r>
                    <w:rPr>
                      <w:rFonts w:cs="Times New Roman"/>
                      <w:color w:val="auto"/>
                      <w:szCs w:val="21"/>
                    </w:rPr>
                    <w:t>周界外浓度最高点</w:t>
                  </w:r>
                </w:p>
              </w:tc>
              <w:tc>
                <w:tcPr>
                  <w:tcW w:w="1337" w:type="dxa"/>
                  <w:vAlign w:val="center"/>
                </w:tcPr>
                <w:p w14:paraId="0C59ACAE">
                  <w:pPr>
                    <w:pStyle w:val="43"/>
                    <w:rPr>
                      <w:rFonts w:hint="default" w:eastAsia="宋体" w:cs="Times New Roman"/>
                      <w:color w:val="auto"/>
                      <w:szCs w:val="21"/>
                      <w:lang w:val="en-US" w:eastAsia="zh-CN"/>
                    </w:rPr>
                  </w:pPr>
                  <w:r>
                    <w:rPr>
                      <w:rFonts w:hint="eastAsia" w:cs="Times New Roman"/>
                      <w:color w:val="auto"/>
                      <w:szCs w:val="21"/>
                      <w:lang w:val="en-US" w:eastAsia="zh-CN"/>
                    </w:rPr>
                    <w:t>2.4</w:t>
                  </w:r>
                </w:p>
              </w:tc>
            </w:tr>
            <w:tr w14:paraId="31F90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5" w:type="dxa"/>
                  <w:vAlign w:val="center"/>
                </w:tcPr>
                <w:p w14:paraId="04D9EBE5">
                  <w:pPr>
                    <w:pStyle w:val="43"/>
                    <w:rPr>
                      <w:rFonts w:hint="default" w:cs="Times New Roman"/>
                      <w:color w:val="auto"/>
                      <w:szCs w:val="21"/>
                      <w:lang w:val="en-US" w:eastAsia="zh-CN"/>
                    </w:rPr>
                  </w:pPr>
                  <w:r>
                    <w:rPr>
                      <w:rFonts w:hint="eastAsia" w:cs="Times New Roman"/>
                      <w:color w:val="auto"/>
                      <w:szCs w:val="21"/>
                      <w:lang w:val="en-US" w:eastAsia="zh-CN"/>
                    </w:rPr>
                    <w:t>4</w:t>
                  </w:r>
                </w:p>
              </w:tc>
              <w:tc>
                <w:tcPr>
                  <w:tcW w:w="1380" w:type="dxa"/>
                  <w:vAlign w:val="center"/>
                </w:tcPr>
                <w:p w14:paraId="7D380A92">
                  <w:pPr>
                    <w:pStyle w:val="43"/>
                    <w:rPr>
                      <w:rFonts w:hint="eastAsia" w:cs="Times New Roman"/>
                      <w:color w:val="auto"/>
                      <w:szCs w:val="21"/>
                      <w:lang w:eastAsia="zh-CN"/>
                    </w:rPr>
                  </w:pPr>
                  <w:r>
                    <w:rPr>
                      <w:rFonts w:hint="eastAsia" w:cs="Times New Roman"/>
                      <w:color w:val="auto"/>
                      <w:szCs w:val="21"/>
                      <w:lang w:eastAsia="zh-CN"/>
                    </w:rPr>
                    <w:t>氯化氢</w:t>
                  </w:r>
                </w:p>
              </w:tc>
              <w:tc>
                <w:tcPr>
                  <w:tcW w:w="1993" w:type="dxa"/>
                  <w:vAlign w:val="center"/>
                </w:tcPr>
                <w:p w14:paraId="75380E0A">
                  <w:pPr>
                    <w:pStyle w:val="43"/>
                    <w:rPr>
                      <w:rFonts w:hint="default" w:eastAsia="宋体" w:cs="Times New Roman"/>
                      <w:color w:val="auto"/>
                      <w:szCs w:val="21"/>
                      <w:lang w:val="en-US" w:eastAsia="zh-CN"/>
                    </w:rPr>
                  </w:pPr>
                  <w:r>
                    <w:rPr>
                      <w:rFonts w:hint="eastAsia" w:cs="Times New Roman"/>
                      <w:color w:val="auto"/>
                      <w:szCs w:val="21"/>
                      <w:lang w:val="en-US" w:eastAsia="zh-CN"/>
                    </w:rPr>
                    <w:t>100</w:t>
                  </w:r>
                </w:p>
              </w:tc>
              <w:tc>
                <w:tcPr>
                  <w:tcW w:w="1336" w:type="dxa"/>
                  <w:vAlign w:val="center"/>
                </w:tcPr>
                <w:p w14:paraId="42CCA12F">
                  <w:pPr>
                    <w:pStyle w:val="43"/>
                    <w:rPr>
                      <w:rFonts w:hint="default" w:eastAsia="宋体" w:cs="Times New Roman"/>
                      <w:color w:val="auto"/>
                      <w:szCs w:val="21"/>
                      <w:lang w:val="en-US" w:eastAsia="zh-CN"/>
                    </w:rPr>
                  </w:pPr>
                  <w:r>
                    <w:rPr>
                      <w:rFonts w:hint="eastAsia" w:cs="Times New Roman"/>
                      <w:color w:val="auto"/>
                      <w:szCs w:val="21"/>
                      <w:lang w:val="en-US" w:eastAsia="zh-CN"/>
                    </w:rPr>
                    <w:t>15</w:t>
                  </w:r>
                </w:p>
              </w:tc>
              <w:tc>
                <w:tcPr>
                  <w:tcW w:w="1336" w:type="dxa"/>
                  <w:vAlign w:val="center"/>
                </w:tcPr>
                <w:p w14:paraId="7C9C52D7">
                  <w:pPr>
                    <w:pStyle w:val="43"/>
                    <w:rPr>
                      <w:rFonts w:hint="default" w:eastAsia="宋体" w:cs="Times New Roman"/>
                      <w:color w:val="auto"/>
                      <w:szCs w:val="21"/>
                      <w:lang w:val="en-US" w:eastAsia="zh-CN"/>
                    </w:rPr>
                  </w:pPr>
                  <w:r>
                    <w:rPr>
                      <w:rFonts w:hint="eastAsia" w:cs="Times New Roman"/>
                      <w:color w:val="auto"/>
                      <w:szCs w:val="21"/>
                      <w:lang w:val="en-US" w:eastAsia="zh-CN"/>
                    </w:rPr>
                    <w:t>0.26</w:t>
                  </w:r>
                </w:p>
              </w:tc>
              <w:tc>
                <w:tcPr>
                  <w:tcW w:w="1337" w:type="dxa"/>
                  <w:vAlign w:val="center"/>
                </w:tcPr>
                <w:p w14:paraId="2582689E">
                  <w:pPr>
                    <w:jc w:val="center"/>
                    <w:rPr>
                      <w:rFonts w:cs="Times New Roman"/>
                      <w:color w:val="auto"/>
                      <w:szCs w:val="21"/>
                    </w:rPr>
                  </w:pPr>
                  <w:r>
                    <w:rPr>
                      <w:rFonts w:cs="Times New Roman"/>
                      <w:color w:val="auto"/>
                      <w:szCs w:val="21"/>
                    </w:rPr>
                    <w:t>周界外浓度最高点</w:t>
                  </w:r>
                </w:p>
              </w:tc>
              <w:tc>
                <w:tcPr>
                  <w:tcW w:w="1337" w:type="dxa"/>
                  <w:vAlign w:val="center"/>
                </w:tcPr>
                <w:p w14:paraId="2E182DCE">
                  <w:pPr>
                    <w:pStyle w:val="43"/>
                    <w:rPr>
                      <w:rFonts w:hint="default" w:eastAsia="宋体" w:cs="Times New Roman"/>
                      <w:color w:val="auto"/>
                      <w:szCs w:val="21"/>
                      <w:lang w:val="en-US" w:eastAsia="zh-CN"/>
                    </w:rPr>
                  </w:pPr>
                  <w:r>
                    <w:rPr>
                      <w:rFonts w:hint="eastAsia" w:cs="Times New Roman"/>
                      <w:color w:val="auto"/>
                      <w:szCs w:val="21"/>
                      <w:lang w:val="en-US" w:eastAsia="zh-CN"/>
                    </w:rPr>
                    <w:t>0.20</w:t>
                  </w:r>
                </w:p>
              </w:tc>
            </w:tr>
          </w:tbl>
          <w:p w14:paraId="2C11321F">
            <w:pPr>
              <w:pStyle w:val="44"/>
              <w:spacing w:line="240" w:lineRule="auto"/>
              <w:rPr>
                <w:rFonts w:eastAsia="宋体" w:cs="Times New Roman"/>
                <w:b/>
                <w:bCs/>
                <w:color w:val="auto"/>
                <w:szCs w:val="24"/>
              </w:rPr>
            </w:pPr>
            <w:r>
              <w:rPr>
                <w:rFonts w:eastAsia="宋体" w:cs="Times New Roman"/>
                <w:b/>
                <w:bCs/>
                <w:color w:val="auto"/>
                <w:szCs w:val="24"/>
              </w:rPr>
              <w:t>表3.</w:t>
            </w:r>
            <w:r>
              <w:rPr>
                <w:rFonts w:hint="eastAsia" w:eastAsia="宋体" w:cs="Times New Roman"/>
                <w:b/>
                <w:bCs/>
                <w:color w:val="auto"/>
                <w:szCs w:val="24"/>
                <w:lang w:val="en-US" w:eastAsia="zh-CN"/>
              </w:rPr>
              <w:t>4</w:t>
            </w:r>
            <w:r>
              <w:rPr>
                <w:rFonts w:eastAsia="宋体" w:cs="Times New Roman"/>
                <w:b/>
                <w:bCs/>
                <w:color w:val="auto"/>
                <w:szCs w:val="24"/>
              </w:rPr>
              <w:t xml:space="preserve">  厂区内VOCs无组织排放限值  单位：mg/m</w:t>
            </w:r>
            <w:r>
              <w:rPr>
                <w:rFonts w:eastAsia="宋体" w:cs="Times New Roman"/>
                <w:b/>
                <w:bCs/>
                <w:color w:val="auto"/>
                <w:szCs w:val="24"/>
                <w:vertAlign w:val="superscript"/>
              </w:rPr>
              <w:t>3</w:t>
            </w:r>
          </w:p>
          <w:tbl>
            <w:tblPr>
              <w:tblStyle w:val="29"/>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1182"/>
              <w:gridCol w:w="1693"/>
              <w:gridCol w:w="2856"/>
              <w:gridCol w:w="2179"/>
            </w:tblGrid>
            <w:tr w14:paraId="50045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4" w:type="dxa"/>
                  <w:shd w:val="clear" w:color="auto" w:fill="auto"/>
                  <w:vAlign w:val="center"/>
                </w:tcPr>
                <w:p w14:paraId="0E3AF0E0">
                  <w:pPr>
                    <w:pStyle w:val="43"/>
                    <w:rPr>
                      <w:rFonts w:cs="Times New Roman"/>
                      <w:color w:val="auto"/>
                      <w:szCs w:val="21"/>
                    </w:rPr>
                  </w:pPr>
                  <w:r>
                    <w:rPr>
                      <w:rFonts w:cs="Times New Roman"/>
                      <w:color w:val="auto"/>
                      <w:szCs w:val="21"/>
                    </w:rPr>
                    <w:t>污染物项目</w:t>
                  </w:r>
                </w:p>
              </w:tc>
              <w:tc>
                <w:tcPr>
                  <w:tcW w:w="1182" w:type="dxa"/>
                  <w:shd w:val="clear" w:color="auto" w:fill="auto"/>
                  <w:vAlign w:val="center"/>
                </w:tcPr>
                <w:p w14:paraId="2915FE85">
                  <w:pPr>
                    <w:pStyle w:val="43"/>
                    <w:rPr>
                      <w:rFonts w:cs="Times New Roman"/>
                      <w:color w:val="auto"/>
                      <w:szCs w:val="21"/>
                    </w:rPr>
                  </w:pPr>
                  <w:r>
                    <w:rPr>
                      <w:rFonts w:cs="Times New Roman"/>
                      <w:color w:val="auto"/>
                      <w:szCs w:val="21"/>
                    </w:rPr>
                    <w:t>排放限值</w:t>
                  </w:r>
                </w:p>
              </w:tc>
              <w:tc>
                <w:tcPr>
                  <w:tcW w:w="1693" w:type="dxa"/>
                  <w:shd w:val="clear" w:color="auto" w:fill="7E7E7E"/>
                  <w:vAlign w:val="center"/>
                </w:tcPr>
                <w:p w14:paraId="74875248">
                  <w:pPr>
                    <w:pStyle w:val="43"/>
                    <w:rPr>
                      <w:rFonts w:cs="Times New Roman"/>
                      <w:color w:val="auto"/>
                      <w:szCs w:val="21"/>
                    </w:rPr>
                  </w:pPr>
                  <w:r>
                    <w:rPr>
                      <w:rFonts w:cs="Times New Roman"/>
                      <w:color w:val="auto"/>
                      <w:szCs w:val="21"/>
                    </w:rPr>
                    <w:t>特别排放限值</w:t>
                  </w:r>
                </w:p>
              </w:tc>
              <w:tc>
                <w:tcPr>
                  <w:tcW w:w="2856" w:type="dxa"/>
                  <w:vAlign w:val="center"/>
                </w:tcPr>
                <w:p w14:paraId="47ED503F">
                  <w:pPr>
                    <w:pStyle w:val="43"/>
                    <w:rPr>
                      <w:rFonts w:cs="Times New Roman"/>
                      <w:color w:val="auto"/>
                      <w:szCs w:val="21"/>
                    </w:rPr>
                  </w:pPr>
                  <w:r>
                    <w:rPr>
                      <w:rFonts w:cs="Times New Roman"/>
                      <w:color w:val="auto"/>
                      <w:szCs w:val="21"/>
                    </w:rPr>
                    <w:t>限值含义</w:t>
                  </w:r>
                </w:p>
              </w:tc>
              <w:tc>
                <w:tcPr>
                  <w:tcW w:w="2179" w:type="dxa"/>
                  <w:vAlign w:val="center"/>
                </w:tcPr>
                <w:p w14:paraId="49247BBE">
                  <w:pPr>
                    <w:pStyle w:val="43"/>
                    <w:rPr>
                      <w:rFonts w:cs="Times New Roman"/>
                      <w:color w:val="auto"/>
                      <w:szCs w:val="21"/>
                    </w:rPr>
                  </w:pPr>
                  <w:r>
                    <w:rPr>
                      <w:rFonts w:cs="Times New Roman"/>
                      <w:color w:val="auto"/>
                      <w:szCs w:val="21"/>
                    </w:rPr>
                    <w:t>无组织排放监控位置</w:t>
                  </w:r>
                </w:p>
              </w:tc>
            </w:tr>
            <w:tr w14:paraId="68064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4" w:type="dxa"/>
                  <w:vMerge w:val="restart"/>
                  <w:shd w:val="clear" w:color="auto" w:fill="auto"/>
                  <w:vAlign w:val="center"/>
                </w:tcPr>
                <w:p w14:paraId="213BCF1E">
                  <w:pPr>
                    <w:pStyle w:val="43"/>
                    <w:rPr>
                      <w:rFonts w:cs="Times New Roman"/>
                      <w:color w:val="auto"/>
                      <w:szCs w:val="21"/>
                    </w:rPr>
                  </w:pPr>
                  <w:r>
                    <w:rPr>
                      <w:rFonts w:cs="Times New Roman"/>
                      <w:color w:val="auto"/>
                      <w:szCs w:val="21"/>
                    </w:rPr>
                    <w:t>NMHC</w:t>
                  </w:r>
                </w:p>
              </w:tc>
              <w:tc>
                <w:tcPr>
                  <w:tcW w:w="1182" w:type="dxa"/>
                  <w:shd w:val="clear" w:color="auto" w:fill="auto"/>
                  <w:vAlign w:val="center"/>
                </w:tcPr>
                <w:p w14:paraId="7706EB10">
                  <w:pPr>
                    <w:pStyle w:val="43"/>
                    <w:rPr>
                      <w:rFonts w:cs="Times New Roman"/>
                      <w:color w:val="auto"/>
                      <w:szCs w:val="21"/>
                    </w:rPr>
                  </w:pPr>
                  <w:r>
                    <w:rPr>
                      <w:rFonts w:cs="Times New Roman"/>
                      <w:color w:val="auto"/>
                      <w:szCs w:val="21"/>
                    </w:rPr>
                    <w:t>10</w:t>
                  </w:r>
                </w:p>
              </w:tc>
              <w:tc>
                <w:tcPr>
                  <w:tcW w:w="1693" w:type="dxa"/>
                  <w:shd w:val="clear" w:color="auto" w:fill="7E7E7E"/>
                  <w:vAlign w:val="center"/>
                </w:tcPr>
                <w:p w14:paraId="7A2316D4">
                  <w:pPr>
                    <w:pStyle w:val="43"/>
                    <w:rPr>
                      <w:rFonts w:cs="Times New Roman"/>
                      <w:color w:val="auto"/>
                      <w:szCs w:val="21"/>
                    </w:rPr>
                  </w:pPr>
                  <w:r>
                    <w:rPr>
                      <w:rFonts w:cs="Times New Roman"/>
                      <w:color w:val="auto"/>
                      <w:szCs w:val="21"/>
                    </w:rPr>
                    <w:t>6</w:t>
                  </w:r>
                </w:p>
              </w:tc>
              <w:tc>
                <w:tcPr>
                  <w:tcW w:w="2856" w:type="dxa"/>
                  <w:vAlign w:val="center"/>
                </w:tcPr>
                <w:p w14:paraId="4190D624">
                  <w:pPr>
                    <w:pStyle w:val="43"/>
                    <w:rPr>
                      <w:rFonts w:cs="Times New Roman"/>
                      <w:color w:val="auto"/>
                      <w:szCs w:val="21"/>
                    </w:rPr>
                  </w:pPr>
                  <w:r>
                    <w:rPr>
                      <w:rFonts w:cs="Times New Roman"/>
                      <w:color w:val="auto"/>
                      <w:szCs w:val="21"/>
                    </w:rPr>
                    <w:t>监控点处1 h平均浓度值</w:t>
                  </w:r>
                </w:p>
              </w:tc>
              <w:tc>
                <w:tcPr>
                  <w:tcW w:w="2179" w:type="dxa"/>
                  <w:vMerge w:val="restart"/>
                  <w:vAlign w:val="center"/>
                </w:tcPr>
                <w:p w14:paraId="2C8673C6">
                  <w:pPr>
                    <w:pStyle w:val="43"/>
                    <w:rPr>
                      <w:rFonts w:cs="Times New Roman"/>
                      <w:color w:val="auto"/>
                      <w:szCs w:val="21"/>
                    </w:rPr>
                  </w:pPr>
                  <w:r>
                    <w:rPr>
                      <w:rFonts w:cs="Times New Roman"/>
                      <w:color w:val="auto"/>
                      <w:szCs w:val="21"/>
                    </w:rPr>
                    <w:t>在厂房外设置监控点</w:t>
                  </w:r>
                </w:p>
              </w:tc>
            </w:tr>
            <w:tr w14:paraId="363C6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4" w:type="dxa"/>
                  <w:vMerge w:val="continue"/>
                  <w:shd w:val="clear" w:color="auto" w:fill="auto"/>
                  <w:vAlign w:val="center"/>
                </w:tcPr>
                <w:p w14:paraId="556DEDF3">
                  <w:pPr>
                    <w:pStyle w:val="43"/>
                    <w:rPr>
                      <w:rFonts w:cs="Times New Roman"/>
                      <w:color w:val="auto"/>
                      <w:szCs w:val="21"/>
                    </w:rPr>
                  </w:pPr>
                </w:p>
              </w:tc>
              <w:tc>
                <w:tcPr>
                  <w:tcW w:w="1182" w:type="dxa"/>
                  <w:shd w:val="clear" w:color="auto" w:fill="auto"/>
                  <w:vAlign w:val="center"/>
                </w:tcPr>
                <w:p w14:paraId="22E73C90">
                  <w:pPr>
                    <w:pStyle w:val="43"/>
                    <w:rPr>
                      <w:rFonts w:cs="Times New Roman"/>
                      <w:color w:val="auto"/>
                      <w:szCs w:val="21"/>
                    </w:rPr>
                  </w:pPr>
                  <w:r>
                    <w:rPr>
                      <w:rFonts w:cs="Times New Roman"/>
                      <w:color w:val="auto"/>
                      <w:szCs w:val="21"/>
                    </w:rPr>
                    <w:t>30</w:t>
                  </w:r>
                </w:p>
              </w:tc>
              <w:tc>
                <w:tcPr>
                  <w:tcW w:w="1693" w:type="dxa"/>
                  <w:shd w:val="clear" w:color="auto" w:fill="7E7E7E"/>
                  <w:vAlign w:val="center"/>
                </w:tcPr>
                <w:p w14:paraId="1352CB9A">
                  <w:pPr>
                    <w:pStyle w:val="43"/>
                    <w:rPr>
                      <w:rFonts w:cs="Times New Roman"/>
                      <w:color w:val="auto"/>
                      <w:szCs w:val="21"/>
                    </w:rPr>
                  </w:pPr>
                  <w:r>
                    <w:rPr>
                      <w:rFonts w:cs="Times New Roman"/>
                      <w:color w:val="auto"/>
                      <w:szCs w:val="21"/>
                    </w:rPr>
                    <w:t>20</w:t>
                  </w:r>
                </w:p>
              </w:tc>
              <w:tc>
                <w:tcPr>
                  <w:tcW w:w="2856" w:type="dxa"/>
                  <w:vAlign w:val="center"/>
                </w:tcPr>
                <w:p w14:paraId="17A52356">
                  <w:pPr>
                    <w:pStyle w:val="43"/>
                    <w:rPr>
                      <w:rFonts w:cs="Times New Roman"/>
                      <w:color w:val="auto"/>
                      <w:szCs w:val="21"/>
                    </w:rPr>
                  </w:pPr>
                  <w:r>
                    <w:rPr>
                      <w:rFonts w:cs="Times New Roman"/>
                      <w:color w:val="auto"/>
                      <w:szCs w:val="21"/>
                    </w:rPr>
                    <w:t>监控点处任意一次浓度值</w:t>
                  </w:r>
                </w:p>
              </w:tc>
              <w:tc>
                <w:tcPr>
                  <w:tcW w:w="2179" w:type="dxa"/>
                  <w:vMerge w:val="continue"/>
                  <w:vAlign w:val="center"/>
                </w:tcPr>
                <w:p w14:paraId="04462187">
                  <w:pPr>
                    <w:pStyle w:val="43"/>
                    <w:rPr>
                      <w:rFonts w:cs="Times New Roman"/>
                      <w:color w:val="auto"/>
                      <w:szCs w:val="21"/>
                    </w:rPr>
                  </w:pPr>
                </w:p>
              </w:tc>
            </w:tr>
          </w:tbl>
          <w:p w14:paraId="11CAC172">
            <w:pPr>
              <w:spacing w:line="360" w:lineRule="auto"/>
              <w:ind w:firstLine="482" w:firstLineChars="200"/>
              <w:rPr>
                <w:rFonts w:ascii="Times New Roman" w:hAnsi="Times New Roman" w:eastAsia="宋体" w:cs="Times New Roman"/>
                <w:b/>
                <w:bCs/>
                <w:color w:val="auto"/>
                <w:sz w:val="24"/>
              </w:rPr>
            </w:pPr>
            <w:r>
              <w:rPr>
                <w:rFonts w:ascii="Times New Roman" w:hAnsi="Times New Roman" w:eastAsia="宋体" w:cs="Times New Roman"/>
                <w:b/>
                <w:bCs/>
                <w:color w:val="auto"/>
                <w:sz w:val="24"/>
              </w:rPr>
              <w:t>3、噪声排放标准</w:t>
            </w:r>
          </w:p>
          <w:p w14:paraId="2C3EF55B">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项目施工期噪声执行《建筑施工场界环境噪声排放标准》（GB12523-2011）中标准限值要求，相关标准限值见表3.</w:t>
            </w:r>
            <w:r>
              <w:rPr>
                <w:rFonts w:hint="eastAsia" w:ascii="Times New Roman" w:hAnsi="Times New Roman" w:eastAsia="宋体" w:cs="Times New Roman"/>
                <w:color w:val="auto"/>
                <w:sz w:val="24"/>
                <w:lang w:val="en-US" w:eastAsia="zh-CN"/>
              </w:rPr>
              <w:t>5</w:t>
            </w:r>
            <w:r>
              <w:rPr>
                <w:rFonts w:ascii="Times New Roman" w:hAnsi="Times New Roman" w:eastAsia="宋体" w:cs="Times New Roman"/>
                <w:color w:val="auto"/>
                <w:sz w:val="24"/>
              </w:rPr>
              <w:t>；运营期东、西、南、北侧厂界噪声执行《工业企业厂界环境噪声排放标准》（GB12348-2008）中</w:t>
            </w:r>
            <w:r>
              <w:rPr>
                <w:rFonts w:hint="eastAsia" w:ascii="Times New Roman" w:hAnsi="Times New Roman" w:eastAsia="宋体" w:cs="Times New Roman"/>
                <w:color w:val="auto"/>
                <w:sz w:val="24"/>
                <w:lang w:val="en-US" w:eastAsia="zh-CN"/>
              </w:rPr>
              <w:t>3类标准</w:t>
            </w:r>
            <w:r>
              <w:rPr>
                <w:rFonts w:ascii="Times New Roman" w:hAnsi="Times New Roman" w:eastAsia="宋体" w:cs="Times New Roman"/>
                <w:color w:val="auto"/>
                <w:sz w:val="24"/>
              </w:rPr>
              <w:t>相关标准限值见表3.</w:t>
            </w:r>
            <w:r>
              <w:rPr>
                <w:rFonts w:hint="eastAsia" w:ascii="Times New Roman" w:hAnsi="Times New Roman" w:eastAsia="宋体" w:cs="Times New Roman"/>
                <w:color w:val="auto"/>
                <w:sz w:val="24"/>
              </w:rPr>
              <w:t>1</w:t>
            </w:r>
            <w:r>
              <w:rPr>
                <w:rFonts w:hint="eastAsia" w:ascii="Times New Roman" w:hAnsi="Times New Roman" w:eastAsia="宋体" w:cs="Times New Roman"/>
                <w:color w:val="auto"/>
                <w:sz w:val="24"/>
                <w:lang w:val="en-US" w:eastAsia="zh-CN"/>
              </w:rPr>
              <w:t>6</w:t>
            </w:r>
            <w:r>
              <w:rPr>
                <w:rFonts w:ascii="Times New Roman" w:hAnsi="Times New Roman" w:eastAsia="宋体" w:cs="Times New Roman"/>
                <w:color w:val="auto"/>
                <w:sz w:val="24"/>
              </w:rPr>
              <w:t>。</w:t>
            </w:r>
          </w:p>
          <w:p w14:paraId="3526DBE3">
            <w:pPr>
              <w:ind w:left="94" w:leftChars="45" w:firstLine="482" w:firstLineChars="20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表3.</w:t>
            </w:r>
            <w:r>
              <w:rPr>
                <w:rFonts w:hint="eastAsia" w:ascii="Times New Roman" w:hAnsi="Times New Roman" w:eastAsia="宋体" w:cs="Times New Roman"/>
                <w:b/>
                <w:bCs/>
                <w:color w:val="auto"/>
                <w:sz w:val="24"/>
                <w:lang w:val="en-US" w:eastAsia="zh-CN"/>
              </w:rPr>
              <w:t>5</w:t>
            </w:r>
            <w:r>
              <w:rPr>
                <w:rFonts w:ascii="Times New Roman" w:hAnsi="Times New Roman" w:eastAsia="宋体" w:cs="Times New Roman"/>
                <w:b/>
                <w:bCs/>
                <w:color w:val="auto"/>
                <w:sz w:val="24"/>
              </w:rPr>
              <w:t xml:space="preserve">  建筑施工场界噪声排放限值  单位：dB（A）</w:t>
            </w:r>
          </w:p>
          <w:tbl>
            <w:tblPr>
              <w:tblStyle w:val="2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6"/>
              <w:gridCol w:w="4678"/>
            </w:tblGrid>
            <w:tr w14:paraId="70639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94" w:type="dxa"/>
                  <w:vAlign w:val="center"/>
                </w:tcPr>
                <w:p w14:paraId="0150383B">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c>
                <w:tcPr>
                  <w:tcW w:w="4395" w:type="dxa"/>
                  <w:vAlign w:val="center"/>
                </w:tcPr>
                <w:p w14:paraId="1FABADFB">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夜间</w:t>
                  </w:r>
                </w:p>
              </w:tc>
            </w:tr>
            <w:tr w14:paraId="1311F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94" w:type="dxa"/>
                  <w:vAlign w:val="center"/>
                </w:tcPr>
                <w:p w14:paraId="6687109F">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70</w:t>
                  </w:r>
                </w:p>
              </w:tc>
              <w:tc>
                <w:tcPr>
                  <w:tcW w:w="4395" w:type="dxa"/>
                  <w:vAlign w:val="center"/>
                </w:tcPr>
                <w:p w14:paraId="49E0B748">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r>
          </w:tbl>
          <w:p w14:paraId="2D13215B">
            <w:pPr>
              <w:ind w:left="94" w:leftChars="45" w:firstLine="482" w:firstLineChars="200"/>
              <w:jc w:val="center"/>
              <w:rPr>
                <w:rFonts w:ascii="Times New Roman" w:hAnsi="Times New Roman" w:eastAsia="宋体" w:cs="Times New Roman"/>
                <w:color w:val="auto"/>
                <w:sz w:val="24"/>
              </w:rPr>
            </w:pPr>
            <w:r>
              <w:rPr>
                <w:rFonts w:ascii="Times New Roman" w:hAnsi="Times New Roman" w:eastAsia="宋体" w:cs="Times New Roman"/>
                <w:b/>
                <w:bCs/>
                <w:color w:val="auto"/>
                <w:sz w:val="24"/>
              </w:rPr>
              <w:t>表3.</w:t>
            </w:r>
            <w:r>
              <w:rPr>
                <w:rFonts w:hint="eastAsia" w:ascii="Times New Roman" w:hAnsi="Times New Roman" w:eastAsia="宋体" w:cs="Times New Roman"/>
                <w:b/>
                <w:bCs/>
                <w:color w:val="auto"/>
                <w:sz w:val="24"/>
              </w:rPr>
              <w:t>1</w:t>
            </w:r>
            <w:r>
              <w:rPr>
                <w:rFonts w:hint="eastAsia" w:ascii="Times New Roman" w:hAnsi="Times New Roman" w:eastAsia="宋体" w:cs="Times New Roman"/>
                <w:b/>
                <w:bCs/>
                <w:color w:val="auto"/>
                <w:sz w:val="24"/>
                <w:lang w:val="en-US" w:eastAsia="zh-CN"/>
              </w:rPr>
              <w:t>6</w:t>
            </w:r>
            <w:r>
              <w:rPr>
                <w:rFonts w:ascii="Times New Roman" w:hAnsi="Times New Roman" w:eastAsia="宋体" w:cs="Times New Roman"/>
                <w:b/>
                <w:bCs/>
                <w:color w:val="auto"/>
                <w:sz w:val="24"/>
              </w:rPr>
              <w:t xml:space="preserve">  工业企业厂界环境噪声排放限值  单位：dB（A）</w:t>
            </w:r>
          </w:p>
          <w:tbl>
            <w:tblPr>
              <w:tblStyle w:val="28"/>
              <w:tblW w:w="9354"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262"/>
              <w:gridCol w:w="2792"/>
              <w:gridCol w:w="2300"/>
            </w:tblGrid>
            <w:tr w14:paraId="5A8A614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7" w:hRule="exact"/>
                <w:jc w:val="center"/>
              </w:trPr>
              <w:tc>
                <w:tcPr>
                  <w:tcW w:w="4262" w:type="dxa"/>
                  <w:tcBorders>
                    <w:top w:val="single" w:color="auto" w:sz="8" w:space="0"/>
                    <w:left w:val="single" w:color="auto" w:sz="8" w:space="0"/>
                    <w:bottom w:val="single" w:color="auto" w:sz="8" w:space="0"/>
                  </w:tcBorders>
                  <w:vAlign w:val="center"/>
                </w:tcPr>
                <w:p w14:paraId="53A895B2">
                  <w:pPr>
                    <w:autoSpaceDE w:val="0"/>
                    <w:autoSpaceDN w:val="0"/>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声环境功能区类别</w:t>
                  </w:r>
                </w:p>
              </w:tc>
              <w:tc>
                <w:tcPr>
                  <w:tcW w:w="2792" w:type="dxa"/>
                  <w:tcBorders>
                    <w:top w:val="single" w:color="auto" w:sz="8" w:space="0"/>
                    <w:bottom w:val="single" w:color="auto" w:sz="8" w:space="0"/>
                  </w:tcBorders>
                  <w:vAlign w:val="center"/>
                </w:tcPr>
                <w:p w14:paraId="680386CD">
                  <w:pPr>
                    <w:autoSpaceDE w:val="0"/>
                    <w:autoSpaceDN w:val="0"/>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昼间</w:t>
                  </w:r>
                </w:p>
              </w:tc>
              <w:tc>
                <w:tcPr>
                  <w:tcW w:w="2300" w:type="dxa"/>
                  <w:tcBorders>
                    <w:top w:val="single" w:color="auto" w:sz="8" w:space="0"/>
                    <w:bottom w:val="single" w:color="auto" w:sz="8" w:space="0"/>
                    <w:right w:val="single" w:color="auto" w:sz="8" w:space="0"/>
                  </w:tcBorders>
                  <w:vAlign w:val="center"/>
                </w:tcPr>
                <w:p w14:paraId="05921F5B">
                  <w:pPr>
                    <w:autoSpaceDE w:val="0"/>
                    <w:autoSpaceDN w:val="0"/>
                    <w:adjustRightInd w:val="0"/>
                    <w:jc w:val="center"/>
                    <w:rPr>
                      <w:rFonts w:ascii="Times New Roman" w:hAnsi="Times New Roman" w:eastAsia="宋体" w:cs="Times New Roman"/>
                      <w:color w:val="auto"/>
                      <w:szCs w:val="21"/>
                      <w:lang w:val="zh-CN"/>
                    </w:rPr>
                  </w:pPr>
                  <w:r>
                    <w:rPr>
                      <w:rFonts w:ascii="Times New Roman" w:hAnsi="Times New Roman" w:eastAsia="宋体" w:cs="Times New Roman"/>
                      <w:color w:val="auto"/>
                      <w:szCs w:val="21"/>
                      <w:lang w:val="zh-CN"/>
                    </w:rPr>
                    <w:t>夜间</w:t>
                  </w:r>
                </w:p>
              </w:tc>
            </w:tr>
            <w:tr w14:paraId="0F046F4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98" w:hRule="exact"/>
                <w:jc w:val="center"/>
              </w:trPr>
              <w:tc>
                <w:tcPr>
                  <w:tcW w:w="4262" w:type="dxa"/>
                  <w:tcBorders>
                    <w:top w:val="single" w:color="auto" w:sz="8" w:space="0"/>
                    <w:left w:val="single" w:color="auto" w:sz="8" w:space="0"/>
                    <w:bottom w:val="single" w:color="auto" w:sz="8" w:space="0"/>
                  </w:tcBorders>
                  <w:shd w:val="clear" w:color="auto" w:fill="auto"/>
                  <w:vAlign w:val="center"/>
                </w:tcPr>
                <w:p w14:paraId="4BD1B95E">
                  <w:pPr>
                    <w:autoSpaceDE w:val="0"/>
                    <w:autoSpaceDN w:val="0"/>
                    <w:adjustRightInd w:val="0"/>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szCs w:val="21"/>
                    </w:rPr>
                    <w:t>3</w:t>
                  </w:r>
                  <w:r>
                    <w:rPr>
                      <w:rFonts w:ascii="Times New Roman" w:hAnsi="Times New Roman" w:eastAsia="宋体" w:cs="Times New Roman"/>
                      <w:color w:val="auto"/>
                      <w:szCs w:val="21"/>
                      <w:lang w:val="zh-CN"/>
                    </w:rPr>
                    <w:t>类</w:t>
                  </w:r>
                </w:p>
              </w:tc>
              <w:tc>
                <w:tcPr>
                  <w:tcW w:w="2792" w:type="dxa"/>
                  <w:tcBorders>
                    <w:top w:val="single" w:color="auto" w:sz="8" w:space="0"/>
                    <w:bottom w:val="single" w:color="auto" w:sz="8" w:space="0"/>
                  </w:tcBorders>
                  <w:shd w:val="clear" w:color="auto" w:fill="auto"/>
                  <w:vAlign w:val="center"/>
                </w:tcPr>
                <w:p w14:paraId="235A431B">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szCs w:val="21"/>
                      <w:lang w:val="zh-CN"/>
                    </w:rPr>
                    <w:t>6</w:t>
                  </w:r>
                  <w:r>
                    <w:rPr>
                      <w:rFonts w:ascii="Times New Roman" w:hAnsi="Times New Roman" w:eastAsia="宋体" w:cs="Times New Roman"/>
                      <w:color w:val="auto"/>
                      <w:szCs w:val="21"/>
                    </w:rPr>
                    <w:t>5</w:t>
                  </w:r>
                </w:p>
              </w:tc>
              <w:tc>
                <w:tcPr>
                  <w:tcW w:w="2300" w:type="dxa"/>
                  <w:tcBorders>
                    <w:top w:val="single" w:color="auto" w:sz="8" w:space="0"/>
                    <w:bottom w:val="single" w:color="auto" w:sz="8" w:space="0"/>
                    <w:right w:val="single" w:color="auto" w:sz="8" w:space="0"/>
                  </w:tcBorders>
                  <w:shd w:val="clear" w:color="auto" w:fill="auto"/>
                  <w:vAlign w:val="center"/>
                </w:tcPr>
                <w:p w14:paraId="08338418">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szCs w:val="21"/>
                      <w:lang w:val="zh-CN"/>
                    </w:rPr>
                    <w:t>5</w:t>
                  </w:r>
                  <w:r>
                    <w:rPr>
                      <w:rFonts w:ascii="Times New Roman" w:hAnsi="Times New Roman" w:eastAsia="宋体" w:cs="Times New Roman"/>
                      <w:color w:val="auto"/>
                      <w:szCs w:val="21"/>
                    </w:rPr>
                    <w:t>5</w:t>
                  </w:r>
                </w:p>
              </w:tc>
            </w:tr>
          </w:tbl>
          <w:p w14:paraId="0D739F41">
            <w:pPr>
              <w:spacing w:line="360" w:lineRule="auto"/>
              <w:rPr>
                <w:rFonts w:ascii="Times New Roman" w:hAnsi="Times New Roman" w:eastAsia="宋体" w:cs="Times New Roman"/>
                <w:color w:val="auto"/>
                <w:sz w:val="24"/>
              </w:rPr>
            </w:pPr>
            <w:r>
              <w:rPr>
                <w:rFonts w:ascii="Times New Roman" w:hAnsi="Times New Roman" w:eastAsia="宋体" w:cs="Times New Roman"/>
                <w:color w:val="auto"/>
                <w:sz w:val="24"/>
              </w:rPr>
              <w:t xml:space="preserve">    </w:t>
            </w:r>
            <w:r>
              <w:rPr>
                <w:rFonts w:ascii="Times New Roman" w:hAnsi="Times New Roman" w:eastAsia="宋体" w:cs="Times New Roman"/>
                <w:b/>
                <w:bCs/>
                <w:color w:val="auto"/>
                <w:sz w:val="24"/>
              </w:rPr>
              <w:t>4、固废控制标准</w:t>
            </w:r>
          </w:p>
          <w:p w14:paraId="42226D98">
            <w:pPr>
              <w:spacing w:line="360" w:lineRule="auto"/>
              <w:ind w:firstLine="480" w:firstLineChars="200"/>
              <w:rPr>
                <w:rFonts w:hint="default" w:ascii="Times New Roman" w:hAnsi="Times New Roman" w:cs="Times New Roman"/>
                <w:color w:val="auto"/>
                <w:sz w:val="24"/>
                <w:szCs w:val="24"/>
              </w:rPr>
            </w:pPr>
            <w:r>
              <w:rPr>
                <w:rFonts w:ascii="Times New Roman" w:hAnsi="Times New Roman" w:eastAsia="宋体" w:cs="Times New Roman"/>
                <w:color w:val="auto"/>
                <w:sz w:val="24"/>
              </w:rPr>
              <w:t>一般工业固体废物</w:t>
            </w:r>
            <w:r>
              <w:rPr>
                <w:rFonts w:ascii="Times New Roman" w:hAnsi="Times New Roman" w:eastAsia="宋体" w:cs="Times New Roman"/>
                <w:b/>
                <w:bCs/>
                <w:color w:val="auto"/>
                <w:sz w:val="24"/>
              </w:rPr>
              <w:t>参照</w:t>
            </w:r>
            <w:r>
              <w:rPr>
                <w:rFonts w:ascii="Times New Roman" w:hAnsi="Times New Roman" w:eastAsia="宋体" w:cs="Times New Roman"/>
                <w:color w:val="auto"/>
                <w:sz w:val="24"/>
              </w:rPr>
              <w:t>执行《一般工业固体废物贮存和填埋污染控制标准》（GB18599-2020）；</w:t>
            </w:r>
            <w:r>
              <w:rPr>
                <w:rFonts w:hint="default" w:ascii="Times New Roman" w:hAnsi="Times New Roman" w:cs="Times New Roman"/>
                <w:color w:val="auto"/>
                <w:sz w:val="24"/>
                <w:szCs w:val="24"/>
              </w:rPr>
              <w:t>危险废物按《危险废物贮存污染控制标准》（GB18597-20</w:t>
            </w:r>
            <w:r>
              <w:rPr>
                <w:rFonts w:hint="eastAsia" w:ascii="Times New Roman" w:hAnsi="Times New Roman" w:cs="Times New Roman"/>
                <w:color w:val="auto"/>
                <w:sz w:val="24"/>
                <w:szCs w:val="24"/>
                <w:lang w:val="en-US" w:eastAsia="zh-CN"/>
              </w:rPr>
              <w:t>23</w:t>
            </w:r>
            <w:r>
              <w:rPr>
                <w:rFonts w:hint="default" w:ascii="Times New Roman" w:hAnsi="Times New Roman" w:cs="Times New Roman"/>
                <w:color w:val="auto"/>
                <w:sz w:val="24"/>
                <w:szCs w:val="24"/>
              </w:rPr>
              <w:t>）要求执行。</w:t>
            </w:r>
          </w:p>
          <w:p w14:paraId="3B344E25">
            <w:pPr>
              <w:rPr>
                <w:color w:val="auto"/>
              </w:rPr>
            </w:pPr>
          </w:p>
        </w:tc>
      </w:tr>
      <w:tr w14:paraId="45DA6B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29" w:hRule="atLeast"/>
          <w:jc w:val="center"/>
        </w:trPr>
        <w:tc>
          <w:tcPr>
            <w:tcW w:w="717" w:type="dxa"/>
            <w:vAlign w:val="center"/>
          </w:tcPr>
          <w:p w14:paraId="48683288">
            <w:pPr>
              <w:jc w:val="center"/>
              <w:rPr>
                <w:color w:val="auto"/>
                <w:szCs w:val="21"/>
              </w:rPr>
            </w:pPr>
            <w:r>
              <w:rPr>
                <w:rFonts w:hint="eastAsia"/>
                <w:color w:val="auto"/>
                <w:szCs w:val="21"/>
              </w:rPr>
              <w:t>总量控制指标</w:t>
            </w:r>
          </w:p>
        </w:tc>
        <w:tc>
          <w:tcPr>
            <w:tcW w:w="8637" w:type="dxa"/>
            <w:vAlign w:val="center"/>
          </w:tcPr>
          <w:p w14:paraId="493C4F52">
            <w:pPr>
              <w:spacing w:line="360" w:lineRule="auto"/>
              <w:ind w:firstLine="360" w:firstLineChars="150"/>
              <w:rPr>
                <w:rFonts w:ascii="Times New Roman" w:hAnsi="Times New Roman" w:cs="Times New Roman"/>
                <w:color w:val="auto"/>
                <w:sz w:val="24"/>
              </w:rPr>
            </w:pPr>
            <w:r>
              <w:rPr>
                <w:rFonts w:ascii="Times New Roman" w:hAnsi="Times New Roman" w:cs="Times New Roman"/>
                <w:color w:val="auto"/>
                <w:sz w:val="24"/>
              </w:rPr>
              <w:t>（1）废气</w:t>
            </w:r>
          </w:p>
          <w:p w14:paraId="746C52EC">
            <w:pPr>
              <w:autoSpaceDE w:val="0"/>
              <w:autoSpaceDN w:val="0"/>
              <w:adjustRightInd w:val="0"/>
              <w:spacing w:line="360" w:lineRule="auto"/>
              <w:ind w:firstLine="480" w:firstLineChars="200"/>
              <w:rPr>
                <w:rFonts w:ascii="宋体" w:hAnsi="宋体" w:eastAsia="宋体" w:cs="宋体"/>
                <w:color w:val="auto"/>
                <w:sz w:val="24"/>
              </w:rPr>
            </w:pPr>
            <w:r>
              <w:rPr>
                <w:rFonts w:ascii="Times New Roman" w:hAnsi="Times New Roman" w:cs="Times New Roman"/>
                <w:color w:val="auto"/>
                <w:sz w:val="24"/>
              </w:rPr>
              <w:t>《关于&lt;进一步加强建设项目新增大气主要污染物总量指标管理工作&gt;的通知》（皖环发【2017】19号，安徽省环境保护厅，2017年03月28日）：</w:t>
            </w:r>
            <w:r>
              <w:rPr>
                <w:rFonts w:hint="eastAsia" w:ascii="宋体" w:hAnsi="宋体" w:eastAsia="宋体" w:cs="宋体"/>
                <w:color w:val="auto"/>
                <w:sz w:val="24"/>
              </w:rPr>
              <w:t>“为进一步加强大气主要污染物源头管控，有效落实《大气污染防治行动计划》、《建设项目主要污染物排放总量指标审核及管理暂行办法》等，确保大气环境质量改善目标任务顺利完成，现就加强建设项目新增大气主要污染物总量指标管理工作通知如下：</w:t>
            </w:r>
          </w:p>
          <w:p w14:paraId="25859E21">
            <w:pPr>
              <w:autoSpaceDE w:val="0"/>
              <w:autoSpaceDN w:val="0"/>
              <w:adjustRightInd w:val="0"/>
              <w:spacing w:line="360" w:lineRule="auto"/>
              <w:ind w:firstLine="480" w:firstLineChars="200"/>
              <w:rPr>
                <w:rFonts w:ascii="宋体" w:hAnsi="宋体" w:eastAsia="宋体" w:cs="宋体"/>
                <w:color w:val="auto"/>
                <w:sz w:val="24"/>
              </w:rPr>
            </w:pPr>
            <w:r>
              <w:rPr>
                <w:rFonts w:ascii="Times New Roman" w:hAnsi="Times New Roman" w:cs="Times New Roman"/>
                <w:color w:val="auto"/>
                <w:sz w:val="24"/>
              </w:rPr>
              <w:t>自2017年04月起，新增大气主要污染物排放的建设项目环境影响评价文件审批前必须取得的总量指标从两项增加为四项。增加烟（粉）尘、挥发性有机物（VOCs）两项</w:t>
            </w:r>
            <w:r>
              <w:rPr>
                <w:rFonts w:hint="eastAsia" w:ascii="宋体" w:hAnsi="宋体" w:eastAsia="宋体" w:cs="宋体"/>
                <w:color w:val="auto"/>
                <w:sz w:val="24"/>
              </w:rPr>
              <w:t>指标。”</w:t>
            </w:r>
          </w:p>
          <w:p w14:paraId="36D0A50B">
            <w:pPr>
              <w:pStyle w:val="34"/>
              <w:spacing w:line="360" w:lineRule="auto"/>
              <w:ind w:firstLine="480" w:firstLineChars="200"/>
              <w:rPr>
                <w:color w:val="auto"/>
              </w:rPr>
            </w:pPr>
            <w:r>
              <w:rPr>
                <w:rFonts w:ascii="Times New Roman" w:hAnsi="Times New Roman" w:cs="Times New Roman"/>
                <w:color w:val="auto"/>
                <w:sz w:val="24"/>
              </w:rPr>
              <w:t>烟（粉）尘</w:t>
            </w:r>
            <w:r>
              <w:rPr>
                <w:rFonts w:hint="eastAsia" w:ascii="Times New Roman" w:hAnsi="Times New Roman" w:cs="Times New Roman"/>
                <w:color w:val="auto"/>
                <w:sz w:val="24"/>
                <w:lang w:eastAsia="zh-CN"/>
              </w:rPr>
              <w:t>：</w:t>
            </w:r>
            <w:r>
              <w:rPr>
                <w:rFonts w:hint="eastAsia" w:cs="Times New Roman"/>
                <w:color w:val="auto"/>
                <w:sz w:val="24"/>
                <w:lang w:val="en-US" w:eastAsia="zh-CN"/>
              </w:rPr>
              <w:t>0.0012825</w:t>
            </w:r>
            <w:r>
              <w:rPr>
                <w:rFonts w:hint="eastAsia" w:ascii="Times New Roman" w:hAnsi="Times New Roman" w:cs="Times New Roman"/>
                <w:color w:val="auto"/>
                <w:sz w:val="24"/>
                <w:lang w:val="en-US" w:eastAsia="zh-CN"/>
              </w:rPr>
              <w:t>t/a，</w:t>
            </w:r>
            <w:r>
              <w:rPr>
                <w:rFonts w:ascii="Times New Roman" w:hAnsi="Times New Roman" w:cs="Times New Roman"/>
                <w:color w:val="auto"/>
                <w:sz w:val="24"/>
              </w:rPr>
              <w:t>挥发性有机物（VOCs）</w:t>
            </w:r>
            <w:r>
              <w:rPr>
                <w:rFonts w:hint="eastAsia" w:ascii="Times New Roman" w:hAnsi="Times New Roman" w:cs="Times New Roman"/>
                <w:color w:val="auto"/>
                <w:sz w:val="24"/>
                <w:lang w:eastAsia="zh-CN"/>
              </w:rPr>
              <w:t>：</w:t>
            </w:r>
            <w:r>
              <w:rPr>
                <w:rFonts w:hint="eastAsia" w:cs="Times New Roman"/>
                <w:color w:val="auto"/>
                <w:sz w:val="24"/>
                <w:lang w:val="en-US" w:eastAsia="zh-CN"/>
              </w:rPr>
              <w:t>0.00096615t</w:t>
            </w:r>
            <w:r>
              <w:rPr>
                <w:rFonts w:hint="eastAsia" w:ascii="Times New Roman" w:hAnsi="Times New Roman" w:cs="Times New Roman"/>
                <w:color w:val="auto"/>
                <w:sz w:val="24"/>
                <w:lang w:val="en-US" w:eastAsia="zh-CN"/>
              </w:rPr>
              <w:t>/a。</w:t>
            </w:r>
          </w:p>
          <w:p w14:paraId="7336AF83">
            <w:pPr>
              <w:pStyle w:val="34"/>
              <w:spacing w:line="360" w:lineRule="auto"/>
              <w:ind w:firstLine="480" w:firstLineChars="200"/>
              <w:rPr>
                <w:color w:val="auto"/>
              </w:rPr>
            </w:pPr>
            <w:r>
              <w:rPr>
                <w:color w:val="auto"/>
              </w:rPr>
              <w:t>（2）废水</w:t>
            </w:r>
          </w:p>
          <w:p w14:paraId="6C0167FB">
            <w:pPr>
              <w:pStyle w:val="34"/>
              <w:spacing w:line="360" w:lineRule="auto"/>
              <w:ind w:firstLine="480" w:firstLineChars="200"/>
              <w:rPr>
                <w:color w:val="auto"/>
              </w:rPr>
            </w:pPr>
            <w:r>
              <w:rPr>
                <w:color w:val="auto"/>
              </w:rPr>
              <w:t>本项目总量控制因子为</w:t>
            </w:r>
            <w:r>
              <w:rPr>
                <w:rFonts w:hint="eastAsia"/>
                <w:color w:val="auto"/>
                <w:lang w:val="en-US" w:eastAsia="zh-CN"/>
              </w:rPr>
              <w:t>TP、</w:t>
            </w:r>
            <w:r>
              <w:rPr>
                <w:color w:val="auto"/>
              </w:rPr>
              <w:t>COD及NH</w:t>
            </w:r>
            <w:r>
              <w:rPr>
                <w:color w:val="auto"/>
                <w:vertAlign w:val="subscript"/>
              </w:rPr>
              <w:t>3</w:t>
            </w:r>
            <w:r>
              <w:rPr>
                <w:color w:val="auto"/>
              </w:rPr>
              <w:t>-N。项目污染物的总量控制目标值，是经处理达标后排放的污染物总量。由于本项目</w:t>
            </w:r>
            <w:r>
              <w:rPr>
                <w:rFonts w:hint="eastAsia"/>
                <w:color w:val="auto"/>
              </w:rPr>
              <w:t>废水</w:t>
            </w:r>
            <w:r>
              <w:rPr>
                <w:color w:val="auto"/>
              </w:rPr>
              <w:t>经</w:t>
            </w:r>
            <w:r>
              <w:rPr>
                <w:rFonts w:hint="eastAsia"/>
                <w:color w:val="auto"/>
              </w:rPr>
              <w:t>污水处理设施</w:t>
            </w:r>
            <w:r>
              <w:rPr>
                <w:color w:val="auto"/>
              </w:rPr>
              <w:t>预处理接管至</w:t>
            </w:r>
            <w:r>
              <w:rPr>
                <w:rFonts w:hint="eastAsia"/>
                <w:color w:val="auto"/>
                <w:lang w:eastAsia="zh-CN"/>
              </w:rPr>
              <w:t>基地污水处理厂</w:t>
            </w:r>
            <w:r>
              <w:rPr>
                <w:rFonts w:hint="eastAsia"/>
                <w:color w:val="auto"/>
                <w:lang w:val="en-US" w:eastAsia="zh-CN"/>
              </w:rPr>
              <w:t>或回用</w:t>
            </w:r>
            <w:r>
              <w:rPr>
                <w:color w:val="auto"/>
              </w:rPr>
              <w:t>。因此，本项目COD、NH</w:t>
            </w:r>
            <w:r>
              <w:rPr>
                <w:color w:val="auto"/>
                <w:vertAlign w:val="subscript"/>
              </w:rPr>
              <w:t>3</w:t>
            </w:r>
            <w:r>
              <w:rPr>
                <w:color w:val="auto"/>
              </w:rPr>
              <w:t>-N总量控制指标统一纳入</w:t>
            </w:r>
            <w:r>
              <w:rPr>
                <w:rFonts w:hint="eastAsia"/>
                <w:color w:val="auto"/>
                <w:lang w:eastAsia="zh-CN"/>
              </w:rPr>
              <w:t>基地污水处理厂</w:t>
            </w:r>
            <w:r>
              <w:rPr>
                <w:color w:val="auto"/>
              </w:rPr>
              <w:t>总量，无需另行申请总量指标。</w:t>
            </w:r>
          </w:p>
          <w:p w14:paraId="5EA16AD9">
            <w:pPr>
              <w:pStyle w:val="40"/>
              <w:ind w:firstLine="0" w:firstLineChars="0"/>
              <w:rPr>
                <w:color w:val="auto"/>
              </w:rPr>
            </w:pPr>
          </w:p>
          <w:p w14:paraId="6DEF027B">
            <w:pPr>
              <w:pStyle w:val="40"/>
              <w:ind w:firstLine="0" w:firstLineChars="0"/>
              <w:rPr>
                <w:color w:val="auto"/>
              </w:rPr>
            </w:pPr>
          </w:p>
          <w:p w14:paraId="5A23DFD3">
            <w:pPr>
              <w:pStyle w:val="40"/>
              <w:ind w:firstLine="0" w:firstLineChars="0"/>
              <w:rPr>
                <w:color w:val="auto"/>
              </w:rPr>
            </w:pPr>
          </w:p>
          <w:p w14:paraId="0D4D470E">
            <w:pPr>
              <w:pStyle w:val="40"/>
              <w:ind w:firstLine="0" w:firstLineChars="0"/>
              <w:rPr>
                <w:color w:val="auto"/>
              </w:rPr>
            </w:pPr>
          </w:p>
          <w:p w14:paraId="1B8A372C">
            <w:pPr>
              <w:pStyle w:val="40"/>
              <w:ind w:firstLine="0" w:firstLineChars="0"/>
              <w:rPr>
                <w:color w:val="auto"/>
              </w:rPr>
            </w:pPr>
          </w:p>
          <w:p w14:paraId="360D7212">
            <w:pPr>
              <w:pStyle w:val="40"/>
              <w:ind w:firstLine="0" w:firstLineChars="0"/>
              <w:rPr>
                <w:color w:val="auto"/>
              </w:rPr>
            </w:pPr>
          </w:p>
          <w:p w14:paraId="29F9B2AA">
            <w:pPr>
              <w:pStyle w:val="40"/>
              <w:ind w:firstLine="0" w:firstLineChars="0"/>
              <w:rPr>
                <w:color w:val="auto"/>
              </w:rPr>
            </w:pPr>
          </w:p>
          <w:p w14:paraId="41F1F095">
            <w:pPr>
              <w:pStyle w:val="40"/>
              <w:ind w:firstLine="0" w:firstLineChars="0"/>
              <w:rPr>
                <w:color w:val="auto"/>
              </w:rPr>
            </w:pPr>
          </w:p>
          <w:p w14:paraId="248BCE71">
            <w:pPr>
              <w:pStyle w:val="40"/>
              <w:ind w:firstLine="0" w:firstLineChars="0"/>
              <w:rPr>
                <w:color w:val="auto"/>
              </w:rPr>
            </w:pPr>
          </w:p>
          <w:p w14:paraId="257867EB">
            <w:pPr>
              <w:pStyle w:val="40"/>
              <w:ind w:firstLine="0" w:firstLineChars="0"/>
              <w:rPr>
                <w:color w:val="auto"/>
              </w:rPr>
            </w:pPr>
          </w:p>
          <w:p w14:paraId="01765B12">
            <w:pPr>
              <w:pStyle w:val="40"/>
              <w:ind w:firstLine="0" w:firstLineChars="0"/>
              <w:rPr>
                <w:color w:val="auto"/>
              </w:rPr>
            </w:pPr>
          </w:p>
          <w:p w14:paraId="2B438F1A">
            <w:pPr>
              <w:pStyle w:val="40"/>
              <w:ind w:firstLine="0" w:firstLineChars="0"/>
              <w:rPr>
                <w:color w:val="auto"/>
              </w:rPr>
            </w:pPr>
          </w:p>
          <w:p w14:paraId="418A1625">
            <w:pPr>
              <w:pStyle w:val="40"/>
              <w:ind w:firstLine="0" w:firstLineChars="0"/>
              <w:rPr>
                <w:color w:val="auto"/>
              </w:rPr>
            </w:pPr>
          </w:p>
          <w:p w14:paraId="45DCE5F7">
            <w:pPr>
              <w:pStyle w:val="40"/>
              <w:ind w:firstLine="0" w:firstLineChars="0"/>
              <w:rPr>
                <w:color w:val="auto"/>
              </w:rPr>
            </w:pPr>
          </w:p>
        </w:tc>
      </w:tr>
    </w:tbl>
    <w:p w14:paraId="03192358">
      <w:pPr>
        <w:jc w:val="left"/>
        <w:rPr>
          <w:b/>
          <w:bCs/>
          <w:color w:val="auto"/>
          <w:sz w:val="28"/>
          <w:szCs w:val="28"/>
        </w:rPr>
      </w:pPr>
      <w:r>
        <w:rPr>
          <w:rFonts w:hint="eastAsia"/>
          <w:b/>
          <w:bCs/>
          <w:color w:val="auto"/>
          <w:sz w:val="28"/>
          <w:szCs w:val="28"/>
        </w:rPr>
        <w:t>四、主要环境影响和保护措施</w:t>
      </w:r>
    </w:p>
    <w:tbl>
      <w:tblPr>
        <w:tblStyle w:val="29"/>
        <w:tblW w:w="102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9771"/>
      </w:tblGrid>
      <w:tr w14:paraId="27F246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34" w:type="dxa"/>
            <w:vAlign w:val="center"/>
          </w:tcPr>
          <w:p w14:paraId="5BF3768C">
            <w:pPr>
              <w:jc w:val="center"/>
              <w:rPr>
                <w:color w:val="auto"/>
                <w:szCs w:val="21"/>
              </w:rPr>
            </w:pPr>
            <w:r>
              <w:rPr>
                <w:rFonts w:hint="eastAsia"/>
                <w:color w:val="auto"/>
                <w:szCs w:val="21"/>
              </w:rPr>
              <w:t>施工期环境保护措施</w:t>
            </w:r>
          </w:p>
        </w:tc>
        <w:tc>
          <w:tcPr>
            <w:tcW w:w="9771" w:type="dxa"/>
            <w:vAlign w:val="center"/>
          </w:tcPr>
          <w:p w14:paraId="32871E43">
            <w:pPr>
              <w:spacing w:line="360" w:lineRule="auto"/>
              <w:ind w:firstLine="480" w:firstLineChars="200"/>
              <w:rPr>
                <w:rFonts w:ascii="Times New Roman" w:hAnsi="Times New Roman" w:eastAsia="宋体"/>
                <w:color w:val="auto"/>
                <w:sz w:val="24"/>
                <w:szCs w:val="24"/>
              </w:rPr>
            </w:pPr>
            <w:r>
              <w:rPr>
                <w:rFonts w:hint="eastAsia" w:ascii="Times New Roman" w:hAnsi="Times New Roman" w:eastAsia="宋体"/>
                <w:color w:val="auto"/>
                <w:sz w:val="24"/>
                <w:szCs w:val="24"/>
              </w:rPr>
              <w:t>本项目不新建厂房，</w:t>
            </w:r>
            <w:r>
              <w:rPr>
                <w:rFonts w:hint="eastAsia" w:ascii="Times New Roman" w:hAnsi="Times New Roman" w:cs="Times New Roman"/>
                <w:b w:val="0"/>
                <w:bCs/>
                <w:color w:val="auto"/>
                <w:sz w:val="24"/>
                <w:szCs w:val="24"/>
                <w:lang w:val="en-US" w:eastAsia="zh-CN"/>
              </w:rPr>
              <w:t>利用公司现有厂房</w:t>
            </w:r>
            <w:r>
              <w:rPr>
                <w:rFonts w:hint="eastAsia" w:ascii="Times New Roman" w:hAnsi="Times New Roman" w:eastAsia="宋体"/>
                <w:color w:val="auto"/>
                <w:sz w:val="24"/>
                <w:szCs w:val="24"/>
                <w:lang w:eastAsia="zh-CN"/>
              </w:rPr>
              <w:t>，</w:t>
            </w:r>
            <w:r>
              <w:rPr>
                <w:rFonts w:ascii="Times New Roman" w:hAnsi="Times New Roman" w:eastAsia="宋体"/>
                <w:color w:val="auto"/>
                <w:sz w:val="24"/>
                <w:szCs w:val="24"/>
              </w:rPr>
              <w:t>建设单位需对</w:t>
            </w:r>
            <w:r>
              <w:rPr>
                <w:rFonts w:hint="eastAsia" w:ascii="Times New Roman" w:hAnsi="Times New Roman" w:eastAsia="宋体"/>
                <w:color w:val="auto"/>
                <w:sz w:val="24"/>
                <w:szCs w:val="24"/>
                <w:lang w:eastAsia="zh-CN"/>
              </w:rPr>
              <w:t>购买的房屋进行装修施工和装修完毕后的设备安装</w:t>
            </w:r>
            <w:r>
              <w:rPr>
                <w:rFonts w:ascii="Times New Roman" w:hAnsi="Times New Roman" w:eastAsia="宋体"/>
                <w:color w:val="auto"/>
                <w:sz w:val="24"/>
                <w:szCs w:val="24"/>
              </w:rPr>
              <w:t>。</w:t>
            </w:r>
          </w:p>
          <w:p w14:paraId="2D7825CD">
            <w:pPr>
              <w:spacing w:line="360" w:lineRule="auto"/>
              <w:ind w:firstLine="480" w:firstLineChars="200"/>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lang w:val="en-US" w:eastAsia="zh-CN"/>
              </w:rPr>
              <w:t>1</w:t>
            </w:r>
            <w:r>
              <w:rPr>
                <w:rFonts w:hint="eastAsia" w:ascii="Times New Roman" w:hAnsi="Times New Roman" w:eastAsia="宋体"/>
                <w:color w:val="auto"/>
                <w:sz w:val="24"/>
                <w:szCs w:val="24"/>
                <w:lang w:eastAsia="zh-CN"/>
              </w:rPr>
              <w:t>）施工废水</w:t>
            </w:r>
          </w:p>
          <w:p w14:paraId="4867BC5E">
            <w:pPr>
              <w:spacing w:line="360" w:lineRule="auto"/>
              <w:ind w:firstLine="480" w:firstLineChars="200"/>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val="en-US" w:eastAsia="zh-CN"/>
              </w:rPr>
              <w:t>改造</w:t>
            </w:r>
            <w:r>
              <w:rPr>
                <w:rFonts w:hint="eastAsia" w:ascii="Times New Roman" w:hAnsi="Times New Roman" w:eastAsia="宋体"/>
                <w:color w:val="auto"/>
                <w:sz w:val="24"/>
                <w:szCs w:val="24"/>
                <w:lang w:eastAsia="zh-CN"/>
              </w:rPr>
              <w:t>的厂房</w:t>
            </w:r>
            <w:r>
              <w:rPr>
                <w:rFonts w:ascii="Times New Roman" w:hAnsi="Times New Roman" w:eastAsia="宋体"/>
                <w:color w:val="auto"/>
                <w:sz w:val="24"/>
                <w:szCs w:val="24"/>
              </w:rPr>
              <w:t>设备安装</w:t>
            </w:r>
            <w:r>
              <w:rPr>
                <w:rFonts w:hint="eastAsia" w:ascii="Times New Roman" w:hAnsi="Times New Roman" w:eastAsia="宋体"/>
                <w:color w:val="auto"/>
                <w:sz w:val="24"/>
                <w:szCs w:val="24"/>
                <w:lang w:eastAsia="zh-CN"/>
              </w:rPr>
              <w:t>及购买的房屋装修</w:t>
            </w:r>
            <w:r>
              <w:rPr>
                <w:rFonts w:ascii="Times New Roman" w:hAnsi="Times New Roman" w:eastAsia="宋体"/>
                <w:color w:val="auto"/>
                <w:sz w:val="24"/>
                <w:szCs w:val="24"/>
              </w:rPr>
              <w:t>会产生少量的生活污水，</w:t>
            </w:r>
            <w:r>
              <w:rPr>
                <w:rFonts w:hint="eastAsia" w:ascii="Times New Roman" w:hAnsi="Times New Roman" w:eastAsia="宋体"/>
                <w:color w:val="auto"/>
                <w:sz w:val="24"/>
                <w:szCs w:val="24"/>
                <w:lang w:eastAsia="zh-CN"/>
              </w:rPr>
              <w:t>废水水质简单，</w:t>
            </w:r>
            <w:r>
              <w:rPr>
                <w:rFonts w:ascii="Times New Roman" w:hAnsi="Times New Roman" w:eastAsia="宋体"/>
                <w:color w:val="auto"/>
                <w:sz w:val="24"/>
                <w:szCs w:val="24"/>
              </w:rPr>
              <w:t>生活污水</w:t>
            </w:r>
            <w:r>
              <w:rPr>
                <w:rFonts w:hint="eastAsia" w:ascii="Times New Roman" w:hAnsi="Times New Roman" w:eastAsia="宋体"/>
                <w:color w:val="auto"/>
                <w:sz w:val="24"/>
                <w:szCs w:val="24"/>
                <w:lang w:eastAsia="zh-CN"/>
              </w:rPr>
              <w:t>依托</w:t>
            </w:r>
            <w:r>
              <w:rPr>
                <w:rFonts w:hint="eastAsia" w:ascii="Times New Roman" w:hAnsi="Times New Roman" w:cs="Times New Roman"/>
                <w:color w:val="auto"/>
                <w:sz w:val="24"/>
                <w:szCs w:val="24"/>
                <w:vertAlign w:val="baseline"/>
                <w:lang w:val="en-US" w:eastAsia="zh-CN"/>
              </w:rPr>
              <w:t>“化粪池”</w:t>
            </w:r>
            <w:r>
              <w:rPr>
                <w:rFonts w:ascii="Times New Roman" w:hAnsi="Times New Roman" w:eastAsia="宋体"/>
                <w:color w:val="auto"/>
                <w:sz w:val="24"/>
                <w:szCs w:val="24"/>
              </w:rPr>
              <w:t>预处理达</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污水综合排放标准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GB</w:t>
            </w:r>
            <w:r>
              <w:rPr>
                <w:rFonts w:hint="eastAsia" w:ascii="Times New Roman" w:hAnsi="Times New Roman" w:eastAsia="宋体" w:cs="Times New Roman"/>
                <w:color w:val="auto"/>
                <w:sz w:val="24"/>
                <w:szCs w:val="24"/>
                <w:lang w:val="en-US" w:eastAsia="zh-CN"/>
              </w:rPr>
              <w:t>8978-1996</w:t>
            </w:r>
            <w:r>
              <w:rPr>
                <w:rFonts w:hint="default" w:ascii="Times New Roman" w:hAnsi="Times New Roman" w:eastAsia="宋体" w:cs="Times New Roman"/>
                <w:color w:val="auto"/>
                <w:sz w:val="24"/>
                <w:szCs w:val="24"/>
                <w:lang w:eastAsia="zh-CN"/>
              </w:rPr>
              <w:t>）表</w:t>
            </w:r>
            <w:r>
              <w:rPr>
                <w:rFonts w:hint="eastAsia" w:ascii="Times New Roman" w:hAnsi="Times New Roman" w:eastAsia="宋体" w:cs="Times New Roman"/>
                <w:color w:val="auto"/>
                <w:sz w:val="24"/>
                <w:szCs w:val="24"/>
                <w:lang w:val="en-US" w:eastAsia="zh-CN"/>
              </w:rPr>
              <w:t>3中三级标准限值</w:t>
            </w:r>
            <w:r>
              <w:rPr>
                <w:rFonts w:hint="default" w:ascii="Times New Roman" w:hAnsi="Times New Roman" w:eastAsia="宋体" w:cs="Times New Roman"/>
                <w:color w:val="auto"/>
                <w:sz w:val="24"/>
                <w:szCs w:val="24"/>
              </w:rPr>
              <w:t>及</w:t>
            </w:r>
            <w:r>
              <w:rPr>
                <w:rFonts w:hint="default" w:ascii="Times New Roman" w:hAnsi="Times New Roman" w:eastAsia="宋体" w:cs="Times New Roman"/>
                <w:color w:val="auto"/>
                <w:sz w:val="24"/>
                <w:szCs w:val="24"/>
                <w:lang w:eastAsia="zh-CN"/>
              </w:rPr>
              <w:t>污水处理厂</w:t>
            </w:r>
            <w:r>
              <w:rPr>
                <w:rFonts w:hint="default" w:ascii="Times New Roman" w:hAnsi="Times New Roman" w:eastAsia="宋体" w:cs="Times New Roman"/>
                <w:color w:val="auto"/>
                <w:sz w:val="24"/>
                <w:szCs w:val="24"/>
              </w:rPr>
              <w:t>接管</w:t>
            </w:r>
            <w:r>
              <w:rPr>
                <w:rFonts w:hint="default" w:ascii="Times New Roman" w:hAnsi="Times New Roman" w:eastAsia="宋体" w:cs="Times New Roman"/>
                <w:color w:val="auto"/>
                <w:sz w:val="24"/>
                <w:szCs w:val="24"/>
                <w:lang w:eastAsia="zh-CN"/>
              </w:rPr>
              <w:t>限值后</w:t>
            </w:r>
            <w:r>
              <w:rPr>
                <w:rFonts w:hint="eastAsia" w:ascii="Times New Roman" w:hAnsi="Times New Roman" w:eastAsia="宋体" w:cs="Times New Roman"/>
                <w:color w:val="auto"/>
                <w:sz w:val="24"/>
                <w:szCs w:val="24"/>
                <w:lang w:eastAsia="zh-CN"/>
              </w:rPr>
              <w:t>排入基地污水处理厂</w:t>
            </w:r>
            <w:r>
              <w:rPr>
                <w:rFonts w:hint="default" w:ascii="Times New Roman" w:hAnsi="Times New Roman" w:eastAsia="宋体" w:cs="Times New Roman"/>
                <w:color w:val="auto"/>
                <w:sz w:val="24"/>
                <w:szCs w:val="24"/>
              </w:rPr>
              <w:t>处理达《城镇污水处理厂污染物排放标准》（GB18918-2002）表1中</w:t>
            </w:r>
            <w:r>
              <w:rPr>
                <w:rFonts w:hint="eastAsia" w:ascii="Times New Roman" w:hAnsi="Times New Roman" w:eastAsia="宋体" w:cs="Times New Roman"/>
                <w:color w:val="auto"/>
                <w:sz w:val="24"/>
                <w:szCs w:val="24"/>
                <w:lang w:eastAsia="zh-CN"/>
              </w:rPr>
              <w:t>一级</w:t>
            </w:r>
            <w:r>
              <w:rPr>
                <w:rFonts w:hint="eastAsia"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rPr>
              <w:t>标准后排入</w:t>
            </w:r>
            <w:r>
              <w:rPr>
                <w:rFonts w:hint="eastAsia" w:ascii="Times New Roman" w:hAnsi="Times New Roman" w:eastAsia="宋体" w:cs="Times New Roman"/>
                <w:color w:val="auto"/>
                <w:sz w:val="24"/>
                <w:szCs w:val="24"/>
                <w:lang w:eastAsia="zh-CN"/>
              </w:rPr>
              <w:t>老濉河</w:t>
            </w:r>
            <w:r>
              <w:rPr>
                <w:rFonts w:hint="eastAsia" w:ascii="Times New Roman" w:hAnsi="Times New Roman" w:eastAsia="宋体"/>
                <w:color w:val="auto"/>
                <w:sz w:val="24"/>
                <w:szCs w:val="24"/>
                <w:lang w:eastAsia="zh-CN"/>
              </w:rPr>
              <w:t>。因此，租赁的厂房</w:t>
            </w:r>
            <w:r>
              <w:rPr>
                <w:rFonts w:ascii="Times New Roman" w:hAnsi="Times New Roman" w:eastAsia="宋体"/>
                <w:color w:val="auto"/>
                <w:sz w:val="24"/>
                <w:szCs w:val="24"/>
              </w:rPr>
              <w:t>设备安装</w:t>
            </w:r>
            <w:r>
              <w:rPr>
                <w:rFonts w:hint="eastAsia" w:ascii="Times New Roman" w:hAnsi="Times New Roman" w:eastAsia="宋体"/>
                <w:color w:val="auto"/>
                <w:sz w:val="24"/>
                <w:szCs w:val="24"/>
                <w:lang w:eastAsia="zh-CN"/>
              </w:rPr>
              <w:t>及购买的房屋装修产生的生活污水对外环境影响较小。</w:t>
            </w:r>
          </w:p>
          <w:p w14:paraId="57EEFD47">
            <w:pPr>
              <w:spacing w:line="360" w:lineRule="auto"/>
              <w:ind w:firstLine="480" w:firstLineChars="200"/>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lang w:val="en-US" w:eastAsia="zh-CN"/>
              </w:rPr>
              <w:t>2</w:t>
            </w:r>
            <w:r>
              <w:rPr>
                <w:rFonts w:hint="eastAsia" w:ascii="Times New Roman" w:hAnsi="Times New Roman" w:eastAsia="宋体"/>
                <w:color w:val="auto"/>
                <w:sz w:val="24"/>
                <w:szCs w:val="24"/>
                <w:lang w:eastAsia="zh-CN"/>
              </w:rPr>
              <w:t>）施工噪声</w:t>
            </w:r>
          </w:p>
          <w:p w14:paraId="4AF23F8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eastAsia="zh-CN"/>
              </w:rPr>
              <w:t>房屋装修阶段主要的噪声源有电钻、切割机及各种车辆等，噪声声源较强。</w:t>
            </w:r>
          </w:p>
          <w:p w14:paraId="6DA96B0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eastAsia="zh-CN"/>
              </w:rPr>
              <w:t>①施工单位应</w:t>
            </w:r>
            <w:r>
              <w:rPr>
                <w:rFonts w:hint="default" w:ascii="Times New Roman" w:hAnsi="Times New Roman" w:cs="Times New Roman"/>
                <w:color w:val="auto"/>
                <w:sz w:val="24"/>
                <w:szCs w:val="24"/>
              </w:rPr>
              <w:t>合理安排施工计划和施工机械设备组合以及施工时间，禁止在中午（12:00～14:00）和夜间（22:00～6:00）施工，避免在同一时间集中使用大量的动力机械设备。施工单位严格执行</w:t>
            </w:r>
            <w:r>
              <w:rPr>
                <w:rFonts w:hint="default" w:ascii="Times New Roman" w:hAnsi="Times New Roman" w:cs="Times New Roman"/>
                <w:color w:val="auto"/>
                <w:sz w:val="24"/>
                <w:szCs w:val="24"/>
                <w:lang w:val="en-US" w:eastAsia="zh-CN"/>
              </w:rPr>
              <w:t>《建筑施工</w:t>
            </w:r>
            <w:r>
              <w:rPr>
                <w:rFonts w:hint="eastAsia" w:cs="Times New Roman"/>
                <w:color w:val="auto"/>
                <w:sz w:val="24"/>
                <w:szCs w:val="24"/>
                <w:lang w:val="en-US" w:eastAsia="zh-CN"/>
              </w:rPr>
              <w:t>场</w:t>
            </w:r>
            <w:r>
              <w:rPr>
                <w:rFonts w:hint="default" w:ascii="Times New Roman" w:hAnsi="Times New Roman" w:cs="Times New Roman"/>
                <w:color w:val="auto"/>
                <w:sz w:val="24"/>
                <w:szCs w:val="24"/>
                <w:lang w:val="en-US" w:eastAsia="zh-CN"/>
              </w:rPr>
              <w:t>界环境噪声排放标准》（GB12523-2011）</w:t>
            </w:r>
            <w:r>
              <w:rPr>
                <w:rFonts w:hint="default" w:ascii="Times New Roman" w:hAnsi="Times New Roman" w:cs="Times New Roman"/>
                <w:color w:val="auto"/>
                <w:sz w:val="24"/>
                <w:szCs w:val="24"/>
              </w:rPr>
              <w:t>的要求，在施工过程中，尽量减少运行动力机械设备的数量，尽可能使动力机械设备均匀地使用。</w:t>
            </w:r>
          </w:p>
          <w:p w14:paraId="23FA739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sz w:val="24"/>
                <w:szCs w:val="24"/>
              </w:rPr>
            </w:pPr>
            <w:r>
              <w:rPr>
                <w:rFonts w:hint="eastAsia" w:ascii="Times New Roman" w:hAnsi="Times New Roman" w:eastAsia="宋体"/>
                <w:color w:val="auto"/>
                <w:sz w:val="24"/>
                <w:szCs w:val="24"/>
                <w:lang w:eastAsia="zh-CN"/>
              </w:rPr>
              <w:t>②</w:t>
            </w:r>
            <w:r>
              <w:rPr>
                <w:rFonts w:hint="eastAsia"/>
                <w:color w:val="auto"/>
                <w:sz w:val="24"/>
                <w:szCs w:val="24"/>
              </w:rPr>
              <w:t>施工单位应尽量采用低噪声的施工机械和其他的辅助施工设备。减少同时作业的高噪施工机械数量，尽可能减轻声源叠加影响，即可减轻施工噪声对环境的影响。</w:t>
            </w:r>
          </w:p>
          <w:p w14:paraId="3C54CEA0">
            <w:pPr>
              <w:spacing w:line="360" w:lineRule="auto"/>
              <w:ind w:firstLine="480" w:firstLineChars="200"/>
              <w:rPr>
                <w:rFonts w:hint="eastAsia"/>
                <w:color w:val="auto"/>
                <w:sz w:val="24"/>
                <w:szCs w:val="24"/>
              </w:rPr>
            </w:pPr>
            <w:r>
              <w:rPr>
                <w:rFonts w:hint="eastAsia" w:ascii="Times New Roman" w:hAnsi="Times New Roman" w:eastAsia="宋体"/>
                <w:color w:val="auto"/>
                <w:sz w:val="24"/>
                <w:szCs w:val="24"/>
                <w:lang w:eastAsia="zh-CN"/>
              </w:rPr>
              <w:t>③</w:t>
            </w:r>
            <w:r>
              <w:rPr>
                <w:rFonts w:hint="eastAsia"/>
                <w:color w:val="auto"/>
                <w:sz w:val="24"/>
                <w:szCs w:val="24"/>
              </w:rPr>
              <w:t>施工中禁止使用国家明令淘汰的产生噪声污染的落后施工工艺和施工机械设备。</w:t>
            </w:r>
          </w:p>
          <w:p w14:paraId="55545FEF">
            <w:pPr>
              <w:spacing w:line="360" w:lineRule="auto"/>
              <w:ind w:firstLine="480" w:firstLineChars="200"/>
              <w:rPr>
                <w:rFonts w:hint="eastAsia"/>
                <w:color w:val="auto"/>
                <w:sz w:val="24"/>
                <w:szCs w:val="24"/>
              </w:rPr>
            </w:pPr>
            <w:r>
              <w:rPr>
                <w:rFonts w:hint="eastAsia"/>
                <w:color w:val="auto"/>
                <w:sz w:val="24"/>
                <w:szCs w:val="24"/>
                <w:lang w:eastAsia="zh-CN"/>
              </w:rPr>
              <w:t>④</w:t>
            </w:r>
            <w:r>
              <w:rPr>
                <w:rFonts w:hint="eastAsia"/>
                <w:color w:val="auto"/>
                <w:sz w:val="24"/>
                <w:szCs w:val="24"/>
              </w:rPr>
              <w:t>对于施工期间的材料运输、敲击、人的喊叫等噪声源，要求施工单位文明施工、加强有效管理以缓解其影响。</w:t>
            </w:r>
          </w:p>
          <w:p w14:paraId="4E3113A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经采取上述相应措施后，</w:t>
            </w:r>
            <w:r>
              <w:rPr>
                <w:rFonts w:hint="eastAsia" w:ascii="Times New Roman" w:hAnsi="Times New Roman" w:cs="Times New Roman"/>
                <w:color w:val="auto"/>
                <w:sz w:val="24"/>
                <w:szCs w:val="24"/>
                <w:lang w:eastAsia="zh-CN"/>
              </w:rPr>
              <w:t>加之本项目不涉及主体工程的施工，且施工改造期较短。</w:t>
            </w:r>
            <w:r>
              <w:rPr>
                <w:rFonts w:hint="default" w:ascii="Times New Roman" w:hAnsi="Times New Roman" w:cs="Times New Roman"/>
                <w:color w:val="auto"/>
                <w:sz w:val="24"/>
                <w:szCs w:val="24"/>
              </w:rPr>
              <w:t>项目施工期产生的噪声对外环境产生的影响在可控范围之内。</w:t>
            </w:r>
          </w:p>
          <w:p w14:paraId="32D89A3C">
            <w:pPr>
              <w:spacing w:line="360" w:lineRule="auto"/>
              <w:ind w:firstLine="480" w:firstLineChars="200"/>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lang w:val="en-US" w:eastAsia="zh-CN"/>
              </w:rPr>
              <w:t>3</w:t>
            </w:r>
            <w:r>
              <w:rPr>
                <w:rFonts w:hint="eastAsia" w:ascii="Times New Roman" w:hAnsi="Times New Roman" w:eastAsia="宋体"/>
                <w:color w:val="auto"/>
                <w:sz w:val="24"/>
                <w:szCs w:val="24"/>
                <w:lang w:eastAsia="zh-CN"/>
              </w:rPr>
              <w:t>）施工固废</w:t>
            </w:r>
          </w:p>
          <w:p w14:paraId="3036D11A">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项目在施工过程中产生的固体废弃物主要为建筑施工垃圾及施工人员的生活垃圾。项目所产生的</w:t>
            </w:r>
            <w:r>
              <w:rPr>
                <w:rFonts w:hint="eastAsia" w:ascii="Times New Roman" w:hAnsi="Times New Roman" w:cs="Times New Roman"/>
                <w:bCs/>
                <w:color w:val="auto"/>
                <w:sz w:val="24"/>
                <w:lang w:eastAsia="zh-CN"/>
              </w:rPr>
              <w:t>建筑垃圾</w:t>
            </w:r>
            <w:r>
              <w:rPr>
                <w:rFonts w:hint="default" w:ascii="Times New Roman" w:hAnsi="Times New Roman" w:cs="Times New Roman"/>
                <w:bCs/>
                <w:color w:val="auto"/>
                <w:sz w:val="24"/>
              </w:rPr>
              <w:t>应及时清运，不能及时清运的应当妥善堆放，并采取防溢漏、防扬尘措施，运输渣土的车辆应当设有防撒落、飘扬、滴漏的设施，如采取密闭或者加盖苫布等防范措施，按规定的运输路线和运输时间，将废渣倾倒于指定场所。另外施工人员在日常生活中也将产生一定数量的生活垃圾</w:t>
            </w:r>
            <w:r>
              <w:rPr>
                <w:rFonts w:hint="eastAsia" w:ascii="Times New Roman" w:hAnsi="Times New Roman" w:cs="Times New Roman"/>
                <w:bCs/>
                <w:color w:val="auto"/>
                <w:sz w:val="24"/>
                <w:lang w:eastAsia="zh-CN"/>
              </w:rPr>
              <w:t>，</w:t>
            </w:r>
            <w:r>
              <w:rPr>
                <w:rFonts w:hint="default" w:ascii="Times New Roman" w:hAnsi="Times New Roman" w:cs="Times New Roman"/>
                <w:bCs/>
                <w:color w:val="auto"/>
                <w:sz w:val="24"/>
              </w:rPr>
              <w:t>生活垃圾应及时由环卫部门清运，以减轻对周围环境的影响。</w:t>
            </w:r>
          </w:p>
          <w:p w14:paraId="67F2937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因此，施工期的固体废物对环境产生的影响是很小的。</w:t>
            </w:r>
          </w:p>
          <w:p w14:paraId="7F423A5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4</w:t>
            </w:r>
            <w:r>
              <w:rPr>
                <w:rFonts w:hint="eastAsia" w:ascii="Times New Roman" w:hAnsi="Times New Roman" w:cs="Times New Roman"/>
                <w:color w:val="auto"/>
                <w:sz w:val="24"/>
                <w:szCs w:val="24"/>
                <w:lang w:eastAsia="zh-CN"/>
              </w:rPr>
              <w:t>）施工废气</w:t>
            </w:r>
          </w:p>
          <w:p w14:paraId="65C6650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项目施工期对环境的大气影响主要为</w:t>
            </w:r>
            <w:r>
              <w:rPr>
                <w:rFonts w:hint="eastAsia" w:ascii="Times New Roman" w:hAnsi="Times New Roman" w:cs="Times New Roman"/>
                <w:color w:val="auto"/>
                <w:sz w:val="24"/>
                <w:szCs w:val="24"/>
                <w:lang w:eastAsia="zh-CN"/>
              </w:rPr>
              <w:t>涂刷漆料</w:t>
            </w:r>
            <w:r>
              <w:rPr>
                <w:rFonts w:hint="eastAsia" w:ascii="Times New Roman" w:hAnsi="Times New Roman" w:cs="Times New Roman"/>
                <w:color w:val="auto"/>
                <w:sz w:val="24"/>
                <w:szCs w:val="24"/>
              </w:rPr>
              <w:t>产生的有机气体的影响。</w:t>
            </w:r>
          </w:p>
          <w:p w14:paraId="48AD381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①对于施工装修期使用的</w:t>
            </w:r>
            <w:r>
              <w:rPr>
                <w:rFonts w:hint="eastAsia" w:ascii="Times New Roman" w:hAnsi="Times New Roman" w:cs="Times New Roman"/>
                <w:color w:val="auto"/>
                <w:sz w:val="24"/>
                <w:szCs w:val="24"/>
                <w:lang w:eastAsia="zh-CN"/>
              </w:rPr>
              <w:t>涂料</w:t>
            </w:r>
            <w:r>
              <w:rPr>
                <w:rFonts w:hint="eastAsia" w:ascii="Times New Roman" w:hAnsi="Times New Roman" w:cs="Times New Roman"/>
                <w:color w:val="auto"/>
                <w:sz w:val="24"/>
                <w:szCs w:val="24"/>
              </w:rPr>
              <w:t>等建筑材料散发有机气体的防治，装修应满足 《室内装修材料有害物质限量》（GB18580-2001～GB18588-2001及GB6566-2001）等国家标准要求，提倡使用</w:t>
            </w:r>
            <w:r>
              <w:rPr>
                <w:rFonts w:hint="eastAsia" w:ascii="Times New Roman" w:hAnsi="Times New Roman" w:cs="Times New Roman"/>
                <w:color w:val="auto"/>
                <w:sz w:val="24"/>
                <w:szCs w:val="24"/>
                <w:lang w:eastAsia="zh-CN"/>
              </w:rPr>
              <w:t>环保型环氧地坪漆</w:t>
            </w:r>
            <w:r>
              <w:rPr>
                <w:rFonts w:hint="eastAsia" w:ascii="Times New Roman" w:hAnsi="Times New Roman" w:cs="Times New Roman"/>
                <w:color w:val="auto"/>
                <w:sz w:val="24"/>
                <w:szCs w:val="24"/>
              </w:rPr>
              <w:t>，减少装修阶段有机废气的排放，同时装修时注重开窗通风，加强空气流通，可在一定程度上减少装修阶段有机废气的影响。</w:t>
            </w:r>
          </w:p>
          <w:p w14:paraId="2BAAB8E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rPr>
            </w:pPr>
            <w:r>
              <w:rPr>
                <w:rFonts w:hint="eastAsia" w:ascii="Times New Roman" w:hAnsi="Times New Roman" w:cs="Times New Roman"/>
                <w:color w:val="auto"/>
                <w:sz w:val="24"/>
                <w:szCs w:val="24"/>
              </w:rPr>
              <w:t>施工过程中对环境造成的影响主要为施工人员生活污水、装修施工废气、噪声和固体废物。施工期对环境的影响属于局部、短期的影响，施工期的各项污染环境的因素，在严格采取一定的措施的条件下，可避免或减轻其污染，环境影响能控制在可接受的范围内。随着施工期结束，施工</w:t>
            </w:r>
            <w:r>
              <w:rPr>
                <w:rFonts w:hint="eastAsia" w:ascii="Times New Roman" w:hAnsi="Times New Roman" w:cs="Times New Roman"/>
                <w:color w:val="auto"/>
                <w:sz w:val="24"/>
                <w:szCs w:val="24"/>
                <w:lang w:eastAsia="zh-CN"/>
              </w:rPr>
              <w:t>期产生的影响</w:t>
            </w:r>
            <w:r>
              <w:rPr>
                <w:rFonts w:hint="eastAsia" w:ascii="Times New Roman" w:hAnsi="Times New Roman" w:cs="Times New Roman"/>
                <w:color w:val="auto"/>
                <w:sz w:val="24"/>
                <w:szCs w:val="24"/>
              </w:rPr>
              <w:t>也会消失。</w:t>
            </w:r>
          </w:p>
          <w:p w14:paraId="17ED7F87">
            <w:pPr>
              <w:pStyle w:val="12"/>
              <w:rPr>
                <w:rFonts w:ascii="Times New Roman" w:hAnsi="Times New Roman"/>
                <w:color w:val="auto"/>
                <w:sz w:val="24"/>
              </w:rPr>
            </w:pPr>
          </w:p>
          <w:p w14:paraId="26261320">
            <w:pPr>
              <w:pStyle w:val="40"/>
              <w:rPr>
                <w:rFonts w:ascii="Times New Roman" w:hAnsi="Times New Roman" w:cs="Times New Roman"/>
                <w:color w:val="auto"/>
              </w:rPr>
            </w:pPr>
          </w:p>
          <w:p w14:paraId="2357D690">
            <w:pPr>
              <w:pStyle w:val="40"/>
              <w:rPr>
                <w:rFonts w:ascii="Times New Roman" w:hAnsi="Times New Roman" w:cs="Times New Roman"/>
                <w:color w:val="auto"/>
              </w:rPr>
            </w:pPr>
          </w:p>
          <w:p w14:paraId="5E9265A1">
            <w:pPr>
              <w:pStyle w:val="40"/>
              <w:rPr>
                <w:rFonts w:ascii="Times New Roman" w:hAnsi="Times New Roman" w:cs="Times New Roman"/>
                <w:color w:val="auto"/>
              </w:rPr>
            </w:pPr>
          </w:p>
          <w:p w14:paraId="707B1AEA">
            <w:pPr>
              <w:pStyle w:val="40"/>
              <w:ind w:firstLine="0" w:firstLineChars="0"/>
              <w:rPr>
                <w:rFonts w:ascii="Times New Roman" w:hAnsi="Times New Roman" w:cs="Times New Roman"/>
                <w:color w:val="auto"/>
              </w:rPr>
            </w:pPr>
          </w:p>
          <w:p w14:paraId="45910DC1">
            <w:pPr>
              <w:pStyle w:val="40"/>
              <w:rPr>
                <w:rFonts w:ascii="Times New Roman" w:hAnsi="Times New Roman" w:cs="Times New Roman"/>
                <w:color w:val="auto"/>
              </w:rPr>
            </w:pPr>
          </w:p>
          <w:p w14:paraId="533AE709">
            <w:pPr>
              <w:pStyle w:val="41"/>
              <w:ind w:firstLine="0" w:firstLineChars="0"/>
              <w:rPr>
                <w:rFonts w:ascii="Times New Roman" w:hAnsi="Times New Roman" w:cs="Times New Roman"/>
                <w:color w:val="auto"/>
                <w:sz w:val="24"/>
                <w:szCs w:val="24"/>
              </w:rPr>
            </w:pPr>
          </w:p>
          <w:p w14:paraId="20B61686">
            <w:pPr>
              <w:pStyle w:val="41"/>
              <w:ind w:firstLine="0" w:firstLineChars="0"/>
              <w:rPr>
                <w:rFonts w:ascii="Times New Roman" w:hAnsi="Times New Roman" w:cs="Times New Roman"/>
                <w:color w:val="auto"/>
                <w:sz w:val="24"/>
                <w:szCs w:val="24"/>
              </w:rPr>
            </w:pPr>
          </w:p>
          <w:p w14:paraId="3A7CE594">
            <w:pPr>
              <w:pStyle w:val="41"/>
              <w:ind w:firstLine="0" w:firstLineChars="0"/>
              <w:rPr>
                <w:rFonts w:ascii="Times New Roman" w:hAnsi="Times New Roman" w:cs="Times New Roman"/>
                <w:color w:val="auto"/>
                <w:sz w:val="24"/>
                <w:szCs w:val="24"/>
              </w:rPr>
            </w:pPr>
          </w:p>
          <w:p w14:paraId="0C41E71E">
            <w:pPr>
              <w:pStyle w:val="41"/>
              <w:ind w:firstLine="0" w:firstLineChars="0"/>
              <w:rPr>
                <w:rFonts w:ascii="Times New Roman" w:hAnsi="Times New Roman" w:cs="Times New Roman"/>
                <w:color w:val="auto"/>
                <w:sz w:val="24"/>
                <w:szCs w:val="24"/>
              </w:rPr>
            </w:pPr>
          </w:p>
          <w:p w14:paraId="2F9DB059">
            <w:pPr>
              <w:pStyle w:val="41"/>
              <w:ind w:firstLine="0" w:firstLineChars="0"/>
              <w:rPr>
                <w:rFonts w:ascii="Times New Roman" w:hAnsi="Times New Roman" w:cs="Times New Roman"/>
                <w:color w:val="auto"/>
                <w:sz w:val="24"/>
                <w:szCs w:val="24"/>
              </w:rPr>
            </w:pPr>
          </w:p>
          <w:p w14:paraId="4C28BA5A">
            <w:pPr>
              <w:pStyle w:val="41"/>
              <w:ind w:firstLine="0" w:firstLineChars="0"/>
              <w:rPr>
                <w:rFonts w:ascii="Times New Roman" w:hAnsi="Times New Roman" w:cs="Times New Roman"/>
                <w:color w:val="auto"/>
                <w:sz w:val="24"/>
                <w:szCs w:val="24"/>
              </w:rPr>
            </w:pPr>
          </w:p>
          <w:p w14:paraId="22BAFC0F">
            <w:pPr>
              <w:pStyle w:val="41"/>
              <w:ind w:firstLine="0" w:firstLineChars="0"/>
              <w:rPr>
                <w:rFonts w:ascii="Times New Roman" w:hAnsi="Times New Roman" w:cs="Times New Roman"/>
                <w:color w:val="auto"/>
                <w:sz w:val="24"/>
                <w:szCs w:val="24"/>
              </w:rPr>
            </w:pPr>
          </w:p>
          <w:p w14:paraId="71102D4C">
            <w:pPr>
              <w:pStyle w:val="41"/>
              <w:ind w:firstLine="0" w:firstLineChars="0"/>
              <w:rPr>
                <w:rFonts w:ascii="Times New Roman" w:hAnsi="Times New Roman" w:cs="Times New Roman"/>
                <w:color w:val="auto"/>
                <w:sz w:val="24"/>
                <w:szCs w:val="24"/>
              </w:rPr>
            </w:pPr>
          </w:p>
          <w:p w14:paraId="13C3BD0B">
            <w:pPr>
              <w:pStyle w:val="41"/>
              <w:ind w:firstLine="0" w:firstLineChars="0"/>
              <w:rPr>
                <w:rFonts w:ascii="Times New Roman" w:hAnsi="Times New Roman" w:cs="Times New Roman"/>
                <w:color w:val="auto"/>
                <w:sz w:val="24"/>
                <w:szCs w:val="24"/>
              </w:rPr>
            </w:pPr>
          </w:p>
          <w:p w14:paraId="25FFF0F8">
            <w:pPr>
              <w:pStyle w:val="41"/>
              <w:ind w:firstLine="0" w:firstLineChars="0"/>
              <w:rPr>
                <w:rFonts w:ascii="Times New Roman" w:hAnsi="Times New Roman" w:cs="Times New Roman"/>
                <w:color w:val="auto"/>
                <w:sz w:val="24"/>
                <w:szCs w:val="24"/>
              </w:rPr>
            </w:pPr>
          </w:p>
          <w:p w14:paraId="007B1398">
            <w:pPr>
              <w:pStyle w:val="41"/>
              <w:ind w:firstLine="0" w:firstLineChars="0"/>
              <w:rPr>
                <w:rFonts w:ascii="Times New Roman" w:hAnsi="Times New Roman" w:cs="Times New Roman"/>
                <w:color w:val="auto"/>
                <w:sz w:val="24"/>
                <w:szCs w:val="24"/>
              </w:rPr>
            </w:pPr>
          </w:p>
          <w:p w14:paraId="5A5D1E14">
            <w:pPr>
              <w:pStyle w:val="41"/>
              <w:ind w:firstLine="0" w:firstLineChars="0"/>
              <w:rPr>
                <w:rFonts w:ascii="Times New Roman" w:hAnsi="Times New Roman" w:cs="Times New Roman"/>
                <w:color w:val="auto"/>
                <w:sz w:val="24"/>
                <w:szCs w:val="24"/>
              </w:rPr>
            </w:pPr>
          </w:p>
          <w:p w14:paraId="64358999">
            <w:pPr>
              <w:pStyle w:val="41"/>
              <w:ind w:firstLine="0" w:firstLineChars="0"/>
              <w:rPr>
                <w:rFonts w:ascii="Times New Roman" w:hAnsi="Times New Roman" w:cs="Times New Roman"/>
                <w:color w:val="auto"/>
                <w:sz w:val="24"/>
                <w:szCs w:val="24"/>
              </w:rPr>
            </w:pPr>
          </w:p>
          <w:p w14:paraId="14166BB2">
            <w:pPr>
              <w:pStyle w:val="41"/>
              <w:ind w:firstLine="0" w:firstLineChars="0"/>
              <w:rPr>
                <w:rFonts w:ascii="Times New Roman" w:hAnsi="Times New Roman" w:cs="Times New Roman"/>
                <w:color w:val="auto"/>
                <w:sz w:val="24"/>
                <w:szCs w:val="24"/>
              </w:rPr>
            </w:pPr>
          </w:p>
          <w:p w14:paraId="2027A124">
            <w:pPr>
              <w:pStyle w:val="41"/>
              <w:ind w:firstLine="0" w:firstLineChars="0"/>
              <w:rPr>
                <w:rFonts w:ascii="Times New Roman" w:hAnsi="Times New Roman" w:cs="Times New Roman"/>
                <w:color w:val="auto"/>
                <w:sz w:val="24"/>
                <w:szCs w:val="24"/>
              </w:rPr>
            </w:pPr>
          </w:p>
          <w:p w14:paraId="752A8127">
            <w:pPr>
              <w:pStyle w:val="41"/>
              <w:ind w:firstLine="0" w:firstLineChars="0"/>
              <w:rPr>
                <w:rFonts w:ascii="Times New Roman" w:hAnsi="Times New Roman" w:cs="Times New Roman"/>
                <w:color w:val="auto"/>
                <w:sz w:val="24"/>
                <w:szCs w:val="24"/>
              </w:rPr>
            </w:pPr>
          </w:p>
          <w:p w14:paraId="5DBB8EDF">
            <w:pPr>
              <w:pStyle w:val="41"/>
              <w:ind w:firstLine="0" w:firstLineChars="0"/>
              <w:rPr>
                <w:rFonts w:ascii="Times New Roman" w:hAnsi="Times New Roman" w:cs="Times New Roman"/>
                <w:color w:val="auto"/>
                <w:sz w:val="24"/>
                <w:szCs w:val="24"/>
              </w:rPr>
            </w:pPr>
          </w:p>
          <w:p w14:paraId="693B1B20">
            <w:pPr>
              <w:pStyle w:val="41"/>
              <w:ind w:firstLine="0" w:firstLineChars="0"/>
              <w:rPr>
                <w:rFonts w:ascii="Times New Roman" w:hAnsi="Times New Roman" w:cs="Times New Roman"/>
                <w:color w:val="auto"/>
                <w:sz w:val="24"/>
                <w:szCs w:val="24"/>
              </w:rPr>
            </w:pPr>
          </w:p>
        </w:tc>
      </w:tr>
    </w:tbl>
    <w:p w14:paraId="32F26D6F">
      <w:pPr>
        <w:jc w:val="center"/>
        <w:rPr>
          <w:color w:val="auto"/>
          <w:szCs w:val="21"/>
        </w:rPr>
      </w:pPr>
      <w:r>
        <w:rPr>
          <w:rFonts w:hint="eastAsia"/>
          <w:color w:val="auto"/>
          <w:szCs w:val="21"/>
        </w:rPr>
        <w:br w:type="page"/>
      </w:r>
    </w:p>
    <w:tbl>
      <w:tblPr>
        <w:tblStyle w:val="29"/>
        <w:tblW w:w="102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1"/>
        <w:gridCol w:w="9894"/>
      </w:tblGrid>
      <w:tr w14:paraId="0DFF0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38" w:hRule="atLeast"/>
          <w:jc w:val="center"/>
        </w:trPr>
        <w:tc>
          <w:tcPr>
            <w:tcW w:w="311" w:type="dxa"/>
            <w:vAlign w:val="center"/>
          </w:tcPr>
          <w:p w14:paraId="328DFA0B">
            <w:pPr>
              <w:jc w:val="center"/>
              <w:rPr>
                <w:color w:val="auto"/>
                <w:szCs w:val="21"/>
              </w:rPr>
            </w:pPr>
            <w:r>
              <w:rPr>
                <w:rFonts w:hint="eastAsia"/>
                <w:color w:val="auto"/>
                <w:sz w:val="18"/>
                <w:szCs w:val="18"/>
              </w:rPr>
              <w:t>运营期环境影响和保护措施</w:t>
            </w:r>
          </w:p>
        </w:tc>
        <w:tc>
          <w:tcPr>
            <w:tcW w:w="9894" w:type="dxa"/>
            <w:vAlign w:val="center"/>
          </w:tcPr>
          <w:p w14:paraId="19AEE999">
            <w:pPr>
              <w:pStyle w:val="49"/>
              <w:spacing w:line="360" w:lineRule="auto"/>
              <w:ind w:firstLine="482"/>
              <w:rPr>
                <w:rFonts w:ascii="Times New Roman" w:hAnsi="Times New Roman" w:eastAsia="宋体"/>
                <w:b/>
                <w:bCs/>
                <w:color w:val="auto"/>
              </w:rPr>
            </w:pPr>
            <w:r>
              <w:rPr>
                <w:rFonts w:ascii="Times New Roman" w:hAnsi="Times New Roman" w:eastAsia="宋体"/>
                <w:b/>
                <w:bCs/>
                <w:color w:val="auto"/>
              </w:rPr>
              <w:t>1、大气</w:t>
            </w:r>
          </w:p>
          <w:p w14:paraId="2B3E448C">
            <w:pPr>
              <w:pStyle w:val="49"/>
              <w:spacing w:line="360" w:lineRule="auto"/>
              <w:rPr>
                <w:rFonts w:ascii="Times New Roman" w:hAnsi="Times New Roman" w:eastAsia="宋体"/>
                <w:color w:val="auto"/>
                <w:lang w:val="zh-CN"/>
              </w:rPr>
            </w:pPr>
            <w:r>
              <w:rPr>
                <w:rFonts w:ascii="Times New Roman" w:hAnsi="Times New Roman" w:eastAsia="宋体"/>
                <w:color w:val="auto"/>
                <w:lang w:val="zh-CN"/>
              </w:rPr>
              <w:t>本项目运营期废气主要产生工序为</w:t>
            </w:r>
            <w:r>
              <w:rPr>
                <w:rFonts w:hint="eastAsia" w:ascii="Times New Roman" w:hAnsi="Times New Roman" w:eastAsia="宋体"/>
                <w:color w:val="auto"/>
                <w:lang w:val="en-US" w:eastAsia="zh-CN"/>
              </w:rPr>
              <w:t>配方调试研发、原辅料、成品</w:t>
            </w:r>
            <w:r>
              <w:rPr>
                <w:rFonts w:hint="eastAsia" w:ascii="Times New Roman" w:hAnsi="Times New Roman" w:eastAsia="宋体"/>
                <w:color w:val="auto"/>
                <w:lang w:val="zh-CN"/>
              </w:rPr>
              <w:t>化验、试样（</w:t>
            </w:r>
            <w:r>
              <w:rPr>
                <w:rFonts w:hint="eastAsia" w:ascii="Times New Roman" w:hAnsi="Times New Roman" w:eastAsia="宋体"/>
                <w:color w:val="auto"/>
                <w:lang w:val="en-US" w:eastAsia="zh-CN"/>
              </w:rPr>
              <w:t>阻燃效果</w:t>
            </w:r>
            <w:r>
              <w:rPr>
                <w:rFonts w:hint="eastAsia" w:ascii="Times New Roman" w:hAnsi="Times New Roman" w:eastAsia="宋体"/>
                <w:color w:val="auto"/>
                <w:lang w:val="zh-CN"/>
              </w:rPr>
              <w:t>）燃烧</w:t>
            </w:r>
            <w:r>
              <w:rPr>
                <w:rFonts w:hint="eastAsia" w:ascii="Times New Roman" w:hAnsi="Times New Roman" w:eastAsia="宋体"/>
                <w:color w:val="auto"/>
              </w:rPr>
              <w:t>等</w:t>
            </w:r>
            <w:r>
              <w:rPr>
                <w:rFonts w:ascii="Times New Roman" w:hAnsi="Times New Roman" w:eastAsia="宋体"/>
                <w:color w:val="auto"/>
                <w:lang w:val="zh-CN"/>
              </w:rPr>
              <w:t>，产生的污染物主要包括非甲烷总烃</w:t>
            </w:r>
            <w:r>
              <w:rPr>
                <w:rFonts w:hint="eastAsia" w:ascii="Times New Roman" w:hAnsi="Times New Roman" w:eastAsia="宋体"/>
                <w:color w:val="auto"/>
                <w:lang w:val="zh-CN"/>
              </w:rPr>
              <w:t>、甲苯、氯化氢及颗粒物</w:t>
            </w:r>
            <w:r>
              <w:rPr>
                <w:rFonts w:ascii="Times New Roman" w:hAnsi="Times New Roman" w:eastAsia="宋体"/>
                <w:color w:val="auto"/>
                <w:lang w:val="zh-CN"/>
              </w:rPr>
              <w:t>。</w:t>
            </w:r>
          </w:p>
          <w:p w14:paraId="7E972757">
            <w:pPr>
              <w:pStyle w:val="49"/>
              <w:spacing w:line="360" w:lineRule="auto"/>
              <w:rPr>
                <w:rFonts w:ascii="Times New Roman" w:hAnsi="Times New Roman" w:eastAsia="宋体"/>
                <w:color w:val="auto"/>
              </w:rPr>
            </w:pPr>
            <w:r>
              <w:rPr>
                <w:rFonts w:ascii="Times New Roman" w:hAnsi="Times New Roman" w:eastAsia="宋体"/>
                <w:color w:val="auto"/>
              </w:rPr>
              <w:t>1.1源强核算</w:t>
            </w:r>
          </w:p>
          <w:p w14:paraId="573E96BC">
            <w:pPr>
              <w:pStyle w:val="49"/>
              <w:spacing w:line="360" w:lineRule="auto"/>
              <w:rPr>
                <w:rFonts w:ascii="Times New Roman" w:hAnsi="Times New Roman" w:eastAsia="宋体"/>
                <w:color w:val="auto"/>
                <w:lang w:val="zh-CN"/>
              </w:rPr>
            </w:pPr>
            <w:r>
              <w:rPr>
                <w:rFonts w:ascii="Times New Roman" w:hAnsi="Times New Roman" w:eastAsia="宋体"/>
                <w:color w:val="auto"/>
              </w:rPr>
              <w:t>1.1.1</w:t>
            </w:r>
            <w:r>
              <w:rPr>
                <w:rFonts w:hint="eastAsia" w:ascii="Times New Roman" w:hAnsi="Times New Roman" w:eastAsia="宋体"/>
                <w:color w:val="auto"/>
                <w:lang w:val="zh-CN"/>
              </w:rPr>
              <w:t>正常工况下废气排放情况</w:t>
            </w:r>
          </w:p>
          <w:p w14:paraId="1E1D4B9C">
            <w:pPr>
              <w:pStyle w:val="49"/>
              <w:spacing w:line="360" w:lineRule="auto"/>
              <w:rPr>
                <w:rFonts w:hint="default" w:ascii="Times New Roman" w:hAnsi="Times New Roman" w:eastAsia="宋体"/>
                <w:color w:val="auto"/>
                <w:lang w:val="en-US" w:eastAsia="zh-CN"/>
              </w:rPr>
            </w:pPr>
            <w:r>
              <w:rPr>
                <w:rFonts w:hint="eastAsia" w:ascii="Times New Roman" w:hAnsi="Times New Roman" w:eastAsia="宋体"/>
                <w:color w:val="auto"/>
              </w:rPr>
              <w:t>（1）</w:t>
            </w:r>
            <w:r>
              <w:rPr>
                <w:rFonts w:hint="eastAsia" w:ascii="Times New Roman" w:hAnsi="Times New Roman" w:eastAsia="宋体"/>
                <w:color w:val="auto"/>
                <w:lang w:val="en-US" w:eastAsia="zh-CN"/>
              </w:rPr>
              <w:t>理化检测区（通风橱）</w:t>
            </w:r>
            <w:r>
              <w:rPr>
                <w:rFonts w:hint="eastAsia" w:ascii="Times New Roman" w:hAnsi="Times New Roman" w:eastAsia="宋体"/>
                <w:color w:val="auto"/>
              </w:rPr>
              <w:t>-</w:t>
            </w:r>
            <w:r>
              <w:rPr>
                <w:rFonts w:hint="eastAsia" w:ascii="Times New Roman" w:hAnsi="Times New Roman" w:eastAsia="宋体"/>
                <w:color w:val="auto"/>
                <w:lang w:eastAsia="zh-CN"/>
              </w:rPr>
              <w:t>非甲烷总烃、甲苯、</w:t>
            </w:r>
            <w:r>
              <w:rPr>
                <w:rFonts w:hint="eastAsia" w:ascii="Times New Roman" w:hAnsi="Times New Roman" w:eastAsia="宋体"/>
                <w:color w:val="auto"/>
                <w:lang w:val="en-US" w:eastAsia="zh-CN"/>
              </w:rPr>
              <w:t>氯化氢</w:t>
            </w:r>
          </w:p>
          <w:p w14:paraId="27E8CA13">
            <w:pPr>
              <w:pStyle w:val="49"/>
              <w:spacing w:line="360" w:lineRule="auto"/>
              <w:rPr>
                <w:rFonts w:hint="eastAsia" w:ascii="Times New Roman" w:hAnsi="Times New Roman" w:eastAsia="宋体"/>
                <w:color w:val="auto"/>
                <w:sz w:val="24"/>
                <w:szCs w:val="24"/>
              </w:rPr>
            </w:pPr>
            <w:r>
              <w:rPr>
                <w:rFonts w:hint="eastAsia" w:ascii="Times New Roman" w:hAnsi="Times New Roman" w:eastAsia="宋体"/>
                <w:color w:val="auto"/>
                <w:sz w:val="24"/>
                <w:szCs w:val="24"/>
              </w:rPr>
              <w:t>①废气产生量计算</w:t>
            </w:r>
          </w:p>
          <w:p w14:paraId="1F256EC7">
            <w:pPr>
              <w:pStyle w:val="49"/>
              <w:spacing w:line="360" w:lineRule="auto"/>
              <w:rPr>
                <w:rFonts w:hint="eastAsia" w:ascii="Times New Roman" w:hAnsi="Times New Roman" w:eastAsia="宋体"/>
                <w:color w:val="auto"/>
                <w:sz w:val="24"/>
                <w:szCs w:val="24"/>
              </w:rPr>
            </w:pPr>
            <w:r>
              <w:rPr>
                <w:rFonts w:hint="eastAsia" w:ascii="Times New Roman" w:hAnsi="Times New Roman" w:eastAsia="宋体"/>
                <w:color w:val="auto"/>
                <w:sz w:val="24"/>
                <w:szCs w:val="24"/>
              </w:rPr>
              <w:t>本项目有机废气的产生量</w:t>
            </w:r>
            <w:r>
              <w:rPr>
                <w:rFonts w:hint="eastAsia" w:ascii="Times New Roman" w:hAnsi="Times New Roman" w:eastAsia="宋体"/>
                <w:b w:val="0"/>
                <w:bCs w:val="0"/>
                <w:color w:val="auto"/>
                <w:sz w:val="24"/>
                <w:szCs w:val="24"/>
              </w:rPr>
              <w:t>参考</w:t>
            </w:r>
            <w:r>
              <w:rPr>
                <w:rFonts w:hint="eastAsia" w:ascii="Times New Roman" w:hAnsi="Times New Roman" w:eastAsia="宋体"/>
                <w:color w:val="auto"/>
                <w:sz w:val="24"/>
                <w:szCs w:val="24"/>
              </w:rPr>
              <w:t>《有机溶剂挥发量之估算方法》（赵焕之）中有机溶剂挥发量的计算公式进行。具体计算公式如下</w:t>
            </w:r>
          </w:p>
          <w:p w14:paraId="23F40102">
            <w:pPr>
              <w:pStyle w:val="49"/>
              <w:spacing w:line="360" w:lineRule="auto"/>
              <w:ind w:left="0" w:leftChars="0" w:firstLine="0" w:firstLineChars="0"/>
              <w:jc w:val="center"/>
              <w:rPr>
                <w:color w:val="auto"/>
              </w:rPr>
            </w:pPr>
            <w:r>
              <w:rPr>
                <w:color w:val="auto"/>
              </w:rPr>
              <w:drawing>
                <wp:inline distT="0" distB="0" distL="114300" distR="114300">
                  <wp:extent cx="3114675" cy="314325"/>
                  <wp:effectExtent l="0" t="0" r="9525" b="952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9"/>
                          <a:stretch>
                            <a:fillRect/>
                          </a:stretch>
                        </pic:blipFill>
                        <pic:spPr>
                          <a:xfrm>
                            <a:off x="0" y="0"/>
                            <a:ext cx="3114675" cy="314325"/>
                          </a:xfrm>
                          <a:prstGeom prst="rect">
                            <a:avLst/>
                          </a:prstGeom>
                          <a:noFill/>
                          <a:ln>
                            <a:noFill/>
                          </a:ln>
                        </pic:spPr>
                      </pic:pic>
                    </a:graphicData>
                  </a:graphic>
                </wp:inline>
              </w:drawing>
            </w:r>
          </w:p>
          <w:p w14:paraId="435D3420">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式中：F</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蒸发系数；</w:t>
            </w:r>
          </w:p>
          <w:p w14:paraId="55998EF6">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1200" w:firstLineChars="5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V</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蒸发液面表面上的空气流速（m/s），取 0.3m/s。</w:t>
            </w:r>
          </w:p>
          <w:p w14:paraId="57FD48B3">
            <w:pPr>
              <w:pStyle w:val="49"/>
              <w:spacing w:line="360" w:lineRule="auto"/>
              <w:ind w:left="0" w:leftChars="0" w:firstLine="0" w:firstLineChars="0"/>
              <w:jc w:val="center"/>
              <w:rPr>
                <w:color w:val="auto"/>
              </w:rPr>
            </w:pPr>
            <w:r>
              <w:rPr>
                <w:color w:val="auto"/>
              </w:rPr>
              <w:drawing>
                <wp:inline distT="0" distB="0" distL="114300" distR="114300">
                  <wp:extent cx="1504950" cy="295275"/>
                  <wp:effectExtent l="0" t="0" r="0" b="952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0"/>
                          <a:stretch>
                            <a:fillRect/>
                          </a:stretch>
                        </pic:blipFill>
                        <pic:spPr>
                          <a:xfrm>
                            <a:off x="0" y="0"/>
                            <a:ext cx="1504950" cy="295275"/>
                          </a:xfrm>
                          <a:prstGeom prst="rect">
                            <a:avLst/>
                          </a:prstGeom>
                          <a:noFill/>
                          <a:ln>
                            <a:noFill/>
                          </a:ln>
                        </pic:spPr>
                      </pic:pic>
                    </a:graphicData>
                  </a:graphic>
                </wp:inline>
              </w:drawing>
            </w:r>
          </w:p>
          <w:p w14:paraId="5C7CE34E">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式中：Q</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单位面积、单位时间的挥发量（g/h）；</w:t>
            </w:r>
          </w:p>
          <w:p w14:paraId="381EBDB2">
            <w:pPr>
              <w:pStyle w:val="49"/>
              <w:spacing w:line="360" w:lineRule="auto"/>
              <w:ind w:left="0" w:leftChars="0" w:firstLine="1200" w:firstLineChars="500"/>
              <w:jc w:val="both"/>
              <w:rPr>
                <w:rFonts w:hint="default" w:ascii="Times New Roman" w:hAnsi="Times New Roman" w:eastAsia="宋体" w:cs="Times New Roman"/>
                <w:color w:val="auto"/>
              </w:rPr>
            </w:pPr>
            <w:r>
              <w:rPr>
                <w:rFonts w:hint="default" w:ascii="Times New Roman" w:hAnsi="Times New Roman" w:eastAsia="宋体" w:cs="Times New Roman"/>
                <w:color w:val="auto"/>
              </w:rPr>
              <w:t>F</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蒸发系数；</w:t>
            </w:r>
          </w:p>
          <w:p w14:paraId="507CF7E5">
            <w:pPr>
              <w:pStyle w:val="49"/>
              <w:spacing w:line="360" w:lineRule="auto"/>
              <w:ind w:left="0" w:leftChars="0" w:firstLine="1200" w:firstLineChars="500"/>
              <w:jc w:val="both"/>
              <w:rPr>
                <w:rFonts w:hint="default" w:ascii="Times New Roman" w:hAnsi="Times New Roman" w:eastAsia="宋体" w:cs="Times New Roman"/>
                <w:color w:val="auto"/>
              </w:rPr>
            </w:pPr>
            <w:r>
              <w:rPr>
                <w:rFonts w:hint="default" w:ascii="Times New Roman" w:hAnsi="Times New Roman" w:eastAsia="宋体" w:cs="Times New Roman"/>
                <w:color w:val="auto"/>
              </w:rPr>
              <w:t>S</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液体蒸发面的表面积（m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），取 0.03m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w:t>
            </w:r>
          </w:p>
          <w:p w14:paraId="3831B9CB">
            <w:pPr>
              <w:pStyle w:val="49"/>
              <w:spacing w:line="360" w:lineRule="auto"/>
              <w:ind w:left="0" w:leftChars="0" w:firstLine="1200" w:firstLineChars="500"/>
              <w:jc w:val="both"/>
              <w:rPr>
                <w:rFonts w:hint="default" w:ascii="Times New Roman" w:hAnsi="Times New Roman" w:eastAsia="宋体" w:cs="Times New Roman"/>
                <w:color w:val="auto"/>
              </w:rPr>
            </w:pPr>
            <w:r>
              <w:rPr>
                <w:rFonts w:hint="default" w:ascii="Times New Roman" w:hAnsi="Times New Roman" w:eastAsia="宋体" w:cs="Times New Roman"/>
                <w:color w:val="auto"/>
              </w:rPr>
              <w:t>P</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有机溶剂在指定温度下的饱和蒸气压（mmHg），本项取各有机溶剂在常温（25℃）下的饱和蒸气压。</w:t>
            </w:r>
          </w:p>
          <w:p w14:paraId="2D8C83D4">
            <w:pPr>
              <w:pStyle w:val="49"/>
              <w:spacing w:line="360" w:lineRule="auto"/>
              <w:ind w:left="0" w:leftChars="0" w:firstLine="1200" w:firstLineChars="500"/>
              <w:jc w:val="both"/>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液体的分子量（g/mol）；</w:t>
            </w:r>
          </w:p>
          <w:p w14:paraId="6A8FE5E3">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根据公式①计算出蒸发系数F为0.0181。</w:t>
            </w:r>
          </w:p>
          <w:p w14:paraId="5E26BBA0">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根据公式②计算挥发性有机溶剂的挥发量，详见下表</w:t>
            </w:r>
            <w:r>
              <w:rPr>
                <w:rFonts w:hint="eastAsia" w:ascii="Times New Roman" w:hAnsi="Times New Roman" w:eastAsia="宋体" w:cs="Times New Roman"/>
                <w:color w:val="auto"/>
                <w:lang w:val="en-US" w:eastAsia="zh-CN"/>
              </w:rPr>
              <w:t>4.1</w:t>
            </w:r>
            <w:r>
              <w:rPr>
                <w:rFonts w:hint="default" w:ascii="Times New Roman" w:hAnsi="Times New Roman" w:eastAsia="宋体" w:cs="Times New Roman"/>
                <w:color w:val="auto"/>
              </w:rPr>
              <w:t>。</w:t>
            </w:r>
          </w:p>
          <w:p w14:paraId="38FD5976">
            <w:pPr>
              <w:pStyle w:val="4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eastAsia="zh-CN"/>
              </w:rPr>
              <w:t>表</w:t>
            </w:r>
            <w:r>
              <w:rPr>
                <w:rFonts w:hint="eastAsia" w:ascii="Times New Roman" w:hAnsi="Times New Roman" w:eastAsia="宋体" w:cs="Times New Roman"/>
                <w:b/>
                <w:bCs/>
                <w:color w:val="auto"/>
                <w:lang w:val="en-US" w:eastAsia="zh-CN"/>
              </w:rPr>
              <w:t>4.1  项目有机溶剂部分试剂汇总表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105"/>
              <w:gridCol w:w="1392"/>
              <w:gridCol w:w="1393"/>
              <w:gridCol w:w="1394"/>
              <w:gridCol w:w="1394"/>
              <w:gridCol w:w="1394"/>
            </w:tblGrid>
            <w:tr w14:paraId="0E632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vAlign w:val="center"/>
                </w:tcPr>
                <w:p w14:paraId="7273798E">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序号</w:t>
                  </w:r>
                </w:p>
              </w:tc>
              <w:tc>
                <w:tcPr>
                  <w:tcW w:w="2105" w:type="dxa"/>
                  <w:vAlign w:val="center"/>
                </w:tcPr>
                <w:p w14:paraId="60A1CA32">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原辅料名称</w:t>
                  </w:r>
                </w:p>
              </w:tc>
              <w:tc>
                <w:tcPr>
                  <w:tcW w:w="1392" w:type="dxa"/>
                  <w:vAlign w:val="center"/>
                </w:tcPr>
                <w:p w14:paraId="6FDD0C42">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F</w:t>
                  </w:r>
                </w:p>
              </w:tc>
              <w:tc>
                <w:tcPr>
                  <w:tcW w:w="1393" w:type="dxa"/>
                  <w:vAlign w:val="center"/>
                </w:tcPr>
                <w:p w14:paraId="2B1B42AF">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S（m</w:t>
                  </w:r>
                  <w:r>
                    <w:rPr>
                      <w:rFonts w:hint="eastAsia" w:ascii="Times New Roman" w:hAnsi="Times New Roman" w:cs="Times New Roman"/>
                      <w:color w:val="auto"/>
                      <w:sz w:val="21"/>
                      <w:szCs w:val="21"/>
                      <w:vertAlign w:val="superscript"/>
                      <w:lang w:val="en-US" w:eastAsia="zh-CN"/>
                    </w:rPr>
                    <w:t>2</w:t>
                  </w:r>
                  <w:r>
                    <w:rPr>
                      <w:rFonts w:hint="eastAsia" w:ascii="Times New Roman" w:hAnsi="Times New Roman" w:cs="Times New Roman"/>
                      <w:color w:val="auto"/>
                      <w:sz w:val="21"/>
                      <w:szCs w:val="21"/>
                      <w:lang w:val="en-US" w:eastAsia="zh-CN"/>
                    </w:rPr>
                    <w:t>）</w:t>
                  </w:r>
                </w:p>
              </w:tc>
              <w:tc>
                <w:tcPr>
                  <w:tcW w:w="1394" w:type="dxa"/>
                  <w:vAlign w:val="center"/>
                </w:tcPr>
                <w:p w14:paraId="29516980">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P（mmHg）</w:t>
                  </w:r>
                </w:p>
              </w:tc>
              <w:tc>
                <w:tcPr>
                  <w:tcW w:w="1394" w:type="dxa"/>
                  <w:vAlign w:val="center"/>
                </w:tcPr>
                <w:p w14:paraId="2D1F5C08">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M（g/mol）</w:t>
                  </w:r>
                </w:p>
              </w:tc>
              <w:tc>
                <w:tcPr>
                  <w:tcW w:w="1394" w:type="dxa"/>
                  <w:vAlign w:val="center"/>
                </w:tcPr>
                <w:p w14:paraId="769C9EE2">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Q（g/h）</w:t>
                  </w:r>
                </w:p>
              </w:tc>
            </w:tr>
            <w:tr w14:paraId="734A0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vAlign w:val="center"/>
                </w:tcPr>
                <w:p w14:paraId="21652904">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2105" w:type="dxa"/>
                  <w:vAlign w:val="center"/>
                </w:tcPr>
                <w:p w14:paraId="5B324FBE">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无水乙醇</w:t>
                  </w:r>
                </w:p>
              </w:tc>
              <w:tc>
                <w:tcPr>
                  <w:tcW w:w="1392" w:type="dxa"/>
                  <w:vAlign w:val="center"/>
                </w:tcPr>
                <w:p w14:paraId="569DF8DC">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0.0181</w:t>
                  </w:r>
                </w:p>
              </w:tc>
              <w:tc>
                <w:tcPr>
                  <w:tcW w:w="1393" w:type="dxa"/>
                  <w:vAlign w:val="center"/>
                </w:tcPr>
                <w:p w14:paraId="0D9E8D61">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0.03</w:t>
                  </w:r>
                </w:p>
              </w:tc>
              <w:tc>
                <w:tcPr>
                  <w:tcW w:w="1394" w:type="dxa"/>
                  <w:vAlign w:val="center"/>
                </w:tcPr>
                <w:p w14:paraId="4B2CE452">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1394" w:type="dxa"/>
                  <w:vAlign w:val="center"/>
                </w:tcPr>
                <w:p w14:paraId="26933500">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46.07</w:t>
                  </w:r>
                </w:p>
              </w:tc>
              <w:tc>
                <w:tcPr>
                  <w:tcW w:w="1394" w:type="dxa"/>
                  <w:vAlign w:val="center"/>
                </w:tcPr>
                <w:p w14:paraId="6EF3432E">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0.288</w:t>
                  </w:r>
                </w:p>
              </w:tc>
            </w:tr>
            <w:tr w14:paraId="4483D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vAlign w:val="center"/>
                </w:tcPr>
                <w:p w14:paraId="0069047B">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2105" w:type="dxa"/>
                  <w:vAlign w:val="center"/>
                </w:tcPr>
                <w:p w14:paraId="1D449506">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95%乙醇</w:t>
                  </w:r>
                </w:p>
              </w:tc>
              <w:tc>
                <w:tcPr>
                  <w:tcW w:w="1392" w:type="dxa"/>
                  <w:vAlign w:val="center"/>
                </w:tcPr>
                <w:p w14:paraId="16961F7E">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0.0181</w:t>
                  </w:r>
                </w:p>
              </w:tc>
              <w:tc>
                <w:tcPr>
                  <w:tcW w:w="1393" w:type="dxa"/>
                  <w:vAlign w:val="center"/>
                </w:tcPr>
                <w:p w14:paraId="01829371">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0.03</w:t>
                  </w:r>
                </w:p>
              </w:tc>
              <w:tc>
                <w:tcPr>
                  <w:tcW w:w="1394" w:type="dxa"/>
                  <w:vAlign w:val="center"/>
                </w:tcPr>
                <w:p w14:paraId="22A2ADCE">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1394" w:type="dxa"/>
                  <w:vAlign w:val="center"/>
                </w:tcPr>
                <w:p w14:paraId="191C69CF">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46.07</w:t>
                  </w:r>
                </w:p>
              </w:tc>
              <w:tc>
                <w:tcPr>
                  <w:tcW w:w="1394" w:type="dxa"/>
                  <w:vAlign w:val="center"/>
                </w:tcPr>
                <w:p w14:paraId="50B559B5">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0.288</w:t>
                  </w:r>
                </w:p>
              </w:tc>
            </w:tr>
            <w:tr w14:paraId="706AD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vAlign w:val="center"/>
                </w:tcPr>
                <w:p w14:paraId="598814A8">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2105" w:type="dxa"/>
                  <w:vAlign w:val="center"/>
                </w:tcPr>
                <w:p w14:paraId="681CD51F">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甲苯</w:t>
                  </w:r>
                </w:p>
              </w:tc>
              <w:tc>
                <w:tcPr>
                  <w:tcW w:w="1392" w:type="dxa"/>
                  <w:shd w:val="clear" w:color="auto" w:fill="auto"/>
                  <w:vAlign w:val="center"/>
                </w:tcPr>
                <w:p w14:paraId="2B8AA594">
                  <w:pPr>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0.0181</w:t>
                  </w:r>
                </w:p>
              </w:tc>
              <w:tc>
                <w:tcPr>
                  <w:tcW w:w="1393" w:type="dxa"/>
                  <w:shd w:val="clear" w:color="auto" w:fill="auto"/>
                  <w:vAlign w:val="center"/>
                </w:tcPr>
                <w:p w14:paraId="06E02CC2">
                  <w:pPr>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0.03</w:t>
                  </w:r>
                </w:p>
              </w:tc>
              <w:tc>
                <w:tcPr>
                  <w:tcW w:w="1394" w:type="dxa"/>
                  <w:shd w:val="clear" w:color="auto" w:fill="auto"/>
                  <w:vAlign w:val="center"/>
                </w:tcPr>
                <w:p w14:paraId="5FA376A9">
                  <w:pPr>
                    <w:pStyle w:val="34"/>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28.50</w:t>
                  </w:r>
                </w:p>
              </w:tc>
              <w:tc>
                <w:tcPr>
                  <w:tcW w:w="1394" w:type="dxa"/>
                  <w:shd w:val="clear" w:color="auto" w:fill="auto"/>
                  <w:vAlign w:val="center"/>
                </w:tcPr>
                <w:p w14:paraId="7EF77AA6">
                  <w:pPr>
                    <w:pStyle w:val="34"/>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92.14</w:t>
                  </w:r>
                </w:p>
              </w:tc>
              <w:tc>
                <w:tcPr>
                  <w:tcW w:w="1394" w:type="dxa"/>
                  <w:shd w:val="clear" w:color="auto" w:fill="auto"/>
                  <w:vAlign w:val="center"/>
                </w:tcPr>
                <w:p w14:paraId="3700DCD7">
                  <w:pPr>
                    <w:pStyle w:val="34"/>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0.097</w:t>
                  </w:r>
                </w:p>
              </w:tc>
            </w:tr>
            <w:tr w14:paraId="4421A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vAlign w:val="center"/>
                </w:tcPr>
                <w:p w14:paraId="029998D5">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2105" w:type="dxa"/>
                  <w:vAlign w:val="center"/>
                </w:tcPr>
                <w:p w14:paraId="74ACE195">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丙酮</w:t>
                  </w:r>
                </w:p>
              </w:tc>
              <w:tc>
                <w:tcPr>
                  <w:tcW w:w="1392" w:type="dxa"/>
                  <w:shd w:val="clear" w:color="auto" w:fill="auto"/>
                  <w:vAlign w:val="center"/>
                </w:tcPr>
                <w:p w14:paraId="258E79C9">
                  <w:pPr>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0.0181</w:t>
                  </w:r>
                </w:p>
              </w:tc>
              <w:tc>
                <w:tcPr>
                  <w:tcW w:w="1393" w:type="dxa"/>
                  <w:shd w:val="clear" w:color="auto" w:fill="auto"/>
                  <w:vAlign w:val="center"/>
                </w:tcPr>
                <w:p w14:paraId="52B71142">
                  <w:pPr>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0.03</w:t>
                  </w:r>
                </w:p>
              </w:tc>
              <w:tc>
                <w:tcPr>
                  <w:tcW w:w="1394" w:type="dxa"/>
                  <w:shd w:val="clear" w:color="auto" w:fill="auto"/>
                  <w:vAlign w:val="center"/>
                </w:tcPr>
                <w:p w14:paraId="7E82F83E">
                  <w:pPr>
                    <w:pStyle w:val="34"/>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230.05</w:t>
                  </w:r>
                </w:p>
              </w:tc>
              <w:tc>
                <w:tcPr>
                  <w:tcW w:w="1394" w:type="dxa"/>
                  <w:shd w:val="clear" w:color="auto" w:fill="auto"/>
                  <w:vAlign w:val="center"/>
                </w:tcPr>
                <w:p w14:paraId="388FCE26">
                  <w:pPr>
                    <w:pStyle w:val="34"/>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58.08</w:t>
                  </w:r>
                </w:p>
              </w:tc>
              <w:tc>
                <w:tcPr>
                  <w:tcW w:w="1394" w:type="dxa"/>
                  <w:shd w:val="clear" w:color="auto" w:fill="auto"/>
                  <w:vAlign w:val="center"/>
                </w:tcPr>
                <w:p w14:paraId="5FF780BA">
                  <w:pPr>
                    <w:pStyle w:val="34"/>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0.983</w:t>
                  </w:r>
                </w:p>
              </w:tc>
            </w:tr>
            <w:tr w14:paraId="1A2D3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vMerge w:val="restart"/>
                  <w:vAlign w:val="center"/>
                </w:tcPr>
                <w:p w14:paraId="404D4218">
                  <w:pPr>
                    <w:pStyle w:val="34"/>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合计</w:t>
                  </w:r>
                </w:p>
              </w:tc>
              <w:tc>
                <w:tcPr>
                  <w:tcW w:w="7678" w:type="dxa"/>
                  <w:gridSpan w:val="5"/>
                  <w:vAlign w:val="center"/>
                </w:tcPr>
                <w:p w14:paraId="65F32B2B">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非甲烷总烃（NMHC）</w:t>
                  </w:r>
                </w:p>
              </w:tc>
              <w:tc>
                <w:tcPr>
                  <w:tcW w:w="1394" w:type="dxa"/>
                  <w:vAlign w:val="center"/>
                </w:tcPr>
                <w:p w14:paraId="788E1E7E">
                  <w:pPr>
                    <w:pStyle w:val="34"/>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w:t>
                  </w:r>
                  <w:r>
                    <w:rPr>
                      <w:rFonts w:hint="eastAsia" w:ascii="Times New Roman" w:hAnsi="Times New Roman" w:cs="Times New Roman"/>
                      <w:color w:val="auto"/>
                      <w:sz w:val="21"/>
                      <w:szCs w:val="21"/>
                      <w:lang w:val="en-US" w:eastAsia="zh-CN"/>
                    </w:rPr>
                    <w:t>.65</w:t>
                  </w:r>
                  <w:r>
                    <w:rPr>
                      <w:rFonts w:hint="eastAsia" w:cs="Times New Roman"/>
                      <w:color w:val="auto"/>
                      <w:sz w:val="21"/>
                      <w:szCs w:val="21"/>
                      <w:lang w:val="en-US" w:eastAsia="zh-CN"/>
                    </w:rPr>
                    <w:t>6</w:t>
                  </w:r>
                </w:p>
              </w:tc>
            </w:tr>
            <w:tr w14:paraId="7193C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vMerge w:val="continue"/>
                  <w:vAlign w:val="center"/>
                </w:tcPr>
                <w:p w14:paraId="19471E47">
                  <w:pPr>
                    <w:pStyle w:val="34"/>
                    <w:jc w:val="center"/>
                    <w:rPr>
                      <w:rFonts w:hint="eastAsia" w:ascii="Times New Roman" w:hAnsi="Times New Roman" w:cs="Times New Roman"/>
                      <w:color w:val="auto"/>
                      <w:sz w:val="21"/>
                      <w:szCs w:val="21"/>
                      <w:lang w:val="en-US" w:eastAsia="zh-CN"/>
                    </w:rPr>
                  </w:pPr>
                </w:p>
              </w:tc>
              <w:tc>
                <w:tcPr>
                  <w:tcW w:w="7678" w:type="dxa"/>
                  <w:gridSpan w:val="5"/>
                  <w:vAlign w:val="center"/>
                </w:tcPr>
                <w:p w14:paraId="4B7D3742">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甲苯</w:t>
                  </w:r>
                </w:p>
              </w:tc>
              <w:tc>
                <w:tcPr>
                  <w:tcW w:w="1394" w:type="dxa"/>
                  <w:vAlign w:val="center"/>
                </w:tcPr>
                <w:p w14:paraId="14462ACE">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0.097</w:t>
                  </w:r>
                </w:p>
              </w:tc>
            </w:tr>
          </w:tbl>
          <w:p w14:paraId="6FF199C4">
            <w:pPr>
              <w:pStyle w:val="4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b w:val="0"/>
                <w:bCs w:val="0"/>
                <w:color w:val="auto"/>
                <w:lang w:val="en-US" w:eastAsia="zh-CN"/>
              </w:rPr>
            </w:pPr>
            <w:r>
              <w:rPr>
                <w:rFonts w:hint="default" w:ascii="Times New Roman" w:hAnsi="Times New Roman" w:eastAsia="宋体" w:cs="Times New Roman"/>
                <w:b w:val="0"/>
                <w:bCs w:val="0"/>
                <w:color w:val="auto"/>
                <w:lang w:val="en-US" w:eastAsia="zh-CN"/>
              </w:rPr>
              <w:t>根据上表，本项目</w:t>
            </w:r>
            <w:r>
              <w:rPr>
                <w:rFonts w:hint="eastAsia" w:ascii="Times New Roman" w:hAnsi="Times New Roman" w:eastAsia="宋体" w:cs="Times New Roman"/>
                <w:b w:val="0"/>
                <w:bCs w:val="0"/>
                <w:color w:val="auto"/>
                <w:lang w:val="en-US" w:eastAsia="zh-CN"/>
              </w:rPr>
              <w:t>非甲烷总烃（NMHC）</w:t>
            </w:r>
            <w:r>
              <w:rPr>
                <w:rFonts w:hint="default" w:ascii="Times New Roman" w:hAnsi="Times New Roman" w:eastAsia="宋体" w:cs="Times New Roman"/>
                <w:b w:val="0"/>
                <w:bCs w:val="0"/>
                <w:color w:val="auto"/>
                <w:lang w:val="en-US" w:eastAsia="zh-CN"/>
              </w:rPr>
              <w:t>挥发量为</w:t>
            </w:r>
            <w:r>
              <w:rPr>
                <w:rFonts w:hint="eastAsia" w:ascii="Times New Roman" w:hAnsi="Times New Roman" w:eastAsia="宋体" w:cs="Times New Roman"/>
                <w:b w:val="0"/>
                <w:bCs w:val="0"/>
                <w:color w:val="auto"/>
                <w:lang w:val="en-US" w:eastAsia="zh-CN"/>
              </w:rPr>
              <w:t>1.656</w:t>
            </w:r>
            <w:r>
              <w:rPr>
                <w:rFonts w:hint="default" w:ascii="Times New Roman" w:hAnsi="Times New Roman" w:eastAsia="宋体" w:cs="Times New Roman"/>
                <w:b w:val="0"/>
                <w:bCs w:val="0"/>
                <w:color w:val="auto"/>
                <w:lang w:val="en-US" w:eastAsia="zh-CN"/>
              </w:rPr>
              <w:t>g/h，项目年工作20</w:t>
            </w:r>
            <w:r>
              <w:rPr>
                <w:rFonts w:hint="eastAsia" w:ascii="Times New Roman" w:hAnsi="Times New Roman" w:eastAsia="宋体" w:cs="Times New Roman"/>
                <w:b w:val="0"/>
                <w:bCs w:val="0"/>
                <w:color w:val="auto"/>
                <w:lang w:val="en-US" w:eastAsia="zh-CN"/>
              </w:rPr>
              <w:t>00</w:t>
            </w:r>
            <w:r>
              <w:rPr>
                <w:rFonts w:hint="default" w:ascii="Times New Roman" w:hAnsi="Times New Roman" w:eastAsia="宋体" w:cs="Times New Roman"/>
                <w:b w:val="0"/>
                <w:bCs w:val="0"/>
                <w:color w:val="auto"/>
                <w:lang w:val="en-US" w:eastAsia="zh-CN"/>
              </w:rPr>
              <w:t>小时，则</w:t>
            </w:r>
            <w:r>
              <w:rPr>
                <w:rFonts w:hint="eastAsia" w:ascii="Times New Roman" w:hAnsi="Times New Roman" w:eastAsia="宋体" w:cs="Times New Roman"/>
                <w:b w:val="0"/>
                <w:bCs w:val="0"/>
                <w:color w:val="auto"/>
                <w:lang w:val="en-US" w:eastAsia="zh-CN"/>
              </w:rPr>
              <w:t>非甲烷总烃（NMHC）</w:t>
            </w:r>
            <w:r>
              <w:rPr>
                <w:rFonts w:hint="default" w:ascii="Times New Roman" w:hAnsi="Times New Roman" w:eastAsia="宋体" w:cs="Times New Roman"/>
                <w:b w:val="0"/>
                <w:bCs w:val="0"/>
                <w:color w:val="auto"/>
                <w:lang w:val="en-US" w:eastAsia="zh-CN"/>
              </w:rPr>
              <w:t>年挥发量为</w:t>
            </w:r>
            <w:r>
              <w:rPr>
                <w:rFonts w:hint="eastAsia" w:ascii="Times New Roman" w:hAnsi="Times New Roman" w:eastAsia="宋体" w:cs="Times New Roman"/>
                <w:b w:val="0"/>
                <w:bCs w:val="0"/>
                <w:color w:val="auto"/>
                <w:lang w:val="en-US" w:eastAsia="zh-CN"/>
              </w:rPr>
              <w:t>1.656</w:t>
            </w:r>
            <w:r>
              <w:rPr>
                <w:rFonts w:hint="default" w:ascii="Times New Roman" w:hAnsi="Times New Roman" w:eastAsia="宋体" w:cs="Times New Roman"/>
                <w:b w:val="0"/>
                <w:bCs w:val="0"/>
                <w:color w:val="auto"/>
                <w:lang w:val="en-US" w:eastAsia="zh-CN"/>
              </w:rPr>
              <w:t>g/h×2</w:t>
            </w:r>
            <w:r>
              <w:rPr>
                <w:rFonts w:hint="eastAsia" w:ascii="Times New Roman" w:hAnsi="Times New Roman" w:eastAsia="宋体" w:cs="Times New Roman"/>
                <w:b w:val="0"/>
                <w:bCs w:val="0"/>
                <w:color w:val="auto"/>
                <w:lang w:val="en-US" w:eastAsia="zh-CN"/>
              </w:rPr>
              <w:t>00</w:t>
            </w:r>
            <w:r>
              <w:rPr>
                <w:rFonts w:hint="default" w:ascii="Times New Roman" w:hAnsi="Times New Roman" w:eastAsia="宋体" w:cs="Times New Roman"/>
                <w:b w:val="0"/>
                <w:bCs w:val="0"/>
                <w:color w:val="auto"/>
                <w:lang w:val="en-US" w:eastAsia="zh-CN"/>
              </w:rPr>
              <w:t>0h=</w:t>
            </w:r>
            <w:r>
              <w:rPr>
                <w:rFonts w:hint="eastAsia" w:ascii="Times New Roman" w:hAnsi="Times New Roman" w:eastAsia="宋体" w:cs="Times New Roman"/>
                <w:b w:val="0"/>
                <w:bCs w:val="0"/>
                <w:color w:val="auto"/>
                <w:lang w:val="en-US" w:eastAsia="zh-CN"/>
              </w:rPr>
              <w:t>3.31kg</w:t>
            </w:r>
            <w:r>
              <w:rPr>
                <w:rFonts w:hint="default" w:ascii="Times New Roman" w:hAnsi="Times New Roman" w:eastAsia="宋体" w:cs="Times New Roman"/>
                <w:b w:val="0"/>
                <w:bCs w:val="0"/>
                <w:color w:val="auto"/>
                <w:lang w:val="en-US" w:eastAsia="zh-CN"/>
              </w:rPr>
              <w:t>/a</w:t>
            </w:r>
            <w:r>
              <w:rPr>
                <w:rFonts w:hint="eastAsia" w:ascii="Times New Roman" w:hAnsi="Times New Roman" w:eastAsia="宋体" w:cs="Times New Roman"/>
                <w:b w:val="0"/>
                <w:bCs w:val="0"/>
                <w:color w:val="auto"/>
                <w:lang w:val="en-US" w:eastAsia="zh-CN"/>
              </w:rPr>
              <w:t>=0.00331</w:t>
            </w:r>
            <w:r>
              <w:rPr>
                <w:rFonts w:hint="default" w:ascii="Times New Roman" w:hAnsi="Times New Roman" w:eastAsia="宋体" w:cs="Times New Roman"/>
                <w:b w:val="0"/>
                <w:bCs w:val="0"/>
                <w:color w:val="auto"/>
                <w:lang w:val="en-US" w:eastAsia="zh-CN"/>
              </w:rPr>
              <w:t>t/a，甲苯挥发量为0.09</w:t>
            </w:r>
            <w:r>
              <w:rPr>
                <w:rFonts w:hint="eastAsia" w:ascii="Times New Roman" w:hAnsi="Times New Roman" w:eastAsia="宋体" w:cs="Times New Roman"/>
                <w:b w:val="0"/>
                <w:bCs w:val="0"/>
                <w:color w:val="auto"/>
                <w:lang w:val="en-US" w:eastAsia="zh-CN"/>
              </w:rPr>
              <w:t>7</w:t>
            </w:r>
            <w:r>
              <w:rPr>
                <w:rFonts w:hint="default" w:ascii="Times New Roman" w:hAnsi="Times New Roman" w:eastAsia="宋体" w:cs="Times New Roman"/>
                <w:b w:val="0"/>
                <w:bCs w:val="0"/>
                <w:color w:val="auto"/>
                <w:lang w:val="en-US" w:eastAsia="zh-CN"/>
              </w:rPr>
              <w:t>g/h×20</w:t>
            </w:r>
            <w:r>
              <w:rPr>
                <w:rFonts w:hint="eastAsia" w:ascii="Times New Roman" w:hAnsi="Times New Roman" w:eastAsia="宋体" w:cs="Times New Roman"/>
                <w:b w:val="0"/>
                <w:bCs w:val="0"/>
                <w:color w:val="auto"/>
                <w:lang w:val="en-US" w:eastAsia="zh-CN"/>
              </w:rPr>
              <w:t>0</w:t>
            </w:r>
            <w:r>
              <w:rPr>
                <w:rFonts w:hint="default" w:ascii="Times New Roman" w:hAnsi="Times New Roman" w:eastAsia="宋体" w:cs="Times New Roman"/>
                <w:b w:val="0"/>
                <w:bCs w:val="0"/>
                <w:color w:val="auto"/>
                <w:lang w:val="en-US" w:eastAsia="zh-CN"/>
              </w:rPr>
              <w:t>0h=</w:t>
            </w:r>
            <w:r>
              <w:rPr>
                <w:rFonts w:hint="eastAsia" w:ascii="Times New Roman" w:hAnsi="Times New Roman" w:eastAsia="宋体" w:cs="Times New Roman"/>
                <w:b w:val="0"/>
                <w:bCs w:val="0"/>
                <w:color w:val="auto"/>
                <w:lang w:val="en-US" w:eastAsia="zh-CN"/>
              </w:rPr>
              <w:t>0.194</w:t>
            </w:r>
            <w:r>
              <w:rPr>
                <w:rFonts w:hint="eastAsia" w:ascii="宋体" w:hAnsi="宋体" w:eastAsia="宋体" w:cs="宋体"/>
                <w:b w:val="0"/>
                <w:bCs w:val="0"/>
                <w:color w:val="auto"/>
                <w:lang w:val="en-US" w:eastAsia="zh-CN"/>
              </w:rPr>
              <w:t>kg/a=0.000194t/a</w:t>
            </w:r>
            <w:r>
              <w:rPr>
                <w:rFonts w:hint="eastAsia" w:ascii="宋体" w:hAnsi="宋体" w:eastAsia="宋体" w:cs="宋体"/>
                <w:color w:val="auto"/>
                <w:sz w:val="24"/>
                <w:lang w:eastAsia="zh-CN"/>
              </w:rPr>
              <w:t>，氯化氢量为</w:t>
            </w:r>
            <w:r>
              <w:rPr>
                <w:rFonts w:hint="eastAsia" w:ascii="宋体" w:hAnsi="宋体" w:eastAsia="宋体" w:cs="宋体"/>
                <w:color w:val="auto"/>
                <w:sz w:val="24"/>
                <w:lang w:val="en-US" w:eastAsia="zh-CN"/>
              </w:rPr>
              <w:t>1.35×10</w:t>
            </w:r>
            <w:r>
              <w:rPr>
                <w:rFonts w:hint="eastAsia" w:ascii="宋体" w:hAnsi="宋体" w:eastAsia="宋体" w:cs="宋体"/>
                <w:color w:val="auto"/>
                <w:sz w:val="24"/>
                <w:vertAlign w:val="superscript"/>
                <w:lang w:val="en-US" w:eastAsia="zh-CN"/>
              </w:rPr>
              <w:t>-4</w:t>
            </w:r>
            <w:r>
              <w:rPr>
                <w:rFonts w:hint="eastAsia" w:ascii="宋体" w:hAnsi="宋体" w:eastAsia="宋体" w:cs="宋体"/>
                <w:color w:val="auto"/>
                <w:sz w:val="24"/>
                <w:lang w:val="en-US" w:eastAsia="zh-CN"/>
              </w:rPr>
              <w:t>kg/a</w:t>
            </w:r>
            <w:r>
              <w:rPr>
                <w:rFonts w:hint="eastAsia" w:ascii="宋体" w:hAnsi="宋体" w:eastAsia="宋体" w:cs="宋体"/>
                <w:color w:val="auto"/>
                <w:sz w:val="24"/>
                <w:lang w:eastAsia="zh-CN"/>
              </w:rPr>
              <w:t>。</w:t>
            </w:r>
          </w:p>
          <w:p w14:paraId="692135D9">
            <w:pPr>
              <w:pStyle w:val="49"/>
              <w:spacing w:line="360" w:lineRule="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rPr>
              <w:t>本项目检测分析、清洗</w:t>
            </w:r>
            <w:r>
              <w:rPr>
                <w:rFonts w:hint="eastAsia" w:ascii="Times New Roman" w:hAnsi="Times New Roman" w:eastAsia="宋体"/>
                <w:color w:val="auto"/>
                <w:sz w:val="24"/>
                <w:szCs w:val="24"/>
                <w:lang w:eastAsia="zh-CN"/>
              </w:rPr>
              <w:t>等实验工序</w:t>
            </w:r>
            <w:r>
              <w:rPr>
                <w:rFonts w:hint="eastAsia" w:ascii="Times New Roman" w:hAnsi="Times New Roman" w:eastAsia="宋体"/>
                <w:color w:val="auto"/>
                <w:sz w:val="24"/>
                <w:szCs w:val="24"/>
              </w:rPr>
              <w:t>产生的有机废气在通风橱内收集，建设单位拟设置集气罩及通风橱。</w:t>
            </w:r>
            <w:r>
              <w:rPr>
                <w:rFonts w:hint="eastAsia" w:ascii="Times New Roman" w:hAnsi="Times New Roman" w:eastAsia="宋体"/>
                <w:color w:val="auto"/>
                <w:sz w:val="24"/>
                <w:szCs w:val="24"/>
                <w:lang w:eastAsia="zh-CN"/>
              </w:rPr>
              <w:t>根据设计单位提供的资料，为满足处理风量要求，排气筒风机设计收集风量为</w:t>
            </w:r>
            <w:r>
              <w:rPr>
                <w:rFonts w:hint="eastAsia" w:ascii="Times New Roman" w:hAnsi="Times New Roman" w:eastAsia="宋体"/>
                <w:color w:val="auto"/>
                <w:sz w:val="24"/>
                <w:szCs w:val="24"/>
                <w:lang w:val="en-US" w:eastAsia="zh-CN"/>
              </w:rPr>
              <w:t>5</w:t>
            </w:r>
            <w:r>
              <w:rPr>
                <w:rFonts w:hint="eastAsia" w:ascii="Times New Roman" w:hAnsi="Times New Roman" w:eastAsia="宋体"/>
                <w:color w:val="auto"/>
                <w:sz w:val="24"/>
                <w:szCs w:val="24"/>
                <w:lang w:eastAsia="zh-CN"/>
              </w:rPr>
              <w:t>000m</w:t>
            </w:r>
            <w:r>
              <w:rPr>
                <w:rFonts w:hint="eastAsia" w:ascii="Times New Roman" w:hAnsi="Times New Roman" w:eastAsia="宋体"/>
                <w:color w:val="auto"/>
                <w:sz w:val="24"/>
                <w:szCs w:val="24"/>
                <w:vertAlign w:val="superscript"/>
                <w:lang w:eastAsia="zh-CN"/>
              </w:rPr>
              <w:t>3</w:t>
            </w:r>
            <w:r>
              <w:rPr>
                <w:rFonts w:hint="eastAsia" w:ascii="Times New Roman" w:hAnsi="Times New Roman" w:eastAsia="宋体"/>
                <w:color w:val="auto"/>
                <w:sz w:val="24"/>
                <w:szCs w:val="24"/>
                <w:lang w:eastAsia="zh-CN"/>
              </w:rPr>
              <w:t>/h。</w:t>
            </w:r>
          </w:p>
          <w:p w14:paraId="79FB328F">
            <w:pPr>
              <w:pStyle w:val="49"/>
              <w:spacing w:line="360" w:lineRule="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eastAsia="zh-CN"/>
              </w:rPr>
              <w:t>项目往吸入口方向的控制风速为 0.5m/s，废气收集效率取</w:t>
            </w:r>
            <w:r>
              <w:rPr>
                <w:rFonts w:hint="eastAsia" w:ascii="Times New Roman" w:hAnsi="Times New Roman" w:eastAsia="宋体"/>
                <w:color w:val="auto"/>
                <w:sz w:val="24"/>
                <w:szCs w:val="24"/>
                <w:lang w:val="en-US" w:eastAsia="zh-CN"/>
              </w:rPr>
              <w:t>90</w:t>
            </w:r>
            <w:r>
              <w:rPr>
                <w:rFonts w:hint="eastAsia" w:ascii="Times New Roman" w:hAnsi="Times New Roman" w:eastAsia="宋体"/>
                <w:color w:val="auto"/>
                <w:sz w:val="24"/>
                <w:szCs w:val="24"/>
                <w:lang w:eastAsia="zh-CN"/>
              </w:rPr>
              <w:t>%。</w:t>
            </w:r>
          </w:p>
          <w:p w14:paraId="00AE6519">
            <w:pPr>
              <w:pStyle w:val="49"/>
              <w:spacing w:line="360" w:lineRule="auto"/>
              <w:rPr>
                <w:rFonts w:hint="eastAsia" w:ascii="Times New Roman" w:hAnsi="Times New Roman" w:eastAsia="宋体"/>
                <w:color w:val="auto"/>
                <w:sz w:val="24"/>
                <w:szCs w:val="24"/>
              </w:rPr>
            </w:pPr>
            <w:r>
              <w:rPr>
                <w:rFonts w:hint="eastAsia" w:ascii="Times New Roman" w:hAnsi="Times New Roman" w:eastAsia="宋体"/>
                <w:color w:val="auto"/>
                <w:sz w:val="24"/>
                <w:szCs w:val="24"/>
              </w:rPr>
              <w:t>根据《吸附法工业有机废气治理工程技术规范》（HJ2026-2013）等提出的关于活性炭吸附有机废气的处理效率，基本在50%</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90%之间，综合考虑本项目有机废气产生量很小，</w:t>
            </w:r>
            <w:r>
              <w:rPr>
                <w:rFonts w:hint="eastAsia" w:ascii="Times New Roman" w:hAnsi="Times New Roman" w:eastAsia="宋体"/>
                <w:color w:val="auto"/>
                <w:sz w:val="24"/>
                <w:szCs w:val="24"/>
                <w:lang w:eastAsia="zh-CN"/>
              </w:rPr>
              <w:t>本项目设置两级活性炭，</w:t>
            </w:r>
            <w:r>
              <w:rPr>
                <w:rFonts w:hint="eastAsia" w:ascii="Times New Roman" w:hAnsi="Times New Roman" w:eastAsia="宋体"/>
                <w:color w:val="auto"/>
                <w:sz w:val="24"/>
                <w:szCs w:val="24"/>
              </w:rPr>
              <w:t>保守起见，本环评取</w:t>
            </w:r>
            <w:r>
              <w:rPr>
                <w:rFonts w:hint="eastAsia" w:ascii="Times New Roman" w:hAnsi="Times New Roman" w:eastAsia="宋体"/>
                <w:color w:val="auto"/>
                <w:sz w:val="24"/>
                <w:szCs w:val="24"/>
                <w:lang w:val="en-US" w:eastAsia="zh-CN"/>
              </w:rPr>
              <w:t>9</w:t>
            </w:r>
            <w:r>
              <w:rPr>
                <w:rFonts w:hint="eastAsia" w:ascii="Times New Roman" w:hAnsi="Times New Roman" w:eastAsia="宋体"/>
                <w:color w:val="auto"/>
                <w:sz w:val="24"/>
                <w:szCs w:val="24"/>
              </w:rPr>
              <w:t>0%作为本项目的处理效率。</w:t>
            </w:r>
          </w:p>
          <w:p w14:paraId="36329AC1">
            <w:pPr>
              <w:pStyle w:val="49"/>
              <w:spacing w:line="360" w:lineRule="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由以上可知，非甲烷总烃</w:t>
            </w:r>
            <w:r>
              <w:rPr>
                <w:rFonts w:hint="default" w:ascii="Times New Roman" w:hAnsi="Times New Roman" w:eastAsia="宋体" w:cs="Times New Roman"/>
                <w:color w:val="auto"/>
                <w:sz w:val="24"/>
              </w:rPr>
              <w:t>有组织产生量为</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val="en-US" w:eastAsia="zh-CN"/>
              </w:rPr>
              <w:t>.379kg</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产生速率约为</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.19×10</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kg/h，产生浓度为</w:t>
            </w:r>
            <w:r>
              <w:rPr>
                <w:rFonts w:hint="default" w:ascii="Times New Roman" w:hAnsi="Times New Roman" w:eastAsia="宋体" w:cs="Times New Roman"/>
                <w:color w:val="auto"/>
                <w:sz w:val="24"/>
                <w:lang w:val="en-US" w:eastAsia="zh-CN"/>
              </w:rPr>
              <w:t>0.838</w:t>
            </w:r>
            <w:r>
              <w:rPr>
                <w:rFonts w:hint="default" w:ascii="Times New Roman" w:hAnsi="Times New Roman" w:eastAsia="宋体" w:cs="Times New Roman"/>
                <w:color w:val="auto"/>
                <w:sz w:val="24"/>
              </w:rPr>
              <w:t>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lang w:eastAsia="zh-CN"/>
              </w:rPr>
              <w:t>；甲苯</w:t>
            </w:r>
            <w:r>
              <w:rPr>
                <w:rFonts w:hint="default" w:ascii="Times New Roman" w:hAnsi="Times New Roman" w:eastAsia="宋体" w:cs="Times New Roman"/>
                <w:color w:val="auto"/>
                <w:sz w:val="24"/>
              </w:rPr>
              <w:t>有组织产生量为</w:t>
            </w:r>
            <w:r>
              <w:rPr>
                <w:rFonts w:hint="default" w:ascii="Times New Roman" w:hAnsi="Times New Roman" w:eastAsia="宋体" w:cs="Times New Roman"/>
                <w:color w:val="auto"/>
                <w:sz w:val="24"/>
                <w:lang w:val="en-US" w:eastAsia="zh-CN"/>
              </w:rPr>
              <w:t>0.1746kg</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产生速率为</w:t>
            </w:r>
            <w:r>
              <w:rPr>
                <w:rFonts w:hint="default" w:ascii="Times New Roman" w:hAnsi="Times New Roman" w:eastAsia="宋体" w:cs="Times New Roman"/>
                <w:color w:val="auto"/>
                <w:sz w:val="24"/>
                <w:lang w:val="en-US" w:eastAsia="zh-CN"/>
              </w:rPr>
              <w:t>8.73×10</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kg/h，产生浓度为</w:t>
            </w:r>
            <w:r>
              <w:rPr>
                <w:rFonts w:hint="default" w:ascii="Times New Roman" w:hAnsi="Times New Roman" w:eastAsia="宋体" w:cs="Times New Roman"/>
                <w:color w:val="auto"/>
                <w:sz w:val="24"/>
                <w:lang w:val="en-US" w:eastAsia="zh-CN"/>
              </w:rPr>
              <w:t>1.746</w:t>
            </w:r>
            <w:r>
              <w:rPr>
                <w:rFonts w:hint="default" w:ascii="Times New Roman" w:hAnsi="Times New Roman" w:eastAsia="宋体" w:cs="Times New Roman"/>
                <w:color w:val="auto"/>
                <w:sz w:val="24"/>
              </w:rPr>
              <w:t>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lang w:eastAsia="zh-CN"/>
              </w:rPr>
              <w:t>；二级</w:t>
            </w:r>
            <w:r>
              <w:rPr>
                <w:rFonts w:hint="default" w:ascii="Times New Roman" w:hAnsi="Times New Roman" w:eastAsia="宋体" w:cs="Times New Roman"/>
                <w:color w:val="auto"/>
                <w:sz w:val="24"/>
              </w:rPr>
              <w:t>活性炭吸附效率</w:t>
            </w:r>
            <w:r>
              <w:rPr>
                <w:rFonts w:hint="default" w:ascii="Times New Roman" w:hAnsi="Times New Roman" w:eastAsia="宋体" w:cs="Times New Roman"/>
                <w:color w:val="auto"/>
                <w:sz w:val="24"/>
                <w:lang w:eastAsia="zh-CN"/>
              </w:rPr>
              <w:t>设计为</w:t>
            </w:r>
            <w:r>
              <w:rPr>
                <w:rFonts w:hint="default" w:ascii="Times New Roman" w:hAnsi="Times New Roman" w:eastAsia="宋体" w:cs="Times New Roman"/>
                <w:color w:val="auto"/>
                <w:sz w:val="24"/>
              </w:rPr>
              <w:t>90%，则本项目</w:t>
            </w:r>
            <w:r>
              <w:rPr>
                <w:rFonts w:hint="default" w:ascii="Times New Roman" w:hAnsi="Times New Roman" w:eastAsia="宋体" w:cs="Times New Roman"/>
                <w:color w:val="auto"/>
                <w:sz w:val="24"/>
                <w:lang w:eastAsia="zh-CN"/>
              </w:rPr>
              <w:t>非甲烷总烃</w:t>
            </w:r>
            <w:r>
              <w:rPr>
                <w:rFonts w:hint="default" w:ascii="Times New Roman" w:hAnsi="Times New Roman" w:eastAsia="宋体" w:cs="Times New Roman"/>
                <w:color w:val="auto"/>
                <w:sz w:val="24"/>
              </w:rPr>
              <w:t>有组织</w:t>
            </w:r>
            <w:r>
              <w:rPr>
                <w:rFonts w:hint="default" w:ascii="Times New Roman" w:hAnsi="Times New Roman" w:eastAsia="宋体" w:cs="Times New Roman"/>
                <w:color w:val="auto"/>
                <w:sz w:val="24"/>
                <w:lang w:eastAsia="zh-CN"/>
              </w:rPr>
              <w:t>排放</w:t>
            </w:r>
            <w:r>
              <w:rPr>
                <w:rFonts w:hint="default" w:ascii="Times New Roman" w:hAnsi="Times New Roman" w:eastAsia="宋体" w:cs="Times New Roman"/>
                <w:color w:val="auto"/>
                <w:sz w:val="24"/>
              </w:rPr>
              <w:t>量为</w:t>
            </w:r>
            <w:r>
              <w:rPr>
                <w:rFonts w:hint="default" w:ascii="Times New Roman" w:hAnsi="Times New Roman" w:eastAsia="宋体" w:cs="Times New Roman"/>
                <w:color w:val="auto"/>
                <w:sz w:val="24"/>
                <w:lang w:val="en-US" w:eastAsia="zh-CN"/>
              </w:rPr>
              <w:t>0.8379kg</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，排放速率为</w:t>
            </w:r>
            <w:r>
              <w:rPr>
                <w:rFonts w:hint="default" w:ascii="Times New Roman" w:hAnsi="Times New Roman" w:eastAsia="宋体" w:cs="Times New Roman"/>
                <w:color w:val="auto"/>
                <w:sz w:val="24"/>
                <w:lang w:val="en-US" w:eastAsia="zh-CN"/>
              </w:rPr>
              <w:t>4.19×10</w:t>
            </w:r>
            <w:r>
              <w:rPr>
                <w:rFonts w:hint="default" w:ascii="Times New Roman" w:hAnsi="Times New Roman" w:eastAsia="宋体" w:cs="Times New Roman"/>
                <w:color w:val="auto"/>
                <w:sz w:val="24"/>
                <w:vertAlign w:val="superscript"/>
                <w:lang w:val="en-US" w:eastAsia="zh-CN"/>
              </w:rPr>
              <w:t>-4</w:t>
            </w:r>
            <w:r>
              <w:rPr>
                <w:rFonts w:hint="default" w:ascii="Times New Roman" w:hAnsi="Times New Roman" w:eastAsia="宋体" w:cs="Times New Roman"/>
                <w:color w:val="auto"/>
                <w:sz w:val="24"/>
              </w:rPr>
              <w:t>kg/h，</w:t>
            </w:r>
            <w:r>
              <w:rPr>
                <w:rFonts w:hint="default" w:ascii="Times New Roman" w:hAnsi="Times New Roman" w:eastAsia="宋体" w:cs="Times New Roman"/>
                <w:color w:val="auto"/>
                <w:sz w:val="24"/>
                <w:lang w:eastAsia="zh-CN"/>
              </w:rPr>
              <w:t>排放</w:t>
            </w:r>
            <w:r>
              <w:rPr>
                <w:rFonts w:hint="default" w:ascii="Times New Roman" w:hAnsi="Times New Roman" w:eastAsia="宋体" w:cs="Times New Roman"/>
                <w:color w:val="auto"/>
                <w:sz w:val="24"/>
              </w:rPr>
              <w:t>浓度为</w:t>
            </w:r>
            <w:r>
              <w:rPr>
                <w:rFonts w:hint="default" w:ascii="Times New Roman" w:hAnsi="Times New Roman" w:eastAsia="宋体" w:cs="Times New Roman"/>
                <w:color w:val="auto"/>
                <w:sz w:val="24"/>
                <w:lang w:val="en-US" w:eastAsia="zh-CN"/>
              </w:rPr>
              <w:t>0.0838</w:t>
            </w:r>
            <w:r>
              <w:rPr>
                <w:rFonts w:hint="default" w:ascii="Times New Roman" w:hAnsi="Times New Roman" w:eastAsia="宋体" w:cs="Times New Roman"/>
                <w:color w:val="auto"/>
                <w:sz w:val="24"/>
              </w:rPr>
              <w:t>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lang w:eastAsia="zh-CN"/>
              </w:rPr>
              <w:t>；甲苯</w:t>
            </w:r>
            <w:r>
              <w:rPr>
                <w:rFonts w:hint="default" w:ascii="Times New Roman" w:hAnsi="Times New Roman" w:eastAsia="宋体" w:cs="Times New Roman"/>
                <w:color w:val="auto"/>
                <w:sz w:val="24"/>
              </w:rPr>
              <w:t>有组织</w:t>
            </w:r>
            <w:r>
              <w:rPr>
                <w:rFonts w:hint="default" w:ascii="Times New Roman" w:hAnsi="Times New Roman" w:eastAsia="宋体" w:cs="Times New Roman"/>
                <w:color w:val="auto"/>
                <w:sz w:val="24"/>
                <w:lang w:eastAsia="zh-CN"/>
              </w:rPr>
              <w:t>排放</w:t>
            </w:r>
            <w:r>
              <w:rPr>
                <w:rFonts w:hint="default" w:ascii="Times New Roman" w:hAnsi="Times New Roman" w:eastAsia="宋体" w:cs="Times New Roman"/>
                <w:color w:val="auto"/>
                <w:sz w:val="24"/>
              </w:rPr>
              <w:t>量为</w:t>
            </w:r>
            <w:r>
              <w:rPr>
                <w:rFonts w:hint="default" w:ascii="Times New Roman" w:hAnsi="Times New Roman" w:eastAsia="宋体" w:cs="Times New Roman"/>
                <w:color w:val="auto"/>
                <w:sz w:val="24"/>
                <w:lang w:val="en-US" w:eastAsia="zh-CN"/>
              </w:rPr>
              <w:t>0.0175kg</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排放速率为</w:t>
            </w:r>
            <w:r>
              <w:rPr>
                <w:rFonts w:hint="default" w:ascii="Times New Roman" w:hAnsi="Times New Roman" w:eastAsia="宋体" w:cs="Times New Roman"/>
                <w:color w:val="auto"/>
                <w:sz w:val="24"/>
                <w:lang w:val="en-US" w:eastAsia="zh-CN"/>
              </w:rPr>
              <w:t>8.73×10</w:t>
            </w:r>
            <w:r>
              <w:rPr>
                <w:rFonts w:hint="default" w:ascii="Times New Roman" w:hAnsi="Times New Roman" w:eastAsia="宋体" w:cs="Times New Roman"/>
                <w:color w:val="auto"/>
                <w:sz w:val="24"/>
                <w:vertAlign w:val="superscript"/>
                <w:lang w:val="en-US" w:eastAsia="zh-CN"/>
              </w:rPr>
              <w:t>-4</w:t>
            </w:r>
            <w:r>
              <w:rPr>
                <w:rFonts w:hint="default" w:ascii="Times New Roman" w:hAnsi="Times New Roman" w:eastAsia="宋体" w:cs="Times New Roman"/>
                <w:color w:val="auto"/>
                <w:sz w:val="24"/>
              </w:rPr>
              <w:t>kg/h，</w:t>
            </w:r>
            <w:r>
              <w:rPr>
                <w:rFonts w:hint="default" w:ascii="Times New Roman" w:hAnsi="Times New Roman" w:eastAsia="宋体" w:cs="Times New Roman"/>
                <w:color w:val="auto"/>
                <w:sz w:val="24"/>
                <w:lang w:eastAsia="zh-CN"/>
              </w:rPr>
              <w:t>排放</w:t>
            </w:r>
            <w:r>
              <w:rPr>
                <w:rFonts w:hint="default" w:ascii="Times New Roman" w:hAnsi="Times New Roman" w:eastAsia="宋体" w:cs="Times New Roman"/>
                <w:color w:val="auto"/>
                <w:sz w:val="24"/>
              </w:rPr>
              <w:t>浓度为</w:t>
            </w:r>
            <w:r>
              <w:rPr>
                <w:rFonts w:hint="default" w:ascii="Times New Roman" w:hAnsi="Times New Roman" w:eastAsia="宋体" w:cs="Times New Roman"/>
                <w:color w:val="auto"/>
                <w:sz w:val="24"/>
                <w:lang w:val="en-US" w:eastAsia="zh-CN"/>
              </w:rPr>
              <w:t>0.1746</w:t>
            </w:r>
            <w:r>
              <w:rPr>
                <w:rFonts w:hint="default" w:ascii="Times New Roman" w:hAnsi="Times New Roman" w:eastAsia="宋体" w:cs="Times New Roman"/>
                <w:color w:val="auto"/>
                <w:sz w:val="24"/>
              </w:rPr>
              <w:t>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eastAsia="zh-CN"/>
              </w:rPr>
              <w:t>经“</w:t>
            </w:r>
            <w:r>
              <w:rPr>
                <w:rFonts w:hint="eastAsia" w:ascii="Times New Roman" w:hAnsi="Times New Roman" w:eastAsia="宋体" w:cs="Times New Roman"/>
                <w:color w:val="auto"/>
                <w:sz w:val="24"/>
                <w:lang w:val="en-US" w:eastAsia="zh-CN"/>
              </w:rPr>
              <w:t>水喷淋+脱水除雾器+</w:t>
            </w:r>
            <w:r>
              <w:rPr>
                <w:rFonts w:hint="default" w:ascii="Times New Roman" w:hAnsi="Times New Roman" w:eastAsia="宋体" w:cs="Times New Roman"/>
                <w:color w:val="auto"/>
                <w:sz w:val="24"/>
                <w:lang w:val="en-US" w:eastAsia="zh-CN"/>
              </w:rPr>
              <w:t>两级活性炭</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eastAsia="zh-CN"/>
              </w:rPr>
              <w:t>吸附处理后的废气由</w:t>
            </w:r>
            <w:r>
              <w:rPr>
                <w:rFonts w:hint="eastAsia" w:ascii="Times New Roman" w:hAnsi="Times New Roman" w:eastAsia="宋体" w:cs="Times New Roman"/>
                <w:color w:val="auto"/>
                <w:sz w:val="24"/>
                <w:lang w:val="en-US" w:eastAsia="zh-CN"/>
              </w:rPr>
              <w:t>原排气筒（DA001）排放。</w:t>
            </w:r>
          </w:p>
          <w:p w14:paraId="051DC71E">
            <w:pPr>
              <w:pStyle w:val="34"/>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default" w:ascii="Times New Roman" w:hAnsi="Times New Roman" w:cs="Times New Roman" w:eastAsiaTheme="minorEastAsia"/>
                <w:color w:val="auto"/>
                <w:sz w:val="24"/>
                <w:szCs w:val="24"/>
                <w:lang w:eastAsia="zh-CN"/>
              </w:rPr>
            </w:pPr>
            <w:r>
              <w:rPr>
                <w:rFonts w:hint="eastAsia" w:ascii="Times New Roman" w:hAnsi="Times New Roman" w:cs="Times New Roman"/>
                <w:color w:val="auto"/>
                <w:sz w:val="24"/>
                <w:lang w:eastAsia="zh-CN"/>
              </w:rPr>
              <w:t>“</w:t>
            </w:r>
            <w:r>
              <w:rPr>
                <w:rFonts w:hint="eastAsia" w:cs="Times New Roman"/>
                <w:color w:val="auto"/>
                <w:sz w:val="24"/>
                <w:lang w:val="en-US" w:eastAsia="zh-CN"/>
              </w:rPr>
              <w:t>封闭微负压</w:t>
            </w:r>
            <w:r>
              <w:rPr>
                <w:rFonts w:hint="eastAsia" w:ascii="Times New Roman" w:hAnsi="Times New Roman" w:cs="Times New Roman"/>
                <w:color w:val="auto"/>
                <w:sz w:val="24"/>
                <w:lang w:eastAsia="zh-CN"/>
              </w:rPr>
              <w:t>或通风橱”收集系统</w:t>
            </w:r>
            <w:r>
              <w:rPr>
                <w:rFonts w:hint="default" w:ascii="Times New Roman" w:hAnsi="Times New Roman" w:cs="Times New Roman"/>
                <w:color w:val="auto"/>
                <w:sz w:val="24"/>
                <w:szCs w:val="24"/>
                <w:lang w:eastAsia="zh-CN"/>
              </w:rPr>
              <w:t>未收集的非甲烷总烃量</w:t>
            </w:r>
            <w:r>
              <w:rPr>
                <w:rFonts w:hint="eastAsia" w:cs="Times New Roman"/>
                <w:color w:val="auto"/>
                <w:sz w:val="24"/>
                <w:szCs w:val="24"/>
                <w:lang w:eastAsia="zh-CN"/>
              </w:rPr>
              <w:t>约</w:t>
            </w:r>
            <w:r>
              <w:rPr>
                <w:rFonts w:hint="default" w:ascii="Times New Roman" w:hAnsi="Times New Roman" w:cs="Times New Roman"/>
                <w:color w:val="auto"/>
                <w:sz w:val="24"/>
                <w:szCs w:val="24"/>
                <w:lang w:eastAsia="zh-CN"/>
              </w:rPr>
              <w:t>为</w:t>
            </w:r>
            <w:r>
              <w:rPr>
                <w:rFonts w:hint="eastAsia" w:ascii="Times New Roman" w:hAnsi="Times New Roman" w:cs="Times New Roman"/>
                <w:color w:val="auto"/>
                <w:sz w:val="24"/>
                <w:szCs w:val="24"/>
                <w:lang w:val="en-US" w:eastAsia="zh-CN"/>
              </w:rPr>
              <w:t>0.931kg</w:t>
            </w:r>
            <w:r>
              <w:rPr>
                <w:rFonts w:hint="default" w:ascii="Times New Roman" w:hAnsi="Times New Roman" w:cs="Times New Roman"/>
                <w:color w:val="auto"/>
                <w:sz w:val="24"/>
              </w:rPr>
              <w:t>/a</w:t>
            </w:r>
            <w:r>
              <w:rPr>
                <w:rFonts w:hint="eastAsia" w:ascii="Times New Roman" w:hAnsi="Times New Roman" w:cs="Times New Roman"/>
                <w:color w:val="auto"/>
                <w:sz w:val="24"/>
                <w:lang w:eastAsia="zh-CN"/>
              </w:rPr>
              <w:t>，甲苯量为</w:t>
            </w:r>
            <w:r>
              <w:rPr>
                <w:rFonts w:hint="eastAsia" w:ascii="Times New Roman" w:hAnsi="Times New Roman" w:cs="Times New Roman"/>
                <w:color w:val="auto"/>
                <w:sz w:val="24"/>
                <w:lang w:val="en-US" w:eastAsia="zh-CN"/>
              </w:rPr>
              <w:t>0.0194kg/a</w:t>
            </w:r>
            <w:r>
              <w:rPr>
                <w:rFonts w:hint="default" w:ascii="Times New Roman" w:hAnsi="Times New Roman" w:cs="Times New Roman"/>
                <w:color w:val="auto"/>
                <w:sz w:val="24"/>
                <w:szCs w:val="24"/>
                <w:lang w:eastAsia="zh-CN"/>
              </w:rPr>
              <w:t>。</w:t>
            </w:r>
          </w:p>
          <w:p w14:paraId="7AD158DC">
            <w:pPr>
              <w:pStyle w:val="49"/>
              <w:spacing w:line="360" w:lineRule="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rPr>
              <w:t>（2）</w:t>
            </w:r>
            <w:r>
              <w:rPr>
                <w:rFonts w:hint="eastAsia" w:ascii="Times New Roman" w:hAnsi="Times New Roman" w:eastAsia="宋体"/>
                <w:color w:val="auto"/>
                <w:sz w:val="24"/>
                <w:szCs w:val="24"/>
                <w:lang w:eastAsia="zh-CN"/>
              </w:rPr>
              <w:t>试样燃烧</w:t>
            </w:r>
            <w:r>
              <w:rPr>
                <w:rFonts w:hint="eastAsia" w:ascii="Times New Roman" w:hAnsi="Times New Roman" w:eastAsia="宋体"/>
                <w:color w:val="auto"/>
                <w:sz w:val="24"/>
                <w:szCs w:val="24"/>
              </w:rPr>
              <w:t>-非甲烷总烃</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lang w:eastAsia="zh-CN"/>
              </w:rPr>
              <w:t>颗粒物</w:t>
            </w:r>
          </w:p>
          <w:p w14:paraId="56E49F6E">
            <w:pPr>
              <w:autoSpaceDE w:val="0"/>
              <w:autoSpaceDN w:val="0"/>
              <w:adjustRightInd w:val="0"/>
              <w:spacing w:line="360" w:lineRule="auto"/>
              <w:ind w:firstLine="480" w:firstLineChars="200"/>
              <w:rPr>
                <w:rFonts w:hint="eastAsia" w:ascii="Times New Roman" w:hAnsi="Times New Roman" w:eastAsia="宋体"/>
                <w:color w:val="auto"/>
                <w:sz w:val="24"/>
                <w:szCs w:val="24"/>
                <w:lang w:val="zh-CN"/>
              </w:rPr>
            </w:pPr>
            <w:r>
              <w:rPr>
                <w:rFonts w:hint="eastAsia" w:ascii="Times New Roman" w:hAnsi="Times New Roman" w:eastAsia="宋体"/>
                <w:color w:val="auto"/>
                <w:sz w:val="24"/>
                <w:szCs w:val="24"/>
                <w:lang w:val="zh-CN"/>
              </w:rPr>
              <w:t>本项目无行业源强核算技术指南及行业排污许可证申请与核发技术规范，根据《污染源源强核算技术指南准则》（HJ884-2018）及《排污许可证申请与核发技术规范总则》（HJ942-2018），本项目采用类比法核算。</w:t>
            </w:r>
          </w:p>
          <w:p w14:paraId="5CCF3855">
            <w:pPr>
              <w:autoSpaceDE w:val="0"/>
              <w:autoSpaceDN w:val="0"/>
              <w:adjustRightInd w:val="0"/>
              <w:spacing w:line="360" w:lineRule="auto"/>
              <w:ind w:firstLine="480" w:firstLineChars="200"/>
              <w:rPr>
                <w:rFonts w:hint="eastAsia" w:ascii="Times New Roman" w:hAnsi="Times New Roman" w:eastAsia="宋体"/>
                <w:color w:val="auto"/>
                <w:sz w:val="24"/>
                <w:szCs w:val="24"/>
                <w:lang w:val="zh-CN"/>
              </w:rPr>
            </w:pPr>
            <w:r>
              <w:rPr>
                <w:rFonts w:hint="eastAsia" w:ascii="Times New Roman" w:hAnsi="Times New Roman" w:eastAsia="宋体"/>
                <w:color w:val="auto"/>
                <w:sz w:val="24"/>
                <w:szCs w:val="24"/>
                <w:lang w:val="zh-CN"/>
              </w:rPr>
              <w:t>燃烧试验中，被点燃的主要是</w:t>
            </w:r>
            <w:r>
              <w:rPr>
                <w:rFonts w:hint="eastAsia" w:ascii="Times New Roman" w:hAnsi="Times New Roman" w:eastAsia="宋体"/>
                <w:color w:val="auto"/>
                <w:sz w:val="24"/>
                <w:szCs w:val="24"/>
                <w:lang w:val="en-US" w:eastAsia="zh-CN"/>
              </w:rPr>
              <w:t>阻燃剂</w:t>
            </w:r>
            <w:r>
              <w:rPr>
                <w:rFonts w:hint="eastAsia" w:ascii="Times New Roman" w:hAnsi="Times New Roman" w:eastAsia="宋体"/>
                <w:color w:val="auto"/>
                <w:sz w:val="24"/>
                <w:szCs w:val="24"/>
                <w:lang w:val="zh-CN"/>
              </w:rPr>
              <w:t>，其主要成分为聚乙烯（PE）。聚乙烯的燃烧特性是遇火即燃，火焰呈黄色，燃烧时有石蜡状油滴滴落。聚乙烯完全燃烧的方程式为：</w:t>
            </w:r>
          </w:p>
          <w:p w14:paraId="0C1BE9F1">
            <w:pPr>
              <w:autoSpaceDE w:val="0"/>
              <w:autoSpaceDN w:val="0"/>
              <w:adjustRightInd w:val="0"/>
              <w:spacing w:line="360" w:lineRule="auto"/>
              <w:jc w:val="center"/>
              <w:rPr>
                <w:rFonts w:hint="eastAsia" w:ascii="Times New Roman" w:hAnsi="Times New Roman" w:eastAsia="宋体"/>
                <w:color w:val="auto"/>
                <w:sz w:val="24"/>
                <w:szCs w:val="24"/>
                <w:lang w:val="zh-CN"/>
              </w:rPr>
            </w:pPr>
            <w:r>
              <w:rPr>
                <w:rFonts w:hint="eastAsia" w:ascii="Times New Roman" w:hAnsi="Times New Roman" w:eastAsia="宋体"/>
                <w:color w:val="auto"/>
                <w:sz w:val="24"/>
                <w:szCs w:val="24"/>
                <w:lang w:val="zh-CN"/>
              </w:rPr>
              <w:t>(C</w:t>
            </w:r>
            <w:r>
              <w:rPr>
                <w:rFonts w:hint="eastAsia" w:ascii="Times New Roman" w:hAnsi="Times New Roman" w:eastAsia="宋体"/>
                <w:color w:val="auto"/>
                <w:sz w:val="24"/>
                <w:szCs w:val="24"/>
                <w:vertAlign w:val="subscript"/>
                <w:lang w:val="zh-CN"/>
              </w:rPr>
              <w:t>2</w:t>
            </w:r>
            <w:r>
              <w:rPr>
                <w:rFonts w:hint="eastAsia" w:ascii="Times New Roman" w:hAnsi="Times New Roman" w:eastAsia="宋体"/>
                <w:color w:val="auto"/>
                <w:sz w:val="24"/>
                <w:szCs w:val="24"/>
                <w:lang w:val="zh-CN"/>
              </w:rPr>
              <w:t>H</w:t>
            </w:r>
            <w:r>
              <w:rPr>
                <w:rFonts w:hint="eastAsia" w:ascii="Times New Roman" w:hAnsi="Times New Roman" w:eastAsia="宋体"/>
                <w:color w:val="auto"/>
                <w:sz w:val="24"/>
                <w:szCs w:val="24"/>
                <w:vertAlign w:val="subscript"/>
                <w:lang w:val="zh-CN"/>
              </w:rPr>
              <w:t>4</w:t>
            </w:r>
            <w:r>
              <w:rPr>
                <w:rFonts w:hint="eastAsia" w:ascii="Times New Roman" w:hAnsi="Times New Roman" w:eastAsia="宋体"/>
                <w:color w:val="auto"/>
                <w:sz w:val="24"/>
                <w:szCs w:val="24"/>
                <w:lang w:val="zh-CN"/>
              </w:rPr>
              <w:t>)n+3nO</w:t>
            </w:r>
            <w:r>
              <w:rPr>
                <w:rFonts w:hint="eastAsia" w:ascii="Times New Roman" w:hAnsi="Times New Roman" w:eastAsia="宋体"/>
                <w:color w:val="auto"/>
                <w:sz w:val="24"/>
                <w:szCs w:val="24"/>
                <w:vertAlign w:val="subscript"/>
                <w:lang w:val="zh-CN"/>
              </w:rPr>
              <w:t>2</w:t>
            </w:r>
            <w:r>
              <w:rPr>
                <w:rFonts w:hint="eastAsia" w:ascii="Times New Roman" w:hAnsi="Times New Roman" w:eastAsia="宋体"/>
                <w:color w:val="auto"/>
                <w:sz w:val="24"/>
                <w:szCs w:val="24"/>
                <w:lang w:val="zh-CN"/>
              </w:rPr>
              <w:t>=2nCO</w:t>
            </w:r>
            <w:r>
              <w:rPr>
                <w:rFonts w:hint="eastAsia" w:ascii="Times New Roman" w:hAnsi="Times New Roman" w:eastAsia="宋体"/>
                <w:color w:val="auto"/>
                <w:sz w:val="24"/>
                <w:szCs w:val="24"/>
                <w:vertAlign w:val="subscript"/>
                <w:lang w:val="zh-CN"/>
              </w:rPr>
              <w:t>2</w:t>
            </w:r>
            <w:r>
              <w:rPr>
                <w:rFonts w:hint="eastAsia" w:ascii="Times New Roman" w:hAnsi="Times New Roman" w:eastAsia="宋体"/>
                <w:color w:val="auto"/>
                <w:sz w:val="24"/>
                <w:szCs w:val="24"/>
                <w:lang w:val="zh-CN"/>
              </w:rPr>
              <w:t>+2nH</w:t>
            </w:r>
            <w:r>
              <w:rPr>
                <w:rFonts w:hint="eastAsia" w:ascii="Times New Roman" w:hAnsi="Times New Roman" w:eastAsia="宋体"/>
                <w:color w:val="auto"/>
                <w:sz w:val="24"/>
                <w:szCs w:val="24"/>
                <w:vertAlign w:val="subscript"/>
                <w:lang w:val="zh-CN"/>
              </w:rPr>
              <w:t>2</w:t>
            </w:r>
            <w:r>
              <w:rPr>
                <w:rFonts w:hint="eastAsia" w:ascii="Times New Roman" w:hAnsi="Times New Roman" w:eastAsia="宋体"/>
                <w:color w:val="auto"/>
                <w:sz w:val="24"/>
                <w:szCs w:val="24"/>
                <w:lang w:val="zh-CN"/>
              </w:rPr>
              <w:t>O</w:t>
            </w:r>
          </w:p>
          <w:p w14:paraId="5150B28B">
            <w:pPr>
              <w:autoSpaceDE w:val="0"/>
              <w:autoSpaceDN w:val="0"/>
              <w:adjustRightInd w:val="0"/>
              <w:spacing w:line="360" w:lineRule="auto"/>
              <w:ind w:firstLine="480" w:firstLineChars="200"/>
              <w:rPr>
                <w:rFonts w:hint="eastAsia" w:ascii="Times New Roman" w:hAnsi="Times New Roman" w:eastAsia="宋体"/>
                <w:color w:val="auto"/>
                <w:sz w:val="24"/>
                <w:szCs w:val="24"/>
                <w:lang w:val="zh-CN"/>
              </w:rPr>
            </w:pPr>
            <w:r>
              <w:rPr>
                <w:rFonts w:hint="eastAsia" w:ascii="Times New Roman" w:hAnsi="Times New Roman" w:eastAsia="宋体"/>
                <w:color w:val="auto"/>
                <w:sz w:val="24"/>
                <w:szCs w:val="24"/>
                <w:lang w:val="zh-CN"/>
              </w:rPr>
              <w:t>聚乙烯为易燃物，试验过程按完全燃烧考虑，燃烧温度为300℃～470℃，生成CO</w:t>
            </w:r>
            <w:r>
              <w:rPr>
                <w:rFonts w:hint="eastAsia" w:ascii="Times New Roman" w:hAnsi="Times New Roman" w:eastAsia="宋体"/>
                <w:color w:val="auto"/>
                <w:sz w:val="24"/>
                <w:szCs w:val="24"/>
                <w:vertAlign w:val="subscript"/>
                <w:lang w:val="zh-CN"/>
              </w:rPr>
              <w:t>2</w:t>
            </w:r>
            <w:r>
              <w:rPr>
                <w:rFonts w:hint="eastAsia" w:ascii="Times New Roman" w:hAnsi="Times New Roman" w:eastAsia="宋体"/>
                <w:color w:val="auto"/>
                <w:sz w:val="24"/>
                <w:szCs w:val="24"/>
                <w:lang w:val="zh-CN"/>
              </w:rPr>
              <w:t>和H</w:t>
            </w:r>
            <w:r>
              <w:rPr>
                <w:rFonts w:hint="eastAsia" w:ascii="Times New Roman" w:hAnsi="Times New Roman" w:eastAsia="宋体"/>
                <w:color w:val="auto"/>
                <w:sz w:val="24"/>
                <w:szCs w:val="24"/>
                <w:vertAlign w:val="subscript"/>
                <w:lang w:val="zh-CN"/>
              </w:rPr>
              <w:t>2</w:t>
            </w:r>
            <w:r>
              <w:rPr>
                <w:rFonts w:hint="eastAsia" w:ascii="Times New Roman" w:hAnsi="Times New Roman" w:eastAsia="宋体"/>
                <w:color w:val="auto"/>
                <w:sz w:val="24"/>
                <w:szCs w:val="24"/>
                <w:lang w:val="zh-CN"/>
              </w:rPr>
              <w:t>O；塑料燃烧过程会有一定的刺激性气味和颗粒物产生。</w:t>
            </w:r>
          </w:p>
          <w:p w14:paraId="403B18D5">
            <w:pPr>
              <w:pStyle w:val="34"/>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default" w:ascii="Times New Roman" w:hAnsi="Times New Roman" w:cs="Times New Roman" w:eastAsiaTheme="minorEastAsia"/>
                <w:color w:val="auto"/>
                <w:sz w:val="24"/>
                <w:szCs w:val="24"/>
                <w:lang w:eastAsia="zh-CN"/>
              </w:rPr>
            </w:pPr>
            <w:r>
              <w:rPr>
                <w:rFonts w:hint="eastAsia" w:ascii="Times New Roman" w:hAnsi="Times New Roman" w:cs="Times New Roman"/>
                <w:color w:val="auto"/>
                <w:sz w:val="24"/>
                <w:lang w:eastAsia="zh-CN"/>
              </w:rPr>
              <w:t>收集系统</w:t>
            </w:r>
            <w:r>
              <w:rPr>
                <w:rFonts w:hint="default" w:ascii="Times New Roman" w:hAnsi="Times New Roman" w:cs="Times New Roman"/>
                <w:color w:val="auto"/>
                <w:sz w:val="24"/>
                <w:szCs w:val="24"/>
                <w:lang w:eastAsia="zh-CN"/>
              </w:rPr>
              <w:t>未收集的非甲烷总烃量为</w:t>
            </w:r>
            <w:r>
              <w:rPr>
                <w:rFonts w:hint="eastAsia" w:ascii="Times New Roman" w:hAnsi="Times New Roman" w:cs="Times New Roman"/>
                <w:color w:val="auto"/>
                <w:sz w:val="24"/>
                <w:szCs w:val="24"/>
                <w:lang w:val="en-US" w:eastAsia="zh-CN"/>
              </w:rPr>
              <w:t>0.0675kg</w:t>
            </w:r>
            <w:r>
              <w:rPr>
                <w:rFonts w:hint="default" w:ascii="Times New Roman" w:hAnsi="Times New Roman" w:cs="Times New Roman"/>
                <w:color w:val="auto"/>
                <w:sz w:val="24"/>
              </w:rPr>
              <w:t>/a</w:t>
            </w:r>
            <w:r>
              <w:rPr>
                <w:rFonts w:hint="eastAsia" w:ascii="Times New Roman" w:hAnsi="Times New Roman" w:cs="Times New Roman"/>
                <w:color w:val="auto"/>
                <w:sz w:val="24"/>
                <w:lang w:eastAsia="zh-CN"/>
              </w:rPr>
              <w:t>，氯化氢量为</w:t>
            </w:r>
            <w:r>
              <w:rPr>
                <w:rFonts w:hint="eastAsia" w:ascii="Times New Roman" w:hAnsi="Times New Roman" w:cs="Times New Roman"/>
                <w:color w:val="auto"/>
                <w:sz w:val="24"/>
                <w:lang w:val="en-US" w:eastAsia="zh-CN"/>
              </w:rPr>
              <w:t>1.35</w:t>
            </w:r>
            <w:r>
              <w:rPr>
                <w:rFonts w:hint="default"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vertAlign w:val="superscript"/>
                <w:lang w:val="en-US" w:eastAsia="zh-CN"/>
              </w:rPr>
              <w:t>-4</w:t>
            </w:r>
            <w:r>
              <w:rPr>
                <w:rFonts w:hint="eastAsia" w:ascii="Times New Roman" w:hAnsi="Times New Roman" w:cs="Times New Roman"/>
                <w:color w:val="auto"/>
                <w:sz w:val="24"/>
                <w:lang w:val="en-US" w:eastAsia="zh-CN"/>
              </w:rPr>
              <w:t>kg/a</w:t>
            </w:r>
            <w:r>
              <w:rPr>
                <w:rFonts w:hint="eastAsia" w:ascii="Times New Roman" w:hAnsi="Times New Roman" w:cs="Times New Roman"/>
                <w:color w:val="auto"/>
                <w:sz w:val="24"/>
                <w:lang w:eastAsia="zh-CN"/>
              </w:rPr>
              <w:t>，颗粒物量为</w:t>
            </w:r>
            <w:r>
              <w:rPr>
                <w:rFonts w:hint="eastAsia" w:ascii="Times New Roman" w:hAnsi="Times New Roman" w:cs="Times New Roman"/>
                <w:color w:val="auto"/>
                <w:sz w:val="24"/>
                <w:lang w:val="en-US" w:eastAsia="zh-CN"/>
              </w:rPr>
              <w:t>0.135kg/a，二氧化硫量为1.715</w:t>
            </w:r>
            <w:r>
              <w:rPr>
                <w:rFonts w:hint="default"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vertAlign w:val="superscript"/>
                <w:lang w:val="en-US" w:eastAsia="zh-CN"/>
              </w:rPr>
              <w:t>-</w:t>
            </w:r>
            <w:r>
              <w:rPr>
                <w:rFonts w:hint="eastAsia" w:ascii="Times New Roman" w:hAnsi="Times New Roman" w:eastAsia="宋体" w:cs="Times New Roman"/>
                <w:color w:val="auto"/>
                <w:sz w:val="24"/>
                <w:vertAlign w:val="superscript"/>
                <w:lang w:val="en-US" w:eastAsia="zh-CN"/>
              </w:rPr>
              <w:t>6</w:t>
            </w:r>
            <w:r>
              <w:rPr>
                <w:rFonts w:hint="eastAsia" w:ascii="Times New Roman" w:hAnsi="Times New Roman" w:cs="Times New Roman"/>
                <w:color w:val="auto"/>
                <w:sz w:val="24"/>
                <w:lang w:val="en-US" w:eastAsia="zh-CN"/>
              </w:rPr>
              <w:t>kg/a，氮氧化物量约为1.49</w:t>
            </w:r>
            <w:r>
              <w:rPr>
                <w:rFonts w:hint="default"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vertAlign w:val="superscript"/>
                <w:lang w:val="en-US" w:eastAsia="zh-CN"/>
              </w:rPr>
              <w:t>-</w:t>
            </w:r>
            <w:r>
              <w:rPr>
                <w:rFonts w:hint="eastAsia" w:ascii="Times New Roman" w:hAnsi="Times New Roman" w:eastAsia="宋体" w:cs="Times New Roman"/>
                <w:color w:val="auto"/>
                <w:sz w:val="24"/>
                <w:vertAlign w:val="superscript"/>
                <w:lang w:val="en-US" w:eastAsia="zh-CN"/>
              </w:rPr>
              <w:t>5</w:t>
            </w:r>
            <w:r>
              <w:rPr>
                <w:rFonts w:hint="eastAsia" w:ascii="Times New Roman" w:hAnsi="Times New Roman" w:cs="Times New Roman"/>
                <w:color w:val="auto"/>
                <w:sz w:val="24"/>
                <w:lang w:val="en-US" w:eastAsia="zh-CN"/>
              </w:rPr>
              <w:t>kg/a</w:t>
            </w:r>
            <w:r>
              <w:rPr>
                <w:rFonts w:hint="default" w:ascii="Times New Roman" w:hAnsi="Times New Roman" w:cs="Times New Roman"/>
                <w:color w:val="auto"/>
                <w:sz w:val="24"/>
                <w:szCs w:val="24"/>
                <w:lang w:eastAsia="zh-CN"/>
              </w:rPr>
              <w:t>。</w:t>
            </w:r>
          </w:p>
          <w:p w14:paraId="0572EC8F">
            <w:pPr>
              <w:spacing w:line="360" w:lineRule="auto"/>
              <w:ind w:firstLine="480" w:firstLineChars="200"/>
              <w:rPr>
                <w:rFonts w:ascii="Times New Roman" w:hAnsi="Times New Roman" w:cs="Times New Roman"/>
                <w:color w:val="auto"/>
                <w:sz w:val="24"/>
              </w:rPr>
            </w:pPr>
            <w:r>
              <w:rPr>
                <w:rFonts w:hint="eastAsia" w:ascii="Times New Roman" w:hAnsi="Times New Roman" w:eastAsia="宋体"/>
                <w:color w:val="auto"/>
                <w:sz w:val="24"/>
                <w:szCs w:val="24"/>
                <w:lang w:val="zh-CN"/>
              </w:rPr>
              <w:t>1.2废气排放检</w:t>
            </w:r>
            <w:r>
              <w:rPr>
                <w:rFonts w:hint="eastAsia" w:ascii="Times New Roman" w:hAnsi="Times New Roman" w:cs="Times New Roman"/>
                <w:color w:val="auto"/>
                <w:sz w:val="24"/>
              </w:rPr>
              <w:t>测</w:t>
            </w:r>
          </w:p>
          <w:p w14:paraId="1FB51EB8">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1.2.1有组织废气排放检测点位、检测指标和检测频次</w:t>
            </w:r>
          </w:p>
          <w:p w14:paraId="7B39CCC3">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有组织废气排放检测点位、检测指标和最低检测频次一览表见表4.</w:t>
            </w: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rPr>
              <w:t>。</w:t>
            </w:r>
          </w:p>
          <w:p w14:paraId="7E3F4F68">
            <w:pPr>
              <w:pStyle w:val="34"/>
              <w:jc w:val="center"/>
              <w:rPr>
                <w:b/>
                <w:bCs/>
                <w:color w:val="auto"/>
              </w:rPr>
            </w:pPr>
            <w:r>
              <w:rPr>
                <w:rFonts w:hint="eastAsia"/>
                <w:b/>
                <w:bCs/>
                <w:color w:val="auto"/>
              </w:rPr>
              <w:t>表4.</w:t>
            </w:r>
            <w:r>
              <w:rPr>
                <w:rFonts w:hint="eastAsia"/>
                <w:b/>
                <w:bCs/>
                <w:color w:val="auto"/>
                <w:lang w:val="en-US" w:eastAsia="zh-CN"/>
              </w:rPr>
              <w:t>2</w:t>
            </w:r>
            <w:r>
              <w:rPr>
                <w:rFonts w:hint="eastAsia"/>
                <w:b/>
                <w:bCs/>
                <w:color w:val="auto"/>
              </w:rPr>
              <w:t xml:space="preserve">  有组织废气排放检测点位、检测指标和最低检测频次一览表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2"/>
              <w:gridCol w:w="1232"/>
              <w:gridCol w:w="1155"/>
              <w:gridCol w:w="2932"/>
              <w:gridCol w:w="2660"/>
            </w:tblGrid>
            <w:tr w14:paraId="20AD1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2" w:type="dxa"/>
                  <w:vAlign w:val="center"/>
                </w:tcPr>
                <w:p w14:paraId="4CED4243">
                  <w:pPr>
                    <w:pStyle w:val="34"/>
                    <w:jc w:val="center"/>
                    <w:rPr>
                      <w:color w:val="auto"/>
                      <w:sz w:val="21"/>
                      <w:szCs w:val="21"/>
                    </w:rPr>
                  </w:pPr>
                  <w:r>
                    <w:rPr>
                      <w:rFonts w:hint="eastAsia"/>
                      <w:color w:val="auto"/>
                      <w:sz w:val="21"/>
                      <w:szCs w:val="21"/>
                    </w:rPr>
                    <w:t>检测点位</w:t>
                  </w:r>
                </w:p>
              </w:tc>
              <w:tc>
                <w:tcPr>
                  <w:tcW w:w="1232" w:type="dxa"/>
                  <w:vAlign w:val="center"/>
                </w:tcPr>
                <w:p w14:paraId="76258C8E">
                  <w:pPr>
                    <w:pStyle w:val="34"/>
                    <w:jc w:val="center"/>
                    <w:rPr>
                      <w:color w:val="auto"/>
                      <w:sz w:val="21"/>
                      <w:szCs w:val="21"/>
                    </w:rPr>
                  </w:pPr>
                  <w:r>
                    <w:rPr>
                      <w:rFonts w:hint="eastAsia"/>
                      <w:color w:val="auto"/>
                      <w:sz w:val="21"/>
                      <w:szCs w:val="21"/>
                    </w:rPr>
                    <w:t>检测指标</w:t>
                  </w:r>
                </w:p>
              </w:tc>
              <w:tc>
                <w:tcPr>
                  <w:tcW w:w="1155" w:type="dxa"/>
                  <w:vAlign w:val="center"/>
                </w:tcPr>
                <w:p w14:paraId="4DAF01C5">
                  <w:pPr>
                    <w:pStyle w:val="34"/>
                    <w:jc w:val="center"/>
                    <w:rPr>
                      <w:color w:val="auto"/>
                      <w:sz w:val="21"/>
                      <w:szCs w:val="21"/>
                    </w:rPr>
                  </w:pPr>
                  <w:r>
                    <w:rPr>
                      <w:rFonts w:hint="eastAsia"/>
                      <w:color w:val="auto"/>
                      <w:sz w:val="21"/>
                      <w:szCs w:val="21"/>
                    </w:rPr>
                    <w:t>检测频次</w:t>
                  </w:r>
                </w:p>
              </w:tc>
              <w:tc>
                <w:tcPr>
                  <w:tcW w:w="2932" w:type="dxa"/>
                  <w:vAlign w:val="center"/>
                </w:tcPr>
                <w:p w14:paraId="6F367DDA">
                  <w:pPr>
                    <w:pStyle w:val="34"/>
                    <w:jc w:val="center"/>
                    <w:rPr>
                      <w:color w:val="auto"/>
                      <w:sz w:val="21"/>
                      <w:szCs w:val="21"/>
                    </w:rPr>
                  </w:pPr>
                  <w:r>
                    <w:rPr>
                      <w:rFonts w:hint="eastAsia"/>
                      <w:color w:val="auto"/>
                      <w:sz w:val="21"/>
                      <w:szCs w:val="21"/>
                    </w:rPr>
                    <w:t>执行标准</w:t>
                  </w:r>
                </w:p>
              </w:tc>
              <w:tc>
                <w:tcPr>
                  <w:tcW w:w="2660" w:type="dxa"/>
                  <w:vAlign w:val="center"/>
                </w:tcPr>
                <w:p w14:paraId="56E18F66">
                  <w:pPr>
                    <w:pStyle w:val="34"/>
                    <w:jc w:val="center"/>
                    <w:rPr>
                      <w:color w:val="auto"/>
                      <w:sz w:val="21"/>
                      <w:szCs w:val="21"/>
                    </w:rPr>
                  </w:pPr>
                  <w:r>
                    <w:rPr>
                      <w:rFonts w:hint="eastAsia"/>
                      <w:color w:val="auto"/>
                      <w:sz w:val="21"/>
                      <w:szCs w:val="21"/>
                    </w:rPr>
                    <w:t>检测依据</w:t>
                  </w:r>
                </w:p>
              </w:tc>
            </w:tr>
            <w:tr w14:paraId="03BBC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72" w:type="dxa"/>
                  <w:vAlign w:val="center"/>
                </w:tcPr>
                <w:p w14:paraId="2C412790">
                  <w:pPr>
                    <w:pStyle w:val="34"/>
                    <w:jc w:val="center"/>
                    <w:rPr>
                      <w:rFonts w:hint="eastAsia" w:eastAsia="宋体"/>
                      <w:color w:val="auto"/>
                      <w:sz w:val="21"/>
                      <w:szCs w:val="21"/>
                      <w:lang w:val="en-US" w:eastAsia="zh-CN"/>
                    </w:rPr>
                  </w:pPr>
                  <w:r>
                    <w:rPr>
                      <w:rFonts w:hint="eastAsia"/>
                      <w:color w:val="auto"/>
                      <w:sz w:val="21"/>
                      <w:szCs w:val="21"/>
                    </w:rPr>
                    <w:t>DA00</w:t>
                  </w:r>
                  <w:r>
                    <w:rPr>
                      <w:rFonts w:hint="eastAsia"/>
                      <w:color w:val="auto"/>
                      <w:sz w:val="21"/>
                      <w:szCs w:val="21"/>
                      <w:lang w:val="en-US" w:eastAsia="zh-CN"/>
                    </w:rPr>
                    <w:t>1</w:t>
                  </w:r>
                </w:p>
                <w:p w14:paraId="40A9C385">
                  <w:pPr>
                    <w:pStyle w:val="34"/>
                    <w:jc w:val="center"/>
                    <w:rPr>
                      <w:color w:val="auto"/>
                      <w:sz w:val="21"/>
                      <w:szCs w:val="21"/>
                    </w:rPr>
                  </w:pPr>
                  <w:r>
                    <w:rPr>
                      <w:rFonts w:hint="eastAsia"/>
                      <w:color w:val="auto"/>
                      <w:sz w:val="21"/>
                      <w:szCs w:val="21"/>
                    </w:rPr>
                    <w:t>（</w:t>
                  </w:r>
                  <w:r>
                    <w:rPr>
                      <w:rFonts w:hint="eastAsia"/>
                      <w:color w:val="auto"/>
                      <w:sz w:val="21"/>
                      <w:szCs w:val="21"/>
                      <w:lang w:val="en-US" w:eastAsia="zh-CN"/>
                    </w:rPr>
                    <w:t>小试试验、理化实验和燃烧试验</w:t>
                  </w:r>
                  <w:r>
                    <w:rPr>
                      <w:rFonts w:hint="eastAsia"/>
                      <w:color w:val="auto"/>
                      <w:sz w:val="21"/>
                      <w:szCs w:val="21"/>
                    </w:rPr>
                    <w:t>）</w:t>
                  </w:r>
                </w:p>
              </w:tc>
              <w:tc>
                <w:tcPr>
                  <w:tcW w:w="1232" w:type="dxa"/>
                  <w:vAlign w:val="center"/>
                </w:tcPr>
                <w:p w14:paraId="4AAEEBB0">
                  <w:pPr>
                    <w:pStyle w:val="34"/>
                    <w:jc w:val="center"/>
                    <w:rPr>
                      <w:rFonts w:hint="eastAsia" w:eastAsia="宋体"/>
                      <w:color w:val="auto"/>
                      <w:sz w:val="21"/>
                      <w:szCs w:val="21"/>
                      <w:lang w:eastAsia="zh-CN"/>
                    </w:rPr>
                  </w:pPr>
                  <w:r>
                    <w:rPr>
                      <w:rFonts w:hint="eastAsia"/>
                      <w:color w:val="auto"/>
                      <w:sz w:val="21"/>
                      <w:szCs w:val="21"/>
                    </w:rPr>
                    <w:t>非甲烷总烃、</w:t>
                  </w:r>
                  <w:r>
                    <w:rPr>
                      <w:rFonts w:hint="eastAsia"/>
                      <w:color w:val="auto"/>
                      <w:sz w:val="21"/>
                      <w:szCs w:val="21"/>
                      <w:lang w:eastAsia="zh-CN"/>
                    </w:rPr>
                    <w:t>甲苯</w:t>
                  </w:r>
                  <w:r>
                    <w:rPr>
                      <w:rFonts w:hint="eastAsia"/>
                      <w:color w:val="auto"/>
                      <w:sz w:val="21"/>
                      <w:szCs w:val="21"/>
                    </w:rPr>
                    <w:t>、</w:t>
                  </w:r>
                  <w:r>
                    <w:rPr>
                      <w:rFonts w:hint="eastAsia"/>
                      <w:color w:val="auto"/>
                      <w:sz w:val="21"/>
                      <w:szCs w:val="21"/>
                      <w:lang w:eastAsia="zh-CN"/>
                    </w:rPr>
                    <w:t>氯化氢、颗粒物</w:t>
                  </w:r>
                </w:p>
              </w:tc>
              <w:tc>
                <w:tcPr>
                  <w:tcW w:w="1155" w:type="dxa"/>
                  <w:vAlign w:val="center"/>
                </w:tcPr>
                <w:p w14:paraId="1199851C">
                  <w:pPr>
                    <w:pStyle w:val="34"/>
                    <w:jc w:val="center"/>
                    <w:rPr>
                      <w:color w:val="auto"/>
                      <w:sz w:val="21"/>
                      <w:szCs w:val="21"/>
                    </w:rPr>
                  </w:pPr>
                  <w:r>
                    <w:rPr>
                      <w:rFonts w:hint="eastAsia"/>
                      <w:color w:val="auto"/>
                      <w:sz w:val="21"/>
                      <w:szCs w:val="21"/>
                    </w:rPr>
                    <w:t>1次/年</w:t>
                  </w:r>
                </w:p>
              </w:tc>
              <w:tc>
                <w:tcPr>
                  <w:tcW w:w="2932" w:type="dxa"/>
                  <w:vAlign w:val="center"/>
                </w:tcPr>
                <w:p w14:paraId="6694D27B">
                  <w:pPr>
                    <w:pStyle w:val="34"/>
                    <w:jc w:val="center"/>
                    <w:rPr>
                      <w:color w:val="auto"/>
                      <w:sz w:val="21"/>
                      <w:szCs w:val="21"/>
                    </w:rPr>
                  </w:pPr>
                  <w:r>
                    <w:rPr>
                      <w:color w:val="auto"/>
                      <w:sz w:val="21"/>
                      <w:szCs w:val="21"/>
                    </w:rPr>
                    <w:t>《大气污染物综合排放标准》（GB16297-1996）表2中最高允许排放浓度</w:t>
                  </w:r>
                  <w:r>
                    <w:rPr>
                      <w:rFonts w:hint="eastAsia"/>
                      <w:color w:val="auto"/>
                      <w:sz w:val="21"/>
                      <w:szCs w:val="21"/>
                    </w:rPr>
                    <w:t>限值</w:t>
                  </w:r>
                </w:p>
              </w:tc>
              <w:tc>
                <w:tcPr>
                  <w:tcW w:w="2660" w:type="dxa"/>
                  <w:vAlign w:val="center"/>
                </w:tcPr>
                <w:p w14:paraId="087AA866">
                  <w:pPr>
                    <w:pStyle w:val="34"/>
                    <w:jc w:val="center"/>
                    <w:rPr>
                      <w:color w:val="auto"/>
                      <w:sz w:val="21"/>
                      <w:szCs w:val="21"/>
                    </w:rPr>
                  </w:pPr>
                  <w:r>
                    <w:rPr>
                      <w:color w:val="auto"/>
                      <w:sz w:val="21"/>
                      <w:szCs w:val="21"/>
                    </w:rPr>
                    <w:t>《排污单位自行</w:t>
                  </w:r>
                  <w:r>
                    <w:rPr>
                      <w:rFonts w:hint="eastAsia"/>
                      <w:color w:val="auto"/>
                      <w:sz w:val="21"/>
                      <w:szCs w:val="21"/>
                    </w:rPr>
                    <w:t>检测</w:t>
                  </w:r>
                  <w:r>
                    <w:rPr>
                      <w:color w:val="auto"/>
                      <w:sz w:val="21"/>
                      <w:szCs w:val="21"/>
                    </w:rPr>
                    <w:t>技术指南</w:t>
                  </w:r>
                  <w:r>
                    <w:rPr>
                      <w:rFonts w:hint="eastAsia"/>
                      <w:color w:val="auto"/>
                      <w:sz w:val="21"/>
                      <w:szCs w:val="21"/>
                    </w:rPr>
                    <w:t>-</w:t>
                  </w:r>
                  <w:r>
                    <w:rPr>
                      <w:color w:val="auto"/>
                      <w:sz w:val="21"/>
                      <w:szCs w:val="21"/>
                    </w:rPr>
                    <w:t>总则》（HJ819-2017）</w:t>
                  </w:r>
                </w:p>
              </w:tc>
            </w:tr>
          </w:tbl>
          <w:p w14:paraId="4D59991A">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1.2.1无组织废气排放检测点位、检测指标和检测频次</w:t>
            </w:r>
          </w:p>
          <w:p w14:paraId="6B86E542">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无组织废气排放检测点位、检测指标和最低检测频次一览表见表4.</w:t>
            </w:r>
            <w:r>
              <w:rPr>
                <w:rFonts w:hint="eastAsia" w:ascii="Times New Roman" w:hAnsi="Times New Roman" w:cs="Times New Roman"/>
                <w:color w:val="auto"/>
                <w:sz w:val="24"/>
                <w:lang w:val="en-US" w:eastAsia="zh-CN"/>
              </w:rPr>
              <w:t>4</w:t>
            </w:r>
            <w:r>
              <w:rPr>
                <w:rFonts w:hint="eastAsia" w:ascii="Times New Roman" w:hAnsi="Times New Roman" w:cs="Times New Roman"/>
                <w:color w:val="auto"/>
                <w:sz w:val="24"/>
              </w:rPr>
              <w:t>。</w:t>
            </w:r>
          </w:p>
          <w:p w14:paraId="5DC1FA7A">
            <w:pPr>
              <w:pStyle w:val="34"/>
              <w:jc w:val="center"/>
              <w:rPr>
                <w:b/>
                <w:bCs/>
                <w:color w:val="auto"/>
              </w:rPr>
            </w:pPr>
            <w:r>
              <w:rPr>
                <w:rFonts w:hint="eastAsia"/>
                <w:b/>
                <w:bCs/>
                <w:color w:val="auto"/>
              </w:rPr>
              <w:t>表4.</w:t>
            </w:r>
            <w:r>
              <w:rPr>
                <w:rFonts w:hint="eastAsia"/>
                <w:b/>
                <w:bCs/>
                <w:color w:val="auto"/>
                <w:lang w:val="en-US" w:eastAsia="zh-CN"/>
              </w:rPr>
              <w:t>3</w:t>
            </w:r>
            <w:r>
              <w:rPr>
                <w:rFonts w:hint="eastAsia"/>
                <w:b/>
                <w:bCs/>
                <w:color w:val="auto"/>
              </w:rPr>
              <w:t xml:space="preserve">  无组织废气排放检测点位、检测指标和最低检测频次一览表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4"/>
              <w:gridCol w:w="1095"/>
              <w:gridCol w:w="1215"/>
              <w:gridCol w:w="3300"/>
              <w:gridCol w:w="2997"/>
            </w:tblGrid>
            <w:tr w14:paraId="30C14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4" w:type="dxa"/>
                  <w:vAlign w:val="center"/>
                </w:tcPr>
                <w:p w14:paraId="739FDC9A">
                  <w:pPr>
                    <w:pStyle w:val="34"/>
                    <w:jc w:val="center"/>
                    <w:rPr>
                      <w:color w:val="auto"/>
                      <w:sz w:val="21"/>
                      <w:szCs w:val="21"/>
                    </w:rPr>
                  </w:pPr>
                  <w:r>
                    <w:rPr>
                      <w:rFonts w:hint="eastAsia"/>
                      <w:color w:val="auto"/>
                      <w:sz w:val="21"/>
                      <w:szCs w:val="21"/>
                    </w:rPr>
                    <w:t>检测点位</w:t>
                  </w:r>
                </w:p>
              </w:tc>
              <w:tc>
                <w:tcPr>
                  <w:tcW w:w="1095" w:type="dxa"/>
                  <w:vAlign w:val="center"/>
                </w:tcPr>
                <w:p w14:paraId="2D028902">
                  <w:pPr>
                    <w:pStyle w:val="34"/>
                    <w:jc w:val="center"/>
                    <w:rPr>
                      <w:color w:val="auto"/>
                      <w:sz w:val="21"/>
                      <w:szCs w:val="21"/>
                    </w:rPr>
                  </w:pPr>
                  <w:r>
                    <w:rPr>
                      <w:rFonts w:hint="eastAsia"/>
                      <w:color w:val="auto"/>
                      <w:sz w:val="21"/>
                      <w:szCs w:val="21"/>
                    </w:rPr>
                    <w:t>检测指标</w:t>
                  </w:r>
                </w:p>
              </w:tc>
              <w:tc>
                <w:tcPr>
                  <w:tcW w:w="1215" w:type="dxa"/>
                  <w:vAlign w:val="center"/>
                </w:tcPr>
                <w:p w14:paraId="0478389E">
                  <w:pPr>
                    <w:pStyle w:val="34"/>
                    <w:jc w:val="center"/>
                    <w:rPr>
                      <w:color w:val="auto"/>
                      <w:sz w:val="21"/>
                      <w:szCs w:val="21"/>
                    </w:rPr>
                  </w:pPr>
                  <w:r>
                    <w:rPr>
                      <w:rFonts w:hint="eastAsia"/>
                      <w:color w:val="auto"/>
                      <w:sz w:val="21"/>
                      <w:szCs w:val="21"/>
                    </w:rPr>
                    <w:t>检测频次</w:t>
                  </w:r>
                </w:p>
              </w:tc>
              <w:tc>
                <w:tcPr>
                  <w:tcW w:w="3300" w:type="dxa"/>
                  <w:vAlign w:val="center"/>
                </w:tcPr>
                <w:p w14:paraId="1D3B6CDA">
                  <w:pPr>
                    <w:pStyle w:val="34"/>
                    <w:jc w:val="center"/>
                    <w:rPr>
                      <w:color w:val="auto"/>
                      <w:sz w:val="21"/>
                      <w:szCs w:val="21"/>
                    </w:rPr>
                  </w:pPr>
                  <w:r>
                    <w:rPr>
                      <w:rFonts w:hint="eastAsia"/>
                      <w:color w:val="auto"/>
                      <w:sz w:val="21"/>
                      <w:szCs w:val="21"/>
                    </w:rPr>
                    <w:t>执行标准</w:t>
                  </w:r>
                </w:p>
              </w:tc>
              <w:tc>
                <w:tcPr>
                  <w:tcW w:w="2997" w:type="dxa"/>
                  <w:vAlign w:val="center"/>
                </w:tcPr>
                <w:p w14:paraId="5B8B5B62">
                  <w:pPr>
                    <w:pStyle w:val="34"/>
                    <w:jc w:val="center"/>
                    <w:rPr>
                      <w:color w:val="auto"/>
                      <w:sz w:val="21"/>
                      <w:szCs w:val="21"/>
                    </w:rPr>
                  </w:pPr>
                  <w:r>
                    <w:rPr>
                      <w:rFonts w:hint="eastAsia"/>
                      <w:color w:val="auto"/>
                      <w:sz w:val="21"/>
                      <w:szCs w:val="21"/>
                    </w:rPr>
                    <w:t>检测依据</w:t>
                  </w:r>
                </w:p>
              </w:tc>
            </w:tr>
            <w:tr w14:paraId="289ED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4" w:type="dxa"/>
                  <w:vAlign w:val="center"/>
                </w:tcPr>
                <w:p w14:paraId="652A6EB9">
                  <w:pPr>
                    <w:pStyle w:val="34"/>
                    <w:jc w:val="center"/>
                    <w:rPr>
                      <w:color w:val="auto"/>
                      <w:sz w:val="21"/>
                      <w:szCs w:val="21"/>
                    </w:rPr>
                  </w:pPr>
                  <w:r>
                    <w:rPr>
                      <w:rFonts w:hint="eastAsia"/>
                      <w:color w:val="auto"/>
                      <w:sz w:val="21"/>
                      <w:szCs w:val="21"/>
                    </w:rPr>
                    <w:t>厂界</w:t>
                  </w:r>
                </w:p>
              </w:tc>
              <w:tc>
                <w:tcPr>
                  <w:tcW w:w="1095" w:type="dxa"/>
                  <w:vAlign w:val="center"/>
                </w:tcPr>
                <w:p w14:paraId="26A266AB">
                  <w:pPr>
                    <w:pStyle w:val="34"/>
                    <w:jc w:val="center"/>
                    <w:rPr>
                      <w:rFonts w:hint="eastAsia" w:eastAsia="宋体"/>
                      <w:color w:val="auto"/>
                      <w:sz w:val="21"/>
                      <w:szCs w:val="21"/>
                      <w:lang w:eastAsia="zh-CN"/>
                    </w:rPr>
                  </w:pPr>
                  <w:r>
                    <w:rPr>
                      <w:rFonts w:hint="eastAsia"/>
                      <w:color w:val="auto"/>
                      <w:sz w:val="21"/>
                      <w:szCs w:val="21"/>
                    </w:rPr>
                    <w:t>非甲烷总烃、</w:t>
                  </w:r>
                  <w:r>
                    <w:rPr>
                      <w:rFonts w:hint="eastAsia"/>
                      <w:color w:val="auto"/>
                      <w:sz w:val="21"/>
                      <w:szCs w:val="21"/>
                      <w:lang w:eastAsia="zh-CN"/>
                    </w:rPr>
                    <w:t>甲苯、颗粒物</w:t>
                  </w:r>
                </w:p>
              </w:tc>
              <w:tc>
                <w:tcPr>
                  <w:tcW w:w="1215" w:type="dxa"/>
                  <w:vAlign w:val="center"/>
                </w:tcPr>
                <w:p w14:paraId="0B911CCA">
                  <w:pPr>
                    <w:pStyle w:val="34"/>
                    <w:jc w:val="center"/>
                    <w:rPr>
                      <w:color w:val="auto"/>
                      <w:sz w:val="21"/>
                      <w:szCs w:val="21"/>
                    </w:rPr>
                  </w:pPr>
                  <w:r>
                    <w:rPr>
                      <w:rFonts w:hint="eastAsia"/>
                      <w:color w:val="auto"/>
                      <w:sz w:val="21"/>
                      <w:szCs w:val="21"/>
                    </w:rPr>
                    <w:t>年</w:t>
                  </w:r>
                </w:p>
              </w:tc>
              <w:tc>
                <w:tcPr>
                  <w:tcW w:w="3300" w:type="dxa"/>
                  <w:vAlign w:val="center"/>
                </w:tcPr>
                <w:p w14:paraId="1C45BF64">
                  <w:pPr>
                    <w:pStyle w:val="34"/>
                    <w:jc w:val="center"/>
                    <w:rPr>
                      <w:color w:val="auto"/>
                      <w:sz w:val="21"/>
                      <w:szCs w:val="21"/>
                    </w:rPr>
                  </w:pPr>
                  <w:r>
                    <w:rPr>
                      <w:color w:val="auto"/>
                      <w:sz w:val="21"/>
                      <w:szCs w:val="21"/>
                    </w:rPr>
                    <w:t>《大气污染物综合排放标准》（GB16297-1996）表2中无组织排放监控浓度限值</w:t>
                  </w:r>
                </w:p>
              </w:tc>
              <w:tc>
                <w:tcPr>
                  <w:tcW w:w="2997" w:type="dxa"/>
                  <w:vMerge w:val="restart"/>
                  <w:vAlign w:val="center"/>
                </w:tcPr>
                <w:p w14:paraId="5E905F36">
                  <w:pPr>
                    <w:pStyle w:val="34"/>
                    <w:jc w:val="center"/>
                    <w:rPr>
                      <w:color w:val="auto"/>
                      <w:sz w:val="21"/>
                      <w:szCs w:val="21"/>
                    </w:rPr>
                  </w:pPr>
                  <w:r>
                    <w:rPr>
                      <w:color w:val="auto"/>
                      <w:sz w:val="21"/>
                      <w:szCs w:val="21"/>
                    </w:rPr>
                    <w:t>《排污单位自行</w:t>
                  </w:r>
                  <w:r>
                    <w:rPr>
                      <w:rFonts w:hint="eastAsia"/>
                      <w:color w:val="auto"/>
                      <w:sz w:val="21"/>
                      <w:szCs w:val="21"/>
                    </w:rPr>
                    <w:t>检测</w:t>
                  </w:r>
                  <w:r>
                    <w:rPr>
                      <w:color w:val="auto"/>
                      <w:sz w:val="21"/>
                      <w:szCs w:val="21"/>
                    </w:rPr>
                    <w:t>技术指南</w:t>
                  </w:r>
                  <w:r>
                    <w:rPr>
                      <w:rFonts w:hint="eastAsia"/>
                      <w:color w:val="auto"/>
                      <w:sz w:val="21"/>
                      <w:szCs w:val="21"/>
                    </w:rPr>
                    <w:t>-</w:t>
                  </w:r>
                  <w:r>
                    <w:rPr>
                      <w:color w:val="auto"/>
                      <w:sz w:val="21"/>
                      <w:szCs w:val="21"/>
                    </w:rPr>
                    <w:t>总则》（HJ819-2017）</w:t>
                  </w:r>
                </w:p>
              </w:tc>
            </w:tr>
            <w:tr w14:paraId="363EA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4" w:type="dxa"/>
                  <w:vAlign w:val="center"/>
                </w:tcPr>
                <w:p w14:paraId="5E1A2DFA">
                  <w:pPr>
                    <w:pStyle w:val="34"/>
                    <w:jc w:val="center"/>
                    <w:rPr>
                      <w:color w:val="auto"/>
                      <w:sz w:val="21"/>
                      <w:szCs w:val="21"/>
                    </w:rPr>
                  </w:pPr>
                  <w:r>
                    <w:rPr>
                      <w:rFonts w:hint="eastAsia"/>
                      <w:color w:val="auto"/>
                      <w:sz w:val="21"/>
                      <w:szCs w:val="21"/>
                    </w:rPr>
                    <w:t>厂区内</w:t>
                  </w:r>
                </w:p>
              </w:tc>
              <w:tc>
                <w:tcPr>
                  <w:tcW w:w="1095" w:type="dxa"/>
                  <w:vAlign w:val="center"/>
                </w:tcPr>
                <w:p w14:paraId="50498BBE">
                  <w:pPr>
                    <w:pStyle w:val="34"/>
                    <w:jc w:val="center"/>
                    <w:rPr>
                      <w:color w:val="auto"/>
                      <w:sz w:val="21"/>
                      <w:szCs w:val="21"/>
                    </w:rPr>
                  </w:pPr>
                  <w:r>
                    <w:rPr>
                      <w:rFonts w:hint="eastAsia"/>
                      <w:color w:val="auto"/>
                      <w:sz w:val="21"/>
                      <w:szCs w:val="21"/>
                    </w:rPr>
                    <w:t>非甲烷总烃</w:t>
                  </w:r>
                </w:p>
              </w:tc>
              <w:tc>
                <w:tcPr>
                  <w:tcW w:w="1215" w:type="dxa"/>
                  <w:vAlign w:val="center"/>
                </w:tcPr>
                <w:p w14:paraId="18DC7A3D">
                  <w:pPr>
                    <w:pStyle w:val="34"/>
                    <w:jc w:val="center"/>
                    <w:rPr>
                      <w:color w:val="auto"/>
                      <w:sz w:val="21"/>
                      <w:szCs w:val="21"/>
                    </w:rPr>
                  </w:pPr>
                  <w:r>
                    <w:rPr>
                      <w:rFonts w:hint="eastAsia"/>
                      <w:color w:val="auto"/>
                      <w:sz w:val="21"/>
                      <w:szCs w:val="21"/>
                    </w:rPr>
                    <w:t>年</w:t>
                  </w:r>
                </w:p>
              </w:tc>
              <w:tc>
                <w:tcPr>
                  <w:tcW w:w="3300" w:type="dxa"/>
                  <w:vAlign w:val="center"/>
                </w:tcPr>
                <w:p w14:paraId="7040FC15">
                  <w:pPr>
                    <w:pStyle w:val="34"/>
                    <w:jc w:val="center"/>
                    <w:rPr>
                      <w:color w:val="auto"/>
                      <w:sz w:val="21"/>
                      <w:szCs w:val="21"/>
                    </w:rPr>
                  </w:pPr>
                  <w:r>
                    <w:rPr>
                      <w:color w:val="auto"/>
                      <w:sz w:val="21"/>
                      <w:szCs w:val="21"/>
                    </w:rPr>
                    <w:t>《挥发性有机物无组织控制排放标准》（GB37822-2019）附录A中</w:t>
                  </w:r>
                  <w:r>
                    <w:rPr>
                      <w:rFonts w:hint="eastAsia" w:ascii="宋体" w:hAnsi="宋体" w:cs="宋体"/>
                      <w:color w:val="auto"/>
                      <w:sz w:val="21"/>
                      <w:szCs w:val="21"/>
                    </w:rPr>
                    <w:t>“</w:t>
                  </w:r>
                  <w:r>
                    <w:rPr>
                      <w:color w:val="auto"/>
                      <w:sz w:val="21"/>
                      <w:szCs w:val="21"/>
                    </w:rPr>
                    <w:t>表A.1中限值-特别</w:t>
                  </w:r>
                  <w:r>
                    <w:rPr>
                      <w:rFonts w:hint="eastAsia" w:ascii="宋体" w:hAnsi="宋体" w:cs="宋体"/>
                      <w:color w:val="auto"/>
                      <w:sz w:val="21"/>
                      <w:szCs w:val="21"/>
                    </w:rPr>
                    <w:t>排放限值”</w:t>
                  </w:r>
                </w:p>
              </w:tc>
              <w:tc>
                <w:tcPr>
                  <w:tcW w:w="2997" w:type="dxa"/>
                  <w:vMerge w:val="continue"/>
                  <w:vAlign w:val="center"/>
                </w:tcPr>
                <w:p w14:paraId="29F9D32B">
                  <w:pPr>
                    <w:pStyle w:val="34"/>
                    <w:jc w:val="center"/>
                    <w:rPr>
                      <w:color w:val="auto"/>
                      <w:sz w:val="21"/>
                      <w:szCs w:val="21"/>
                    </w:rPr>
                  </w:pPr>
                </w:p>
              </w:tc>
            </w:tr>
          </w:tbl>
          <w:p w14:paraId="210AB939">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废气环境影响分析</w:t>
            </w:r>
          </w:p>
          <w:p w14:paraId="57160ECC">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w:t>
            </w:r>
            <w:r>
              <w:rPr>
                <w:rFonts w:hint="eastAsia" w:ascii="Times New Roman" w:hAnsi="Times New Roman" w:cs="Times New Roman"/>
                <w:color w:val="auto"/>
                <w:sz w:val="24"/>
              </w:rPr>
              <w:t>《202</w:t>
            </w:r>
            <w:r>
              <w:rPr>
                <w:rFonts w:hint="eastAsia" w:ascii="Times New Roman" w:hAnsi="Times New Roman" w:cs="Times New Roman"/>
                <w:color w:val="auto"/>
                <w:sz w:val="24"/>
                <w:lang w:val="en-US" w:eastAsia="zh-CN"/>
              </w:rPr>
              <w:t>4</w:t>
            </w:r>
            <w:r>
              <w:rPr>
                <w:rFonts w:hint="eastAsia" w:ascii="Times New Roman" w:hAnsi="Times New Roman" w:cs="Times New Roman"/>
                <w:color w:val="auto"/>
                <w:sz w:val="24"/>
              </w:rPr>
              <w:t>年度淮北市生态环境状况公报》（淮北市生态环境局，202</w:t>
            </w:r>
            <w:r>
              <w:rPr>
                <w:rFonts w:hint="eastAsia" w:ascii="Times New Roman" w:hAnsi="Times New Roman" w:cs="Times New Roman"/>
                <w:color w:val="auto"/>
                <w:sz w:val="24"/>
                <w:lang w:val="en-US" w:eastAsia="zh-CN"/>
              </w:rPr>
              <w:t>5</w:t>
            </w:r>
            <w:r>
              <w:rPr>
                <w:rFonts w:hint="eastAsia" w:ascii="Times New Roman" w:hAnsi="Times New Roman" w:cs="Times New Roman"/>
                <w:color w:val="auto"/>
                <w:sz w:val="24"/>
              </w:rPr>
              <w:t>年06月）</w:t>
            </w:r>
            <w:r>
              <w:rPr>
                <w:rFonts w:ascii="Times New Roman" w:hAnsi="Times New Roman" w:cs="Times New Roman"/>
                <w:color w:val="auto"/>
                <w:sz w:val="24"/>
              </w:rPr>
              <w:t>，项目所在地为大气环境空气质量不达标区。目前，</w:t>
            </w:r>
            <w:r>
              <w:rPr>
                <w:rFonts w:hint="eastAsia" w:ascii="Times New Roman" w:hAnsi="Times New Roman" w:cs="Times New Roman"/>
                <w:color w:val="auto"/>
                <w:sz w:val="24"/>
              </w:rPr>
              <w:t>淮北市</w:t>
            </w:r>
            <w:r>
              <w:rPr>
                <w:rFonts w:ascii="Times New Roman" w:hAnsi="Times New Roman" w:cs="Times New Roman"/>
                <w:color w:val="auto"/>
                <w:sz w:val="24"/>
              </w:rPr>
              <w:t>生态环境局积极开展大气污染物防治工作，为强化环境空气质量目标管理，进一步落实各县（市、区）人民政府对本辖区环境空气质量的属地责任，改善环境空气质量，结合实际，在全省率先出台了环境空气质量生态补偿暂行办法，</w:t>
            </w:r>
            <w:r>
              <w:rPr>
                <w:rFonts w:hint="eastAsia" w:ascii="Times New Roman" w:hAnsi="Times New Roman" w:cs="Times New Roman"/>
                <w:color w:val="auto"/>
                <w:sz w:val="24"/>
              </w:rPr>
              <w:t>淮北市</w:t>
            </w:r>
            <w:r>
              <w:rPr>
                <w:rFonts w:ascii="Times New Roman" w:hAnsi="Times New Roman" w:cs="Times New Roman"/>
                <w:color w:val="auto"/>
                <w:sz w:val="24"/>
              </w:rPr>
              <w:t>从产业结构调整、能源结构调整、运输结构调整、用地结构调整、工业炉窑专项整治、VOCs专项整治、区域大气污染联防联控等方面提出各项整改措施，以改善环境质量。根据大气环境质量达标规划，通过进一步控制工业废气治理、扬尘污染等措施，大气环境质量状况可以得到进一步改善。</w:t>
            </w:r>
          </w:p>
          <w:p w14:paraId="4AC5C182">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根据上文废气拟采取的措施可行性分析，本项目</w:t>
            </w:r>
            <w:r>
              <w:rPr>
                <w:rFonts w:hint="eastAsia" w:ascii="Times New Roman" w:hAnsi="Times New Roman" w:cs="Times New Roman"/>
                <w:color w:val="auto"/>
                <w:sz w:val="24"/>
                <w:lang w:val="en-US" w:eastAsia="zh-CN"/>
              </w:rPr>
              <w:t>理化实验-非甲烷总烃及甲苯经</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水喷淋+脱水除雾器+</w:t>
            </w:r>
            <w:r>
              <w:rPr>
                <w:rFonts w:hint="default" w:ascii="Times New Roman" w:hAnsi="Times New Roman" w:eastAsia="宋体" w:cs="Times New Roman"/>
                <w:color w:val="auto"/>
                <w:sz w:val="24"/>
                <w:lang w:val="en-US" w:eastAsia="zh-CN"/>
              </w:rPr>
              <w:t>两级活性炭</w:t>
            </w:r>
            <w:r>
              <w:rPr>
                <w:rFonts w:hint="eastAsia" w:ascii="Times New Roman" w:hAnsi="Times New Roman" w:eastAsia="宋体" w:cs="Times New Roman"/>
                <w:color w:val="auto"/>
                <w:sz w:val="24"/>
                <w:lang w:val="en-US" w:eastAsia="zh-CN"/>
              </w:rPr>
              <w:t>”</w:t>
            </w:r>
            <w:r>
              <w:rPr>
                <w:rFonts w:hint="eastAsia" w:ascii="Times New Roman" w:hAnsi="Times New Roman" w:cs="Times New Roman"/>
                <w:color w:val="auto"/>
                <w:sz w:val="24"/>
                <w:lang w:val="en-US" w:eastAsia="zh-CN"/>
              </w:rPr>
              <w:t>处理后，小试及</w:t>
            </w:r>
            <w:r>
              <w:rPr>
                <w:rFonts w:hint="eastAsia" w:ascii="Times New Roman" w:hAnsi="Times New Roman" w:cs="Times New Roman"/>
                <w:color w:val="auto"/>
                <w:sz w:val="24"/>
                <w:lang w:eastAsia="zh-CN"/>
              </w:rPr>
              <w:t>试样燃烧</w:t>
            </w:r>
            <w:r>
              <w:rPr>
                <w:rFonts w:hint="eastAsia" w:ascii="Times New Roman" w:hAnsi="Times New Roman" w:cs="Times New Roman"/>
                <w:color w:val="auto"/>
                <w:sz w:val="24"/>
              </w:rPr>
              <w:t>-非甲烷总烃、</w:t>
            </w:r>
            <w:r>
              <w:rPr>
                <w:rFonts w:hint="eastAsia" w:ascii="Times New Roman" w:hAnsi="Times New Roman" w:cs="Times New Roman"/>
                <w:color w:val="auto"/>
                <w:sz w:val="24"/>
                <w:lang w:eastAsia="zh-CN"/>
              </w:rPr>
              <w:t>氯化氢、颗粒物、二氧化硫、氮氧化物经</w:t>
            </w:r>
            <w:r>
              <w:rPr>
                <w:rFonts w:hint="eastAsia" w:ascii="Times New Roman" w:hAnsi="Times New Roman" w:eastAsia="宋体"/>
                <w:color w:val="auto"/>
                <w:sz w:val="24"/>
                <w:szCs w:val="24"/>
                <w:lang w:val="zh-CN"/>
              </w:rPr>
              <w:t>“</w:t>
            </w:r>
            <w:r>
              <w:rPr>
                <w:rFonts w:hint="eastAsia" w:ascii="Times New Roman" w:hAnsi="Times New Roman" w:eastAsia="宋体" w:cs="Times New Roman"/>
                <w:color w:val="auto"/>
                <w:sz w:val="24"/>
                <w:lang w:val="en-US" w:eastAsia="zh-CN"/>
              </w:rPr>
              <w:t>水喷淋+脱水除雾器+</w:t>
            </w:r>
            <w:r>
              <w:rPr>
                <w:rFonts w:hint="default" w:ascii="Times New Roman" w:hAnsi="Times New Roman" w:eastAsia="宋体" w:cs="Times New Roman"/>
                <w:color w:val="auto"/>
                <w:sz w:val="24"/>
                <w:lang w:val="en-US" w:eastAsia="zh-CN"/>
              </w:rPr>
              <w:t>两级活性炭</w:t>
            </w:r>
            <w:r>
              <w:rPr>
                <w:rFonts w:hint="eastAsia" w:ascii="Times New Roman" w:hAnsi="Times New Roman" w:eastAsia="宋体"/>
                <w:color w:val="auto"/>
                <w:sz w:val="24"/>
                <w:szCs w:val="24"/>
                <w:lang w:val="zh-CN"/>
              </w:rPr>
              <w:t>”后</w:t>
            </w:r>
            <w:r>
              <w:rPr>
                <w:rFonts w:ascii="Times New Roman" w:hAnsi="Times New Roman" w:cs="Times New Roman"/>
                <w:color w:val="auto"/>
                <w:sz w:val="24"/>
              </w:rPr>
              <w:t>排放满足《大气污染物综合排放标准》（GB16297-1996）表2中最高允许排放浓度限值</w:t>
            </w:r>
            <w:r>
              <w:rPr>
                <w:rFonts w:hint="eastAsia" w:ascii="Times New Roman" w:hAnsi="Times New Roman" w:cs="Times New Roman"/>
                <w:color w:val="auto"/>
                <w:sz w:val="24"/>
              </w:rPr>
              <w:t>；</w:t>
            </w:r>
            <w:r>
              <w:rPr>
                <w:rFonts w:ascii="Times New Roman" w:hAnsi="Times New Roman" w:cs="Times New Roman"/>
                <w:color w:val="auto"/>
                <w:sz w:val="24"/>
              </w:rPr>
              <w:t>厂区内无组织非甲烷总烃排放满足《挥发性有机物无组织排放控制标准》（GB37822-2019）中特别排放限值。</w:t>
            </w:r>
          </w:p>
          <w:p w14:paraId="37D5C259">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2、废水</w:t>
            </w:r>
          </w:p>
          <w:p w14:paraId="50AC1D01">
            <w:pPr>
              <w:pStyle w:val="49"/>
              <w:spacing w:line="360" w:lineRule="auto"/>
              <w:rPr>
                <w:rFonts w:hint="eastAsia" w:ascii="Times New Roman" w:hAnsi="Times New Roman" w:eastAsia="宋体"/>
                <w:color w:val="auto"/>
                <w:lang w:eastAsia="zh-CN"/>
              </w:rPr>
            </w:pPr>
            <w:r>
              <w:rPr>
                <w:rFonts w:hint="eastAsia" w:ascii="Times New Roman" w:hAnsi="Times New Roman" w:eastAsia="宋体"/>
                <w:color w:val="auto"/>
                <w:lang w:eastAsia="zh-CN"/>
              </w:rPr>
              <w:t>化验室用水</w:t>
            </w:r>
          </w:p>
          <w:p w14:paraId="2007E0F6">
            <w:pPr>
              <w:pStyle w:val="49"/>
              <w:spacing w:line="360" w:lineRule="auto"/>
              <w:rPr>
                <w:rFonts w:hint="default" w:ascii="Times New Roman" w:hAnsi="Times New Roman" w:eastAsia="宋体"/>
                <w:color w:val="auto"/>
                <w:lang w:val="en-US" w:eastAsia="zh-CN"/>
              </w:rPr>
            </w:pPr>
            <w:r>
              <w:rPr>
                <w:rFonts w:hint="eastAsia" w:ascii="Times New Roman" w:hAnsi="Times New Roman" w:eastAsia="宋体"/>
                <w:color w:val="auto"/>
              </w:rPr>
              <w:t>项目检测过程使用三角烧瓶、玻璃漏斗、试管、烧杯、玻璃量筒、滴定管、顶空瓶等，大多数器皿规格为2-500mL，实验结束后需对器材进行清洗，会产生</w:t>
            </w:r>
            <w:r>
              <w:rPr>
                <w:rFonts w:hint="eastAsia" w:ascii="Times New Roman" w:hAnsi="Times New Roman" w:eastAsia="宋体"/>
                <w:color w:val="auto"/>
                <w:lang w:eastAsia="zh-CN"/>
              </w:rPr>
              <w:t>化验室</w:t>
            </w:r>
            <w:r>
              <w:rPr>
                <w:rFonts w:hint="eastAsia" w:ascii="Times New Roman" w:hAnsi="Times New Roman" w:eastAsia="宋体"/>
                <w:color w:val="auto"/>
              </w:rPr>
              <w:t>清洗废水</w:t>
            </w:r>
            <w:r>
              <w:rPr>
                <w:rFonts w:hint="eastAsia" w:ascii="Times New Roman" w:hAnsi="Times New Roman" w:eastAsia="宋体"/>
                <w:color w:val="auto"/>
                <w:lang w:eastAsia="zh-CN"/>
              </w:rPr>
              <w:t>。根据建设单位提供的资料，清洗用水量约为</w:t>
            </w:r>
            <w:r>
              <w:rPr>
                <w:rFonts w:hint="eastAsia" w:ascii="Times New Roman" w:hAnsi="Times New Roman" w:eastAsia="宋体"/>
                <w:color w:val="auto"/>
                <w:lang w:val="en-US" w:eastAsia="zh-CN"/>
              </w:rPr>
              <w:t>60L/a，产生的清洗废水量约为50L/a。此部分清洗废水当做化验室废液集中收集后委托危险废物单位进行处理处置，不外排。</w:t>
            </w:r>
          </w:p>
          <w:p w14:paraId="73078408">
            <w:pPr>
              <w:pStyle w:val="49"/>
              <w:spacing w:line="360" w:lineRule="auto"/>
              <w:rPr>
                <w:rFonts w:ascii="Times New Roman" w:hAnsi="Times New Roman" w:eastAsia="宋体"/>
                <w:color w:val="auto"/>
              </w:rPr>
            </w:pPr>
            <w:r>
              <w:rPr>
                <w:rFonts w:ascii="Times New Roman" w:hAnsi="Times New Roman" w:eastAsia="宋体"/>
                <w:color w:val="auto"/>
              </w:rPr>
              <w:t>项目运营期水平衡图见图</w:t>
            </w:r>
            <w:r>
              <w:rPr>
                <w:rFonts w:hint="eastAsia" w:ascii="Times New Roman" w:hAnsi="Times New Roman" w:eastAsia="宋体"/>
                <w:color w:val="auto"/>
              </w:rPr>
              <w:t>4.</w:t>
            </w:r>
            <w:r>
              <w:rPr>
                <w:rFonts w:hint="eastAsia" w:ascii="Times New Roman" w:hAnsi="Times New Roman" w:eastAsia="宋体"/>
                <w:color w:val="auto"/>
                <w:lang w:val="en-US" w:eastAsia="zh-CN"/>
              </w:rPr>
              <w:t>2</w:t>
            </w:r>
            <w:r>
              <w:rPr>
                <w:rFonts w:ascii="Times New Roman" w:hAnsi="Times New Roman" w:eastAsia="宋体"/>
                <w:color w:val="auto"/>
              </w:rPr>
              <w:t>。</w:t>
            </w:r>
          </w:p>
          <w:p w14:paraId="0CCE8DEC">
            <w:pPr>
              <w:spacing w:line="360" w:lineRule="auto"/>
              <w:jc w:val="center"/>
              <w:rPr>
                <w:rFonts w:ascii="Times New Roman" w:hAnsi="Times New Roman" w:eastAsia="宋体"/>
                <w:color w:val="auto"/>
              </w:rPr>
            </w:pPr>
            <w:r>
              <w:drawing>
                <wp:inline distT="0" distB="0" distL="114300" distR="114300">
                  <wp:extent cx="4133850" cy="1752600"/>
                  <wp:effectExtent l="0" t="0" r="0" b="0"/>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21"/>
                          <a:stretch>
                            <a:fillRect/>
                          </a:stretch>
                        </pic:blipFill>
                        <pic:spPr>
                          <a:xfrm>
                            <a:off x="0" y="0"/>
                            <a:ext cx="4133850" cy="1752600"/>
                          </a:xfrm>
                          <a:prstGeom prst="rect">
                            <a:avLst/>
                          </a:prstGeom>
                          <a:noFill/>
                          <a:ln>
                            <a:noFill/>
                          </a:ln>
                        </pic:spPr>
                      </pic:pic>
                    </a:graphicData>
                  </a:graphic>
                </wp:inline>
              </w:drawing>
            </w:r>
          </w:p>
          <w:p w14:paraId="5E2F8B17">
            <w:pPr>
              <w:pStyle w:val="49"/>
              <w:spacing w:line="360" w:lineRule="auto"/>
              <w:ind w:firstLine="0" w:firstLineChars="0"/>
              <w:jc w:val="center"/>
              <w:rPr>
                <w:rFonts w:ascii="Times New Roman" w:hAnsi="Times New Roman" w:eastAsia="宋体"/>
                <w:b/>
                <w:bCs/>
                <w:color w:val="auto"/>
              </w:rPr>
            </w:pPr>
            <w:r>
              <w:rPr>
                <w:rFonts w:ascii="Times New Roman" w:hAnsi="Times New Roman" w:eastAsia="宋体"/>
                <w:b/>
                <w:bCs/>
                <w:color w:val="auto"/>
              </w:rPr>
              <w:t>图</w:t>
            </w:r>
            <w:r>
              <w:rPr>
                <w:rFonts w:hint="eastAsia" w:ascii="Times New Roman" w:hAnsi="Times New Roman" w:eastAsia="宋体"/>
                <w:b/>
                <w:bCs/>
                <w:color w:val="auto"/>
              </w:rPr>
              <w:t>4.</w:t>
            </w:r>
            <w:r>
              <w:rPr>
                <w:rFonts w:hint="eastAsia" w:ascii="Times New Roman" w:hAnsi="Times New Roman" w:eastAsia="宋体"/>
                <w:b/>
                <w:bCs/>
                <w:color w:val="auto"/>
                <w:lang w:val="en-US" w:eastAsia="zh-CN"/>
              </w:rPr>
              <w:t>1</w:t>
            </w:r>
            <w:r>
              <w:rPr>
                <w:rFonts w:ascii="Times New Roman" w:hAnsi="Times New Roman" w:eastAsia="宋体"/>
                <w:b/>
                <w:bCs/>
                <w:color w:val="auto"/>
              </w:rPr>
              <w:t xml:space="preserve">  运营期水平衡图</w:t>
            </w:r>
            <w:r>
              <w:rPr>
                <w:rFonts w:hint="eastAsia" w:ascii="Times New Roman" w:hAnsi="Times New Roman" w:eastAsia="宋体"/>
                <w:b/>
                <w:bCs/>
                <w:color w:val="auto"/>
              </w:rPr>
              <w:t xml:space="preserve">  单位：</w:t>
            </w:r>
            <w:r>
              <w:rPr>
                <w:rFonts w:ascii="Times New Roman" w:hAnsi="Times New Roman" w:eastAsia="宋体"/>
                <w:b/>
                <w:bCs/>
                <w:color w:val="auto"/>
              </w:rPr>
              <w:t>t/</w:t>
            </w:r>
            <w:r>
              <w:rPr>
                <w:rFonts w:hint="eastAsia" w:ascii="Times New Roman" w:hAnsi="Times New Roman" w:eastAsia="宋体"/>
                <w:b/>
                <w:bCs/>
                <w:color w:val="auto"/>
              </w:rPr>
              <w:t>d</w:t>
            </w:r>
          </w:p>
          <w:p w14:paraId="2276802A">
            <w:pPr>
              <w:autoSpaceDE w:val="0"/>
              <w:autoSpaceDN w:val="0"/>
              <w:adjustRightInd w:val="0"/>
              <w:spacing w:line="360" w:lineRule="auto"/>
              <w:ind w:firstLine="480" w:firstLineChars="2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项目排水实行雨污分流制，雨水经厂区雨水管网收集后排入市政雨水管网。</w:t>
            </w:r>
            <w:r>
              <w:rPr>
                <w:rFonts w:hint="default" w:ascii="Times New Roman" w:hAnsi="Times New Roman" w:eastAsia="宋体" w:cs="Times New Roman"/>
                <w:color w:val="auto"/>
                <w:sz w:val="24"/>
                <w:szCs w:val="24"/>
                <w:lang w:eastAsia="zh-CN"/>
              </w:rPr>
              <w:t>项目运营期</w:t>
            </w:r>
            <w:r>
              <w:rPr>
                <w:rFonts w:hint="eastAsia" w:ascii="Times New Roman" w:hAnsi="Times New Roman" w:eastAsia="宋体" w:cs="Times New Roman"/>
                <w:color w:val="auto"/>
                <w:sz w:val="24"/>
                <w:szCs w:val="24"/>
                <w:lang w:eastAsia="zh-CN"/>
              </w:rPr>
              <w:t>无</w:t>
            </w:r>
            <w:r>
              <w:rPr>
                <w:rFonts w:hint="default" w:ascii="Times New Roman" w:hAnsi="Times New Roman" w:eastAsia="宋体" w:cs="Times New Roman"/>
                <w:color w:val="auto"/>
                <w:sz w:val="24"/>
                <w:szCs w:val="24"/>
                <w:lang w:eastAsia="zh-CN"/>
              </w:rPr>
              <w:t>生产性废水</w:t>
            </w:r>
            <w:r>
              <w:rPr>
                <w:rFonts w:hint="eastAsia" w:ascii="Times New Roman" w:hAnsi="Times New Roman" w:eastAsia="宋体" w:cs="Times New Roman"/>
                <w:color w:val="auto"/>
                <w:sz w:val="24"/>
                <w:szCs w:val="24"/>
                <w:lang w:eastAsia="zh-CN"/>
              </w:rPr>
              <w:t>产生及排放</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生活污水</w:t>
            </w:r>
            <w:r>
              <w:rPr>
                <w:rFonts w:hint="default" w:ascii="Times New Roman" w:hAnsi="Times New Roman" w:eastAsia="宋体" w:cs="Times New Roman"/>
                <w:color w:val="auto"/>
                <w:sz w:val="24"/>
                <w:szCs w:val="24"/>
                <w:lang w:eastAsia="zh-CN"/>
              </w:rPr>
              <w:t>依托</w:t>
            </w:r>
            <w:r>
              <w:rPr>
                <w:rFonts w:hint="default" w:ascii="Times New Roman" w:hAnsi="Times New Roman" w:eastAsia="宋体" w:cs="Times New Roman"/>
                <w:color w:val="auto"/>
                <w:sz w:val="24"/>
                <w:szCs w:val="24"/>
                <w:lang w:val="en-US" w:eastAsia="zh-CN"/>
              </w:rPr>
              <w:t>公司</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化粪池</w:t>
            </w:r>
            <w:r>
              <w:rPr>
                <w:rFonts w:hint="eastAsia" w:ascii="Times New Roman" w:hAnsi="Times New Roman" w:eastAsia="宋体" w:cs="Times New Roman"/>
                <w:color w:val="auto"/>
                <w:sz w:val="24"/>
                <w:szCs w:val="24"/>
                <w:lang w:eastAsia="zh-CN"/>
              </w:rPr>
              <w:t>”预</w:t>
            </w:r>
            <w:r>
              <w:rPr>
                <w:rFonts w:hint="eastAsia" w:ascii="Times New Roman" w:hAnsi="Times New Roman" w:eastAsia="宋体" w:cs="Times New Roman"/>
                <w:color w:val="auto"/>
                <w:sz w:val="24"/>
                <w:szCs w:val="24"/>
              </w:rPr>
              <w:t>处理</w:t>
            </w:r>
            <w:r>
              <w:rPr>
                <w:rFonts w:hint="default" w:ascii="Times New Roman" w:hAnsi="Times New Roman" w:eastAsia="宋体" w:cs="Times New Roman"/>
                <w:color w:val="auto"/>
                <w:sz w:val="24"/>
                <w:szCs w:val="24"/>
              </w:rPr>
              <w:t>达</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污水综合排放标准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GB</w:t>
            </w:r>
            <w:r>
              <w:rPr>
                <w:rFonts w:hint="eastAsia" w:ascii="Times New Roman" w:hAnsi="Times New Roman" w:eastAsia="宋体" w:cs="Times New Roman"/>
                <w:color w:val="auto"/>
                <w:sz w:val="24"/>
                <w:szCs w:val="24"/>
                <w:lang w:val="en-US" w:eastAsia="zh-CN"/>
              </w:rPr>
              <w:t>8978-1996</w:t>
            </w:r>
            <w:r>
              <w:rPr>
                <w:rFonts w:hint="default" w:ascii="Times New Roman" w:hAnsi="Times New Roman" w:eastAsia="宋体" w:cs="Times New Roman"/>
                <w:color w:val="auto"/>
                <w:sz w:val="24"/>
                <w:szCs w:val="24"/>
                <w:lang w:eastAsia="zh-CN"/>
              </w:rPr>
              <w:t>）表</w:t>
            </w:r>
            <w:r>
              <w:rPr>
                <w:rFonts w:hint="eastAsia" w:ascii="Times New Roman" w:hAnsi="Times New Roman" w:eastAsia="宋体" w:cs="Times New Roman"/>
                <w:color w:val="auto"/>
                <w:sz w:val="24"/>
                <w:szCs w:val="24"/>
                <w:lang w:val="en-US" w:eastAsia="zh-CN"/>
              </w:rPr>
              <w:t>3中三级标准限值</w:t>
            </w:r>
            <w:r>
              <w:rPr>
                <w:rFonts w:hint="default" w:ascii="Times New Roman" w:hAnsi="Times New Roman" w:eastAsia="宋体" w:cs="Times New Roman"/>
                <w:color w:val="auto"/>
                <w:sz w:val="24"/>
                <w:szCs w:val="24"/>
              </w:rPr>
              <w:t>及</w:t>
            </w:r>
            <w:r>
              <w:rPr>
                <w:rFonts w:hint="eastAsia" w:ascii="Times New Roman" w:hAnsi="Times New Roman" w:eastAsia="宋体" w:cs="Times New Roman"/>
                <w:color w:val="auto"/>
                <w:sz w:val="24"/>
                <w:szCs w:val="24"/>
                <w:lang w:eastAsia="zh-CN"/>
              </w:rPr>
              <w:t>基地污水处理厂</w:t>
            </w:r>
            <w:r>
              <w:rPr>
                <w:rFonts w:hint="default" w:ascii="Times New Roman" w:hAnsi="Times New Roman" w:eastAsia="宋体" w:cs="Times New Roman"/>
                <w:color w:val="auto"/>
                <w:sz w:val="24"/>
                <w:szCs w:val="24"/>
              </w:rPr>
              <w:t>接管</w:t>
            </w:r>
            <w:r>
              <w:rPr>
                <w:rFonts w:hint="default" w:ascii="Times New Roman" w:hAnsi="Times New Roman" w:eastAsia="宋体" w:cs="Times New Roman"/>
                <w:color w:val="auto"/>
                <w:sz w:val="24"/>
                <w:szCs w:val="24"/>
                <w:lang w:eastAsia="zh-CN"/>
              </w:rPr>
              <w:t>限值后</w:t>
            </w:r>
            <w:r>
              <w:rPr>
                <w:rFonts w:hint="eastAsia" w:ascii="Times New Roman" w:hAnsi="Times New Roman" w:eastAsia="宋体" w:cs="Times New Roman"/>
                <w:color w:val="auto"/>
                <w:sz w:val="24"/>
                <w:szCs w:val="24"/>
                <w:lang w:eastAsia="zh-CN"/>
              </w:rPr>
              <w:t>排入基地污水处理厂</w:t>
            </w:r>
            <w:r>
              <w:rPr>
                <w:rFonts w:hint="default" w:ascii="Times New Roman" w:hAnsi="Times New Roman" w:eastAsia="宋体" w:cs="Times New Roman"/>
                <w:color w:val="auto"/>
                <w:sz w:val="24"/>
                <w:szCs w:val="24"/>
              </w:rPr>
              <w:t>处理达《城镇污水处理厂污染物排放标准》（GB18918-2002）表1中</w:t>
            </w:r>
            <w:r>
              <w:rPr>
                <w:rFonts w:hint="eastAsia" w:ascii="Times New Roman" w:hAnsi="Times New Roman" w:eastAsia="宋体" w:cs="Times New Roman"/>
                <w:color w:val="auto"/>
                <w:sz w:val="24"/>
                <w:szCs w:val="24"/>
                <w:lang w:eastAsia="zh-CN"/>
              </w:rPr>
              <w:t>一级</w:t>
            </w:r>
            <w:r>
              <w:rPr>
                <w:rFonts w:hint="eastAsia"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rPr>
              <w:t>标准后</w:t>
            </w:r>
            <w:r>
              <w:rPr>
                <w:rFonts w:hint="eastAsia" w:ascii="Times New Roman" w:hAnsi="Times New Roman" w:eastAsia="宋体" w:cs="Times New Roman"/>
                <w:color w:val="auto"/>
                <w:sz w:val="24"/>
                <w:szCs w:val="24"/>
                <w:lang w:val="en-US" w:eastAsia="zh-CN"/>
              </w:rPr>
              <w:t>回用</w:t>
            </w:r>
            <w:r>
              <w:rPr>
                <w:rFonts w:ascii="Times New Roman" w:hAnsi="Times New Roman" w:eastAsia="宋体" w:cs="Times New Roman"/>
                <w:color w:val="auto"/>
                <w:sz w:val="24"/>
                <w:szCs w:val="24"/>
              </w:rPr>
              <w:t>。</w:t>
            </w:r>
          </w:p>
          <w:p w14:paraId="32B52D62">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（1）废水</w:t>
            </w:r>
            <w:r>
              <w:rPr>
                <w:rFonts w:ascii="Times New Roman" w:hAnsi="Times New Roman" w:cs="Times New Roman"/>
                <w:color w:val="auto"/>
                <w:sz w:val="24"/>
                <w:lang w:val="zh-CN"/>
              </w:rPr>
              <w:t>达标排放可行性</w:t>
            </w:r>
          </w:p>
          <w:p w14:paraId="2045DDA0">
            <w:pPr>
              <w:pStyle w:val="34"/>
              <w:spacing w:line="360" w:lineRule="auto"/>
              <w:ind w:firstLine="480" w:firstLineChars="200"/>
              <w:rPr>
                <w:color w:val="auto"/>
              </w:rPr>
            </w:pPr>
            <w:r>
              <w:rPr>
                <w:color w:val="auto"/>
              </w:rPr>
              <w:t>建设项目运营期废水产生及排放情况一览表见表4.</w:t>
            </w:r>
            <w:r>
              <w:rPr>
                <w:rFonts w:hint="eastAsia"/>
                <w:color w:val="auto"/>
                <w:lang w:val="en-US" w:eastAsia="zh-CN"/>
              </w:rPr>
              <w:t>4</w:t>
            </w:r>
            <w:r>
              <w:rPr>
                <w:color w:val="auto"/>
              </w:rPr>
              <w:t>。</w:t>
            </w:r>
          </w:p>
          <w:p w14:paraId="68885757">
            <w:pPr>
              <w:pStyle w:val="34"/>
              <w:jc w:val="center"/>
              <w:rPr>
                <w:rFonts w:hint="eastAsia" w:eastAsia="宋体"/>
                <w:b/>
                <w:bCs/>
                <w:color w:val="auto"/>
                <w:lang w:eastAsia="zh-CN"/>
              </w:rPr>
            </w:pPr>
            <w:r>
              <w:rPr>
                <w:b/>
                <w:bCs/>
                <w:color w:val="auto"/>
              </w:rPr>
              <w:t>表4.</w:t>
            </w:r>
            <w:r>
              <w:rPr>
                <w:rFonts w:hint="eastAsia"/>
                <w:b/>
                <w:bCs/>
                <w:color w:val="auto"/>
                <w:lang w:val="en-US" w:eastAsia="zh-CN"/>
              </w:rPr>
              <w:t>4</w:t>
            </w:r>
            <w:r>
              <w:rPr>
                <w:b/>
                <w:bCs/>
                <w:color w:val="auto"/>
              </w:rPr>
              <w:t xml:space="preserve">  运营期废水产生及排放情况一览表</w:t>
            </w:r>
          </w:p>
          <w:tbl>
            <w:tblPr>
              <w:tblStyle w:val="28"/>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1777"/>
              <w:gridCol w:w="1344"/>
              <w:gridCol w:w="1344"/>
              <w:gridCol w:w="1344"/>
              <w:gridCol w:w="1344"/>
              <w:gridCol w:w="1344"/>
            </w:tblGrid>
            <w:tr w14:paraId="26516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64" w:type="dxa"/>
                  <w:gridSpan w:val="2"/>
                  <w:vAlign w:val="center"/>
                </w:tcPr>
                <w:p w14:paraId="7050CC2D">
                  <w:pPr>
                    <w:pStyle w:val="34"/>
                    <w:jc w:val="center"/>
                    <w:rPr>
                      <w:color w:val="auto"/>
                      <w:sz w:val="21"/>
                      <w:szCs w:val="21"/>
                    </w:rPr>
                  </w:pPr>
                  <w:r>
                    <w:rPr>
                      <w:color w:val="auto"/>
                      <w:sz w:val="21"/>
                      <w:szCs w:val="21"/>
                    </w:rPr>
                    <w:t>废水种类</w:t>
                  </w:r>
                </w:p>
              </w:tc>
              <w:tc>
                <w:tcPr>
                  <w:tcW w:w="1181" w:type="dxa"/>
                  <w:vAlign w:val="center"/>
                </w:tcPr>
                <w:p w14:paraId="24ECEDF5">
                  <w:pPr>
                    <w:pStyle w:val="34"/>
                    <w:jc w:val="center"/>
                    <w:rPr>
                      <w:color w:val="auto"/>
                      <w:sz w:val="21"/>
                      <w:szCs w:val="21"/>
                    </w:rPr>
                  </w:pPr>
                  <w:r>
                    <w:rPr>
                      <w:color w:val="auto"/>
                      <w:sz w:val="21"/>
                      <w:szCs w:val="21"/>
                    </w:rPr>
                    <w:t>废水量t/a</w:t>
                  </w:r>
                </w:p>
              </w:tc>
              <w:tc>
                <w:tcPr>
                  <w:tcW w:w="1181" w:type="dxa"/>
                  <w:vAlign w:val="center"/>
                </w:tcPr>
                <w:p w14:paraId="29BE5D40">
                  <w:pPr>
                    <w:pStyle w:val="34"/>
                    <w:jc w:val="center"/>
                    <w:rPr>
                      <w:color w:val="auto"/>
                      <w:sz w:val="21"/>
                      <w:szCs w:val="21"/>
                    </w:rPr>
                  </w:pPr>
                  <w:r>
                    <w:rPr>
                      <w:color w:val="auto"/>
                      <w:sz w:val="21"/>
                      <w:szCs w:val="21"/>
                    </w:rPr>
                    <w:t>COD</w:t>
                  </w:r>
                </w:p>
              </w:tc>
              <w:tc>
                <w:tcPr>
                  <w:tcW w:w="1181" w:type="dxa"/>
                  <w:vAlign w:val="center"/>
                </w:tcPr>
                <w:p w14:paraId="56FB3961">
                  <w:pPr>
                    <w:pStyle w:val="34"/>
                    <w:jc w:val="center"/>
                    <w:rPr>
                      <w:color w:val="auto"/>
                      <w:sz w:val="21"/>
                      <w:szCs w:val="21"/>
                    </w:rPr>
                  </w:pPr>
                  <w:r>
                    <w:rPr>
                      <w:color w:val="auto"/>
                      <w:sz w:val="21"/>
                      <w:szCs w:val="21"/>
                    </w:rPr>
                    <w:t>BOD</w:t>
                  </w:r>
                  <w:r>
                    <w:rPr>
                      <w:color w:val="auto"/>
                      <w:sz w:val="21"/>
                      <w:szCs w:val="21"/>
                      <w:vertAlign w:val="subscript"/>
                    </w:rPr>
                    <w:t>5</w:t>
                  </w:r>
                </w:p>
              </w:tc>
              <w:tc>
                <w:tcPr>
                  <w:tcW w:w="1181" w:type="dxa"/>
                  <w:vAlign w:val="center"/>
                </w:tcPr>
                <w:p w14:paraId="0B34B6A9">
                  <w:pPr>
                    <w:pStyle w:val="34"/>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1181" w:type="dxa"/>
                  <w:vAlign w:val="center"/>
                </w:tcPr>
                <w:p w14:paraId="502F5F69">
                  <w:pPr>
                    <w:pStyle w:val="34"/>
                    <w:jc w:val="center"/>
                    <w:rPr>
                      <w:color w:val="auto"/>
                      <w:sz w:val="21"/>
                      <w:szCs w:val="21"/>
                    </w:rPr>
                  </w:pPr>
                  <w:r>
                    <w:rPr>
                      <w:color w:val="auto"/>
                      <w:sz w:val="21"/>
                      <w:szCs w:val="21"/>
                    </w:rPr>
                    <w:t>SS</w:t>
                  </w:r>
                </w:p>
              </w:tc>
            </w:tr>
            <w:tr w14:paraId="722D2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Merge w:val="restart"/>
                  <w:vAlign w:val="center"/>
                </w:tcPr>
                <w:p w14:paraId="3DCA3D9A">
                  <w:pPr>
                    <w:pStyle w:val="34"/>
                    <w:jc w:val="center"/>
                    <w:rPr>
                      <w:color w:val="auto"/>
                      <w:sz w:val="21"/>
                      <w:szCs w:val="21"/>
                    </w:rPr>
                  </w:pPr>
                  <w:r>
                    <w:rPr>
                      <w:color w:val="auto"/>
                      <w:sz w:val="21"/>
                      <w:szCs w:val="21"/>
                    </w:rPr>
                    <w:t>生活污水</w:t>
                  </w:r>
                </w:p>
              </w:tc>
              <w:tc>
                <w:tcPr>
                  <w:tcW w:w="1562" w:type="dxa"/>
                  <w:vAlign w:val="center"/>
                </w:tcPr>
                <w:p w14:paraId="0CAFA510">
                  <w:pPr>
                    <w:pStyle w:val="34"/>
                    <w:jc w:val="center"/>
                    <w:rPr>
                      <w:color w:val="auto"/>
                      <w:sz w:val="21"/>
                      <w:szCs w:val="21"/>
                    </w:rPr>
                  </w:pPr>
                  <w:r>
                    <w:rPr>
                      <w:color w:val="auto"/>
                      <w:sz w:val="21"/>
                      <w:szCs w:val="21"/>
                    </w:rPr>
                    <w:t>产生浓度mg/L</w:t>
                  </w:r>
                </w:p>
              </w:tc>
              <w:tc>
                <w:tcPr>
                  <w:tcW w:w="1181" w:type="dxa"/>
                  <w:vMerge w:val="restart"/>
                  <w:vAlign w:val="center"/>
                </w:tcPr>
                <w:p w14:paraId="00F37EA5">
                  <w:pPr>
                    <w:pStyle w:val="34"/>
                    <w:jc w:val="center"/>
                    <w:rPr>
                      <w:rFonts w:hint="default" w:eastAsia="宋体"/>
                      <w:color w:val="auto"/>
                      <w:sz w:val="21"/>
                      <w:szCs w:val="21"/>
                      <w:lang w:val="en-US" w:eastAsia="zh-CN"/>
                    </w:rPr>
                  </w:pPr>
                  <w:r>
                    <w:rPr>
                      <w:rFonts w:hint="eastAsia"/>
                      <w:color w:val="auto"/>
                      <w:sz w:val="21"/>
                      <w:szCs w:val="21"/>
                      <w:lang w:val="en-US" w:eastAsia="zh-CN"/>
                    </w:rPr>
                    <w:t>84</w:t>
                  </w:r>
                </w:p>
              </w:tc>
              <w:tc>
                <w:tcPr>
                  <w:tcW w:w="1181" w:type="dxa"/>
                  <w:vAlign w:val="center"/>
                </w:tcPr>
                <w:p w14:paraId="174D3BCB">
                  <w:pPr>
                    <w:pStyle w:val="34"/>
                    <w:jc w:val="center"/>
                    <w:rPr>
                      <w:color w:val="auto"/>
                      <w:sz w:val="21"/>
                      <w:szCs w:val="21"/>
                    </w:rPr>
                  </w:pPr>
                  <w:r>
                    <w:rPr>
                      <w:color w:val="auto"/>
                      <w:sz w:val="21"/>
                      <w:szCs w:val="21"/>
                    </w:rPr>
                    <w:t>300</w:t>
                  </w:r>
                </w:p>
              </w:tc>
              <w:tc>
                <w:tcPr>
                  <w:tcW w:w="1181" w:type="dxa"/>
                  <w:vAlign w:val="center"/>
                </w:tcPr>
                <w:p w14:paraId="4B5BC2F7">
                  <w:pPr>
                    <w:pStyle w:val="34"/>
                    <w:jc w:val="center"/>
                    <w:rPr>
                      <w:color w:val="auto"/>
                      <w:sz w:val="21"/>
                      <w:szCs w:val="21"/>
                    </w:rPr>
                  </w:pPr>
                  <w:r>
                    <w:rPr>
                      <w:color w:val="auto"/>
                      <w:sz w:val="21"/>
                      <w:szCs w:val="21"/>
                    </w:rPr>
                    <w:t>150</w:t>
                  </w:r>
                </w:p>
              </w:tc>
              <w:tc>
                <w:tcPr>
                  <w:tcW w:w="1181" w:type="dxa"/>
                  <w:vAlign w:val="center"/>
                </w:tcPr>
                <w:p w14:paraId="764F9371">
                  <w:pPr>
                    <w:pStyle w:val="34"/>
                    <w:jc w:val="center"/>
                    <w:rPr>
                      <w:rFonts w:hint="default" w:eastAsia="宋体"/>
                      <w:color w:val="auto"/>
                      <w:sz w:val="21"/>
                      <w:szCs w:val="21"/>
                      <w:lang w:val="en-US" w:eastAsia="zh-CN"/>
                    </w:rPr>
                  </w:pPr>
                  <w:r>
                    <w:rPr>
                      <w:rFonts w:hint="eastAsia"/>
                      <w:color w:val="auto"/>
                      <w:sz w:val="21"/>
                      <w:szCs w:val="21"/>
                      <w:lang w:val="en-US" w:eastAsia="zh-CN"/>
                    </w:rPr>
                    <w:t>30</w:t>
                  </w:r>
                </w:p>
              </w:tc>
              <w:tc>
                <w:tcPr>
                  <w:tcW w:w="1181" w:type="dxa"/>
                  <w:vAlign w:val="center"/>
                </w:tcPr>
                <w:p w14:paraId="5B66510E">
                  <w:pPr>
                    <w:pStyle w:val="34"/>
                    <w:jc w:val="center"/>
                    <w:rPr>
                      <w:color w:val="auto"/>
                      <w:sz w:val="21"/>
                      <w:szCs w:val="21"/>
                    </w:rPr>
                  </w:pPr>
                  <w:r>
                    <w:rPr>
                      <w:color w:val="auto"/>
                      <w:sz w:val="21"/>
                      <w:szCs w:val="21"/>
                    </w:rPr>
                    <w:t>200</w:t>
                  </w:r>
                </w:p>
              </w:tc>
            </w:tr>
            <w:tr w14:paraId="0E80A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Merge w:val="continue"/>
                  <w:vAlign w:val="center"/>
                </w:tcPr>
                <w:p w14:paraId="7AE43DC2">
                  <w:pPr>
                    <w:pStyle w:val="34"/>
                    <w:jc w:val="center"/>
                    <w:rPr>
                      <w:color w:val="auto"/>
                      <w:sz w:val="21"/>
                      <w:szCs w:val="21"/>
                    </w:rPr>
                  </w:pPr>
                </w:p>
              </w:tc>
              <w:tc>
                <w:tcPr>
                  <w:tcW w:w="1562" w:type="dxa"/>
                  <w:vAlign w:val="center"/>
                </w:tcPr>
                <w:p w14:paraId="3A3D35DB">
                  <w:pPr>
                    <w:pStyle w:val="34"/>
                    <w:jc w:val="center"/>
                    <w:rPr>
                      <w:color w:val="auto"/>
                      <w:sz w:val="21"/>
                      <w:szCs w:val="21"/>
                    </w:rPr>
                  </w:pPr>
                  <w:r>
                    <w:rPr>
                      <w:color w:val="auto"/>
                      <w:sz w:val="21"/>
                      <w:szCs w:val="21"/>
                    </w:rPr>
                    <w:t>产生量t/a</w:t>
                  </w:r>
                </w:p>
              </w:tc>
              <w:tc>
                <w:tcPr>
                  <w:tcW w:w="1181" w:type="dxa"/>
                  <w:vMerge w:val="continue"/>
                  <w:vAlign w:val="center"/>
                </w:tcPr>
                <w:p w14:paraId="154404F6">
                  <w:pPr>
                    <w:pStyle w:val="34"/>
                    <w:jc w:val="center"/>
                    <w:rPr>
                      <w:color w:val="auto"/>
                      <w:sz w:val="21"/>
                      <w:szCs w:val="21"/>
                    </w:rPr>
                  </w:pPr>
                </w:p>
              </w:tc>
              <w:tc>
                <w:tcPr>
                  <w:tcW w:w="1181" w:type="dxa"/>
                  <w:vAlign w:val="center"/>
                </w:tcPr>
                <w:p w14:paraId="0C050F3E">
                  <w:pPr>
                    <w:pStyle w:val="34"/>
                    <w:jc w:val="center"/>
                    <w:rPr>
                      <w:rFonts w:hint="default" w:eastAsia="宋体"/>
                      <w:color w:val="auto"/>
                      <w:sz w:val="21"/>
                      <w:szCs w:val="21"/>
                      <w:lang w:val="en-US" w:eastAsia="zh-CN"/>
                    </w:rPr>
                  </w:pPr>
                  <w:r>
                    <w:rPr>
                      <w:rFonts w:hint="eastAsia"/>
                      <w:color w:val="auto"/>
                      <w:sz w:val="21"/>
                      <w:szCs w:val="21"/>
                      <w:lang w:val="en-US" w:eastAsia="zh-CN"/>
                    </w:rPr>
                    <w:t>0.0252</w:t>
                  </w:r>
                </w:p>
              </w:tc>
              <w:tc>
                <w:tcPr>
                  <w:tcW w:w="1181" w:type="dxa"/>
                  <w:vAlign w:val="center"/>
                </w:tcPr>
                <w:p w14:paraId="6F9FDE72">
                  <w:pPr>
                    <w:pStyle w:val="34"/>
                    <w:jc w:val="center"/>
                    <w:rPr>
                      <w:rFonts w:hint="default" w:eastAsia="宋体"/>
                      <w:color w:val="auto"/>
                      <w:sz w:val="21"/>
                      <w:szCs w:val="21"/>
                      <w:lang w:val="en-US" w:eastAsia="zh-CN"/>
                    </w:rPr>
                  </w:pPr>
                  <w:r>
                    <w:rPr>
                      <w:rFonts w:hint="eastAsia"/>
                      <w:color w:val="auto"/>
                      <w:sz w:val="21"/>
                      <w:szCs w:val="21"/>
                      <w:lang w:val="en-US" w:eastAsia="zh-CN"/>
                    </w:rPr>
                    <w:t>0126</w:t>
                  </w:r>
                </w:p>
              </w:tc>
              <w:tc>
                <w:tcPr>
                  <w:tcW w:w="1181" w:type="dxa"/>
                  <w:vAlign w:val="center"/>
                </w:tcPr>
                <w:p w14:paraId="292C10C6">
                  <w:pPr>
                    <w:pStyle w:val="34"/>
                    <w:jc w:val="center"/>
                    <w:rPr>
                      <w:rFonts w:hint="default" w:eastAsia="宋体"/>
                      <w:color w:val="auto"/>
                      <w:sz w:val="21"/>
                      <w:szCs w:val="21"/>
                      <w:lang w:val="en-US" w:eastAsia="zh-CN"/>
                    </w:rPr>
                  </w:pPr>
                  <w:r>
                    <w:rPr>
                      <w:rFonts w:hint="eastAsia"/>
                      <w:color w:val="auto"/>
                      <w:sz w:val="21"/>
                      <w:szCs w:val="21"/>
                      <w:lang w:val="en-US" w:eastAsia="zh-CN"/>
                    </w:rPr>
                    <w:t>0.0025</w:t>
                  </w:r>
                </w:p>
              </w:tc>
              <w:tc>
                <w:tcPr>
                  <w:tcW w:w="1181" w:type="dxa"/>
                  <w:vAlign w:val="center"/>
                </w:tcPr>
                <w:p w14:paraId="76818F3C">
                  <w:pPr>
                    <w:pStyle w:val="34"/>
                    <w:jc w:val="center"/>
                    <w:rPr>
                      <w:rFonts w:hint="default" w:eastAsia="宋体"/>
                      <w:color w:val="auto"/>
                      <w:sz w:val="21"/>
                      <w:szCs w:val="21"/>
                      <w:lang w:val="en-US" w:eastAsia="zh-CN"/>
                    </w:rPr>
                  </w:pPr>
                  <w:r>
                    <w:rPr>
                      <w:rFonts w:hint="eastAsia"/>
                      <w:color w:val="auto"/>
                      <w:sz w:val="21"/>
                      <w:szCs w:val="21"/>
                      <w:lang w:val="en-US" w:eastAsia="zh-CN"/>
                    </w:rPr>
                    <w:t>0.0168</w:t>
                  </w:r>
                </w:p>
              </w:tc>
            </w:tr>
            <w:tr w14:paraId="63D05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64" w:type="dxa"/>
                  <w:gridSpan w:val="2"/>
                  <w:vAlign w:val="center"/>
                </w:tcPr>
                <w:p w14:paraId="614CDA50">
                  <w:pPr>
                    <w:pStyle w:val="34"/>
                    <w:jc w:val="center"/>
                    <w:rPr>
                      <w:color w:val="auto"/>
                      <w:sz w:val="21"/>
                      <w:szCs w:val="21"/>
                    </w:rPr>
                  </w:pPr>
                  <w:r>
                    <w:rPr>
                      <w:color w:val="auto"/>
                      <w:sz w:val="21"/>
                      <w:szCs w:val="21"/>
                    </w:rPr>
                    <w:t>生活污水处理效率%</w:t>
                  </w:r>
                </w:p>
              </w:tc>
              <w:tc>
                <w:tcPr>
                  <w:tcW w:w="1181" w:type="dxa"/>
                  <w:vAlign w:val="center"/>
                </w:tcPr>
                <w:p w14:paraId="0C4A90D3">
                  <w:pPr>
                    <w:pStyle w:val="34"/>
                    <w:jc w:val="center"/>
                    <w:rPr>
                      <w:color w:val="auto"/>
                      <w:sz w:val="21"/>
                      <w:szCs w:val="21"/>
                    </w:rPr>
                  </w:pPr>
                  <w:r>
                    <w:rPr>
                      <w:color w:val="auto"/>
                      <w:sz w:val="21"/>
                      <w:szCs w:val="21"/>
                    </w:rPr>
                    <w:t>--</w:t>
                  </w:r>
                </w:p>
              </w:tc>
              <w:tc>
                <w:tcPr>
                  <w:tcW w:w="1181" w:type="dxa"/>
                  <w:vAlign w:val="center"/>
                </w:tcPr>
                <w:p w14:paraId="3F398567">
                  <w:pPr>
                    <w:pStyle w:val="34"/>
                    <w:jc w:val="center"/>
                    <w:rPr>
                      <w:color w:val="auto"/>
                      <w:sz w:val="21"/>
                      <w:szCs w:val="21"/>
                    </w:rPr>
                  </w:pPr>
                  <w:r>
                    <w:rPr>
                      <w:color w:val="auto"/>
                      <w:sz w:val="21"/>
                      <w:szCs w:val="21"/>
                    </w:rPr>
                    <w:t>15</w:t>
                  </w:r>
                </w:p>
              </w:tc>
              <w:tc>
                <w:tcPr>
                  <w:tcW w:w="1181" w:type="dxa"/>
                  <w:vAlign w:val="center"/>
                </w:tcPr>
                <w:p w14:paraId="023EF998">
                  <w:pPr>
                    <w:pStyle w:val="34"/>
                    <w:jc w:val="center"/>
                    <w:rPr>
                      <w:color w:val="auto"/>
                      <w:sz w:val="21"/>
                      <w:szCs w:val="21"/>
                    </w:rPr>
                  </w:pPr>
                  <w:r>
                    <w:rPr>
                      <w:color w:val="auto"/>
                      <w:sz w:val="21"/>
                      <w:szCs w:val="21"/>
                    </w:rPr>
                    <w:t>20</w:t>
                  </w:r>
                </w:p>
              </w:tc>
              <w:tc>
                <w:tcPr>
                  <w:tcW w:w="1181" w:type="dxa"/>
                  <w:vAlign w:val="center"/>
                </w:tcPr>
                <w:p w14:paraId="17AA2020">
                  <w:pPr>
                    <w:pStyle w:val="34"/>
                    <w:jc w:val="center"/>
                    <w:rPr>
                      <w:color w:val="auto"/>
                      <w:sz w:val="21"/>
                      <w:szCs w:val="21"/>
                    </w:rPr>
                  </w:pPr>
                  <w:r>
                    <w:rPr>
                      <w:color w:val="auto"/>
                      <w:sz w:val="21"/>
                      <w:szCs w:val="21"/>
                    </w:rPr>
                    <w:t>5</w:t>
                  </w:r>
                </w:p>
              </w:tc>
              <w:tc>
                <w:tcPr>
                  <w:tcW w:w="1181" w:type="dxa"/>
                  <w:vAlign w:val="center"/>
                </w:tcPr>
                <w:p w14:paraId="0D054790">
                  <w:pPr>
                    <w:pStyle w:val="34"/>
                    <w:jc w:val="center"/>
                    <w:rPr>
                      <w:color w:val="auto"/>
                      <w:sz w:val="21"/>
                      <w:szCs w:val="21"/>
                    </w:rPr>
                  </w:pPr>
                  <w:r>
                    <w:rPr>
                      <w:color w:val="auto"/>
                      <w:sz w:val="21"/>
                      <w:szCs w:val="21"/>
                    </w:rPr>
                    <w:t>30</w:t>
                  </w:r>
                </w:p>
              </w:tc>
            </w:tr>
            <w:tr w14:paraId="4A50A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2" w:type="dxa"/>
                  <w:vMerge w:val="restart"/>
                  <w:vAlign w:val="center"/>
                </w:tcPr>
                <w:p w14:paraId="4053486A">
                  <w:pPr>
                    <w:pStyle w:val="34"/>
                    <w:jc w:val="center"/>
                    <w:rPr>
                      <w:color w:val="auto"/>
                      <w:sz w:val="21"/>
                      <w:szCs w:val="21"/>
                    </w:rPr>
                  </w:pPr>
                  <w:r>
                    <w:rPr>
                      <w:color w:val="auto"/>
                      <w:sz w:val="21"/>
                      <w:szCs w:val="21"/>
                    </w:rPr>
                    <w:t>生活污水处理后</w:t>
                  </w:r>
                </w:p>
              </w:tc>
              <w:tc>
                <w:tcPr>
                  <w:tcW w:w="1562" w:type="dxa"/>
                  <w:vAlign w:val="center"/>
                </w:tcPr>
                <w:p w14:paraId="3805D109">
                  <w:pPr>
                    <w:pStyle w:val="34"/>
                    <w:jc w:val="center"/>
                    <w:rPr>
                      <w:color w:val="auto"/>
                      <w:sz w:val="21"/>
                      <w:szCs w:val="21"/>
                    </w:rPr>
                  </w:pPr>
                  <w:r>
                    <w:rPr>
                      <w:color w:val="auto"/>
                      <w:sz w:val="21"/>
                      <w:szCs w:val="21"/>
                    </w:rPr>
                    <w:t>污染物浓度mg/L</w:t>
                  </w:r>
                </w:p>
              </w:tc>
              <w:tc>
                <w:tcPr>
                  <w:tcW w:w="1181" w:type="dxa"/>
                  <w:vMerge w:val="restart"/>
                  <w:vAlign w:val="center"/>
                </w:tcPr>
                <w:p w14:paraId="4FC345EF">
                  <w:pPr>
                    <w:pStyle w:val="34"/>
                    <w:jc w:val="center"/>
                    <w:rPr>
                      <w:rFonts w:hint="default" w:eastAsia="宋体"/>
                      <w:color w:val="auto"/>
                      <w:sz w:val="21"/>
                      <w:szCs w:val="21"/>
                      <w:lang w:val="en-US" w:eastAsia="zh-CN"/>
                    </w:rPr>
                  </w:pPr>
                  <w:r>
                    <w:rPr>
                      <w:rFonts w:hint="eastAsia"/>
                      <w:color w:val="auto"/>
                      <w:sz w:val="21"/>
                      <w:szCs w:val="21"/>
                      <w:lang w:val="en-US" w:eastAsia="zh-CN"/>
                    </w:rPr>
                    <w:t>84</w:t>
                  </w:r>
                </w:p>
              </w:tc>
              <w:tc>
                <w:tcPr>
                  <w:tcW w:w="1181" w:type="dxa"/>
                  <w:vAlign w:val="center"/>
                </w:tcPr>
                <w:p w14:paraId="7F421DBF">
                  <w:pPr>
                    <w:pStyle w:val="34"/>
                    <w:jc w:val="center"/>
                    <w:rPr>
                      <w:rFonts w:hint="default" w:eastAsia="宋体"/>
                      <w:color w:val="auto"/>
                      <w:sz w:val="21"/>
                      <w:szCs w:val="21"/>
                      <w:lang w:val="en-US" w:eastAsia="zh-CN"/>
                    </w:rPr>
                  </w:pPr>
                  <w:r>
                    <w:rPr>
                      <w:color w:val="auto"/>
                      <w:sz w:val="21"/>
                      <w:szCs w:val="21"/>
                    </w:rPr>
                    <w:t>255</w:t>
                  </w:r>
                </w:p>
              </w:tc>
              <w:tc>
                <w:tcPr>
                  <w:tcW w:w="1181" w:type="dxa"/>
                  <w:vAlign w:val="center"/>
                </w:tcPr>
                <w:p w14:paraId="1BC7092B">
                  <w:pPr>
                    <w:pStyle w:val="34"/>
                    <w:jc w:val="center"/>
                    <w:rPr>
                      <w:color w:val="auto"/>
                      <w:sz w:val="21"/>
                      <w:szCs w:val="21"/>
                    </w:rPr>
                  </w:pPr>
                  <w:r>
                    <w:rPr>
                      <w:color w:val="auto"/>
                      <w:sz w:val="21"/>
                      <w:szCs w:val="21"/>
                    </w:rPr>
                    <w:t>120</w:t>
                  </w:r>
                </w:p>
              </w:tc>
              <w:tc>
                <w:tcPr>
                  <w:tcW w:w="1181" w:type="dxa"/>
                  <w:vAlign w:val="center"/>
                </w:tcPr>
                <w:p w14:paraId="4C126C4F">
                  <w:pPr>
                    <w:pStyle w:val="34"/>
                    <w:jc w:val="center"/>
                    <w:rPr>
                      <w:rFonts w:hint="default" w:eastAsia="宋体"/>
                      <w:color w:val="auto"/>
                      <w:sz w:val="21"/>
                      <w:szCs w:val="21"/>
                      <w:lang w:val="en-US" w:eastAsia="zh-CN"/>
                    </w:rPr>
                  </w:pPr>
                  <w:r>
                    <w:rPr>
                      <w:rFonts w:hint="eastAsia"/>
                      <w:color w:val="auto"/>
                      <w:sz w:val="21"/>
                      <w:szCs w:val="21"/>
                      <w:lang w:val="en-US" w:eastAsia="zh-CN"/>
                    </w:rPr>
                    <w:t>28.5</w:t>
                  </w:r>
                </w:p>
              </w:tc>
              <w:tc>
                <w:tcPr>
                  <w:tcW w:w="1181" w:type="dxa"/>
                  <w:vAlign w:val="center"/>
                </w:tcPr>
                <w:p w14:paraId="5DB8E9F1">
                  <w:pPr>
                    <w:pStyle w:val="34"/>
                    <w:jc w:val="center"/>
                    <w:rPr>
                      <w:color w:val="auto"/>
                      <w:sz w:val="21"/>
                      <w:szCs w:val="21"/>
                    </w:rPr>
                  </w:pPr>
                  <w:r>
                    <w:rPr>
                      <w:color w:val="auto"/>
                      <w:sz w:val="21"/>
                      <w:szCs w:val="21"/>
                    </w:rPr>
                    <w:t>140</w:t>
                  </w:r>
                </w:p>
              </w:tc>
            </w:tr>
            <w:tr w14:paraId="22876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Merge w:val="continue"/>
                  <w:vAlign w:val="center"/>
                </w:tcPr>
                <w:p w14:paraId="3E2941B1">
                  <w:pPr>
                    <w:pStyle w:val="34"/>
                    <w:jc w:val="center"/>
                    <w:rPr>
                      <w:color w:val="auto"/>
                      <w:sz w:val="21"/>
                      <w:szCs w:val="21"/>
                    </w:rPr>
                  </w:pPr>
                </w:p>
              </w:tc>
              <w:tc>
                <w:tcPr>
                  <w:tcW w:w="1562" w:type="dxa"/>
                  <w:vAlign w:val="center"/>
                </w:tcPr>
                <w:p w14:paraId="595A7240">
                  <w:pPr>
                    <w:pStyle w:val="34"/>
                    <w:jc w:val="center"/>
                    <w:rPr>
                      <w:color w:val="auto"/>
                      <w:sz w:val="21"/>
                      <w:szCs w:val="21"/>
                    </w:rPr>
                  </w:pPr>
                  <w:r>
                    <w:rPr>
                      <w:color w:val="auto"/>
                      <w:sz w:val="21"/>
                      <w:szCs w:val="21"/>
                    </w:rPr>
                    <w:t>污染物含量t/a</w:t>
                  </w:r>
                </w:p>
              </w:tc>
              <w:tc>
                <w:tcPr>
                  <w:tcW w:w="1181" w:type="dxa"/>
                  <w:vMerge w:val="continue"/>
                  <w:vAlign w:val="center"/>
                </w:tcPr>
                <w:p w14:paraId="00F3086F">
                  <w:pPr>
                    <w:pStyle w:val="34"/>
                    <w:jc w:val="center"/>
                    <w:rPr>
                      <w:color w:val="auto"/>
                      <w:sz w:val="21"/>
                      <w:szCs w:val="21"/>
                    </w:rPr>
                  </w:pPr>
                </w:p>
              </w:tc>
              <w:tc>
                <w:tcPr>
                  <w:tcW w:w="1181" w:type="dxa"/>
                  <w:vAlign w:val="center"/>
                </w:tcPr>
                <w:p w14:paraId="3A46BE4E">
                  <w:pPr>
                    <w:pStyle w:val="34"/>
                    <w:jc w:val="center"/>
                    <w:rPr>
                      <w:rFonts w:hint="default" w:eastAsia="宋体"/>
                      <w:color w:val="auto"/>
                      <w:sz w:val="21"/>
                      <w:szCs w:val="21"/>
                      <w:lang w:val="en-US" w:eastAsia="zh-CN"/>
                    </w:rPr>
                  </w:pPr>
                  <w:r>
                    <w:rPr>
                      <w:rFonts w:hint="eastAsia"/>
                      <w:color w:val="auto"/>
                      <w:sz w:val="21"/>
                      <w:szCs w:val="21"/>
                      <w:lang w:val="en-US" w:eastAsia="zh-CN"/>
                    </w:rPr>
                    <w:t>0.0214</w:t>
                  </w:r>
                </w:p>
              </w:tc>
              <w:tc>
                <w:tcPr>
                  <w:tcW w:w="1181" w:type="dxa"/>
                  <w:vAlign w:val="center"/>
                </w:tcPr>
                <w:p w14:paraId="1E5700E0">
                  <w:pPr>
                    <w:pStyle w:val="34"/>
                    <w:jc w:val="center"/>
                    <w:rPr>
                      <w:rFonts w:hint="default" w:eastAsia="宋体"/>
                      <w:color w:val="auto"/>
                      <w:sz w:val="21"/>
                      <w:szCs w:val="21"/>
                      <w:lang w:val="en-US" w:eastAsia="zh-CN"/>
                    </w:rPr>
                  </w:pPr>
                  <w:r>
                    <w:rPr>
                      <w:rFonts w:hint="eastAsia"/>
                      <w:color w:val="auto"/>
                      <w:sz w:val="21"/>
                      <w:szCs w:val="21"/>
                      <w:lang w:val="en-US" w:eastAsia="zh-CN"/>
                    </w:rPr>
                    <w:t>0.00101</w:t>
                  </w:r>
                </w:p>
              </w:tc>
              <w:tc>
                <w:tcPr>
                  <w:tcW w:w="1181" w:type="dxa"/>
                  <w:vAlign w:val="center"/>
                </w:tcPr>
                <w:p w14:paraId="1B2B2B40">
                  <w:pPr>
                    <w:pStyle w:val="34"/>
                    <w:jc w:val="center"/>
                    <w:rPr>
                      <w:rFonts w:hint="default" w:eastAsia="宋体"/>
                      <w:color w:val="auto"/>
                      <w:sz w:val="21"/>
                      <w:szCs w:val="21"/>
                      <w:lang w:val="en-US" w:eastAsia="zh-CN"/>
                    </w:rPr>
                  </w:pPr>
                  <w:r>
                    <w:rPr>
                      <w:rFonts w:hint="eastAsia"/>
                      <w:color w:val="auto"/>
                      <w:sz w:val="21"/>
                      <w:szCs w:val="21"/>
                      <w:lang w:val="en-US" w:eastAsia="zh-CN"/>
                    </w:rPr>
                    <w:t>0.0024</w:t>
                  </w:r>
                </w:p>
              </w:tc>
              <w:tc>
                <w:tcPr>
                  <w:tcW w:w="1181" w:type="dxa"/>
                  <w:vAlign w:val="center"/>
                </w:tcPr>
                <w:p w14:paraId="2B4B904B">
                  <w:pPr>
                    <w:pStyle w:val="34"/>
                    <w:jc w:val="center"/>
                    <w:rPr>
                      <w:rFonts w:hint="default" w:eastAsia="宋体"/>
                      <w:color w:val="auto"/>
                      <w:sz w:val="21"/>
                      <w:szCs w:val="21"/>
                      <w:lang w:val="en-US" w:eastAsia="zh-CN"/>
                    </w:rPr>
                  </w:pPr>
                  <w:r>
                    <w:rPr>
                      <w:rFonts w:hint="eastAsia"/>
                      <w:color w:val="auto"/>
                      <w:sz w:val="21"/>
                      <w:szCs w:val="21"/>
                      <w:lang w:val="en-US" w:eastAsia="zh-CN"/>
                    </w:rPr>
                    <w:t>0.0118</w:t>
                  </w:r>
                </w:p>
              </w:tc>
            </w:tr>
          </w:tbl>
          <w:p w14:paraId="3B2B5A05">
            <w:pPr>
              <w:autoSpaceDE w:val="0"/>
              <w:autoSpaceDN w:val="0"/>
              <w:adjustRightInd w:val="0"/>
              <w:spacing w:line="360" w:lineRule="auto"/>
              <w:ind w:firstLine="480" w:firstLineChars="200"/>
              <w:rPr>
                <w:rFonts w:ascii="Times New Roman" w:hAnsi="Times New Roman" w:cs="Times New Roman"/>
                <w:bCs/>
                <w:color w:val="auto"/>
                <w:sz w:val="24"/>
              </w:rPr>
            </w:pPr>
            <w:r>
              <w:rPr>
                <w:rFonts w:ascii="Times New Roman" w:hAnsi="Times New Roman" w:cs="Times New Roman"/>
                <w:color w:val="auto"/>
                <w:sz w:val="24"/>
              </w:rPr>
              <w:t>由表</w:t>
            </w:r>
            <w:r>
              <w:rPr>
                <w:rFonts w:hint="eastAsia" w:ascii="Times New Roman" w:hAnsi="Times New Roman" w:cs="Times New Roman"/>
                <w:color w:val="auto"/>
                <w:sz w:val="24"/>
              </w:rPr>
              <w:t>4.</w:t>
            </w:r>
            <w:r>
              <w:rPr>
                <w:rFonts w:hint="eastAsia" w:ascii="Times New Roman" w:hAnsi="Times New Roman" w:cs="Times New Roman"/>
                <w:color w:val="auto"/>
                <w:sz w:val="24"/>
                <w:lang w:val="en-US" w:eastAsia="zh-CN"/>
              </w:rPr>
              <w:t>4</w:t>
            </w:r>
            <w:r>
              <w:rPr>
                <w:rFonts w:ascii="Times New Roman" w:hAnsi="Times New Roman" w:cs="Times New Roman"/>
                <w:color w:val="auto"/>
                <w:sz w:val="24"/>
              </w:rPr>
              <w:t>可知，项目生活污水经依托</w:t>
            </w:r>
            <w:r>
              <w:rPr>
                <w:rFonts w:hint="eastAsia" w:ascii="Times New Roman" w:hAnsi="Times New Roman" w:cs="Times New Roman"/>
                <w:color w:val="auto"/>
                <w:sz w:val="24"/>
                <w:lang w:val="en-US" w:eastAsia="zh-CN"/>
              </w:rPr>
              <w:t>厂区</w:t>
            </w:r>
            <w:r>
              <w:rPr>
                <w:rFonts w:hint="eastAsia" w:ascii="Times New Roman" w:hAnsi="Times New Roman" w:cs="Times New Roman"/>
                <w:color w:val="auto"/>
                <w:sz w:val="24"/>
                <w:szCs w:val="24"/>
                <w:lang w:val="en-US" w:eastAsia="zh-CN"/>
              </w:rPr>
              <w:t>化粪池</w:t>
            </w:r>
            <w:r>
              <w:rPr>
                <w:rFonts w:hint="eastAsia" w:ascii="Times New Roman" w:hAnsi="Times New Roman" w:cs="Times New Roman"/>
                <w:color w:val="auto"/>
                <w:sz w:val="24"/>
                <w:szCs w:val="24"/>
                <w:lang w:eastAsia="zh-CN"/>
              </w:rPr>
              <w:t>”</w:t>
            </w:r>
            <w:r>
              <w:rPr>
                <w:rFonts w:ascii="Times New Roman" w:hAnsi="Times New Roman" w:cs="Times New Roman"/>
                <w:color w:val="auto"/>
                <w:sz w:val="24"/>
              </w:rPr>
              <w:t>预处理达《污水综合排放标准》（GB8978-1996）表4中三级标准及污水处理厂接管要求，满足市政污水管网接管要求污水最</w:t>
            </w:r>
            <w:r>
              <w:rPr>
                <w:rFonts w:ascii="Times New Roman" w:hAnsi="Times New Roman" w:cs="Times New Roman"/>
                <w:bCs/>
                <w:color w:val="auto"/>
                <w:sz w:val="24"/>
              </w:rPr>
              <w:t>终纳入</w:t>
            </w:r>
            <w:r>
              <w:rPr>
                <w:rFonts w:hint="eastAsia" w:ascii="Times New Roman" w:hAnsi="Times New Roman" w:cs="Times New Roman"/>
                <w:bCs/>
                <w:color w:val="auto"/>
                <w:sz w:val="24"/>
                <w:lang w:eastAsia="zh-CN"/>
              </w:rPr>
              <w:t>基地污水处理厂</w:t>
            </w:r>
            <w:r>
              <w:rPr>
                <w:rFonts w:ascii="Times New Roman" w:hAnsi="Times New Roman" w:cs="Times New Roman"/>
                <w:bCs/>
                <w:color w:val="auto"/>
                <w:sz w:val="24"/>
              </w:rPr>
              <w:t>处理达标后排放，不会对周围水环境造成影响。</w:t>
            </w:r>
          </w:p>
          <w:p w14:paraId="14718E97">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w:t>
            </w:r>
            <w:r>
              <w:rPr>
                <w:rFonts w:hint="eastAsia" w:ascii="Times New Roman" w:hAnsi="Times New Roman" w:cs="Times New Roman"/>
                <w:color w:val="auto"/>
                <w:sz w:val="24"/>
              </w:rPr>
              <w:t>2</w:t>
            </w:r>
            <w:r>
              <w:rPr>
                <w:rFonts w:ascii="Times New Roman" w:hAnsi="Times New Roman" w:cs="Times New Roman"/>
                <w:color w:val="auto"/>
                <w:sz w:val="24"/>
              </w:rPr>
              <w:t>）依托污水处理设施的环境可行性评价</w:t>
            </w:r>
          </w:p>
          <w:p w14:paraId="135539E2">
            <w:pPr>
              <w:autoSpaceDE w:val="0"/>
              <w:autoSpaceDN w:val="0"/>
              <w:adjustRightInd w:val="0"/>
              <w:spacing w:line="360" w:lineRule="auto"/>
              <w:ind w:firstLine="480" w:firstLineChars="200"/>
              <w:rPr>
                <w:color w:val="auto"/>
              </w:rPr>
            </w:pPr>
            <w:r>
              <w:rPr>
                <w:rFonts w:hint="eastAsia" w:ascii="Times New Roman" w:hAnsi="Times New Roman" w:cs="Times New Roman"/>
                <w:color w:val="auto"/>
                <w:sz w:val="24"/>
                <w:lang w:eastAsia="zh-CN"/>
              </w:rPr>
              <w:t>基地污水处理厂</w:t>
            </w:r>
            <w:r>
              <w:rPr>
                <w:rFonts w:hint="eastAsia" w:ascii="Times New Roman" w:hAnsi="Times New Roman" w:cs="Times New Roman"/>
                <w:color w:val="auto"/>
                <w:sz w:val="24"/>
              </w:rPr>
              <w:t>现有一期和二期污水处理工程，现状一期工程接近满负荷运行，二期工程已经满负荷，再生回用工程也是接近满负荷运行。目前正在进行对一期、二期工程进行扩建，扩建污水处理厂规模为2万m</w:t>
            </w:r>
            <w:r>
              <w:rPr>
                <w:rFonts w:hint="eastAsia" w:ascii="Times New Roman" w:hAnsi="Times New Roman" w:cs="Times New Roman"/>
                <w:color w:val="auto"/>
                <w:sz w:val="24"/>
                <w:vertAlign w:val="superscript"/>
              </w:rPr>
              <w:t>3</w:t>
            </w:r>
            <w:r>
              <w:rPr>
                <w:rFonts w:hint="eastAsia" w:ascii="Times New Roman" w:hAnsi="Times New Roman" w:cs="Times New Roman"/>
                <w:color w:val="auto"/>
                <w:sz w:val="24"/>
              </w:rPr>
              <w:t>/d，将</w:t>
            </w:r>
            <w:r>
              <w:rPr>
                <w:rFonts w:hint="eastAsia" w:ascii="Times New Roman" w:hAnsi="Times New Roman" w:cs="Times New Roman"/>
                <w:color w:val="auto"/>
                <w:sz w:val="24"/>
                <w:lang w:eastAsia="zh-CN"/>
              </w:rPr>
              <w:t>基地污水处理厂</w:t>
            </w:r>
            <w:r>
              <w:rPr>
                <w:rFonts w:hint="eastAsia" w:ascii="Times New Roman" w:hAnsi="Times New Roman" w:cs="Times New Roman"/>
                <w:color w:val="auto"/>
                <w:sz w:val="24"/>
              </w:rPr>
              <w:t>规模由12万m</w:t>
            </w:r>
            <w:r>
              <w:rPr>
                <w:rFonts w:hint="eastAsia" w:ascii="Times New Roman" w:hAnsi="Times New Roman" w:cs="Times New Roman"/>
                <w:color w:val="auto"/>
                <w:sz w:val="24"/>
                <w:vertAlign w:val="superscript"/>
              </w:rPr>
              <w:t>3</w:t>
            </w:r>
            <w:r>
              <w:rPr>
                <w:rFonts w:hint="eastAsia" w:ascii="Times New Roman" w:hAnsi="Times New Roman" w:cs="Times New Roman"/>
                <w:color w:val="auto"/>
                <w:sz w:val="24"/>
              </w:rPr>
              <w:t>/d提升到14万m</w:t>
            </w:r>
            <w:r>
              <w:rPr>
                <w:rFonts w:hint="eastAsia" w:ascii="Times New Roman" w:hAnsi="Times New Roman" w:cs="Times New Roman"/>
                <w:color w:val="auto"/>
                <w:sz w:val="24"/>
                <w:vertAlign w:val="superscript"/>
              </w:rPr>
              <w:t>3</w:t>
            </w:r>
            <w:r>
              <w:rPr>
                <w:rFonts w:hint="eastAsia" w:ascii="Times New Roman" w:hAnsi="Times New Roman" w:cs="Times New Roman"/>
                <w:color w:val="auto"/>
                <w:sz w:val="24"/>
              </w:rPr>
              <w:t>/d。主要建设内容为：新建粗格栅及进水泵房、细格栅及旋流沉砂池、A2/O氧化沟、二沉池、中间提升泵房、气浮池、深床滤池及反冲洗泵房、接触消毒池及尾水回用泵房、污泥泵房、鼓风机房、加药间各一座，新建除臭设施；厂内道路、管线、绿化配套设施等。</w:t>
            </w:r>
            <w:r>
              <w:rPr>
                <w:rFonts w:hint="eastAsia" w:ascii="Times New Roman" w:hAnsi="Times New Roman" w:cs="Times New Roman"/>
                <w:color w:val="auto"/>
                <w:sz w:val="24"/>
                <w:lang w:eastAsia="zh-CN"/>
              </w:rPr>
              <w:t>基地污水处理厂</w:t>
            </w:r>
            <w:r>
              <w:rPr>
                <w:rFonts w:hint="eastAsia" w:ascii="Times New Roman" w:hAnsi="Times New Roman" w:cs="Times New Roman"/>
                <w:color w:val="auto"/>
                <w:sz w:val="24"/>
              </w:rPr>
              <w:t>一期工程采用氧化沟工艺，流程见图</w:t>
            </w:r>
            <w:r>
              <w:rPr>
                <w:rFonts w:hint="eastAsia" w:ascii="Times New Roman" w:hAnsi="Times New Roman" w:cs="Times New Roman"/>
                <w:color w:val="auto"/>
                <w:sz w:val="24"/>
                <w:lang w:val="en-US" w:eastAsia="zh-CN"/>
              </w:rPr>
              <w:t>4.2</w:t>
            </w:r>
            <w:r>
              <w:rPr>
                <w:rFonts w:hint="eastAsia" w:ascii="Times New Roman" w:hAnsi="Times New Roman" w:cs="Times New Roman"/>
                <w:color w:val="auto"/>
                <w:sz w:val="24"/>
              </w:rPr>
              <w:t>。废水处理达到《城镇污水处理厂污染物排放标准》（GB18918-2002）二级排放标准，进入回用工程。</w:t>
            </w:r>
          </w:p>
          <w:p w14:paraId="660115C1">
            <w:pPr>
              <w:spacing w:line="360" w:lineRule="auto"/>
              <w:jc w:val="center"/>
              <w:rPr>
                <w:color w:val="auto"/>
              </w:rPr>
            </w:pPr>
            <w:r>
              <w:rPr>
                <w:color w:val="auto"/>
              </w:rPr>
              <w:drawing>
                <wp:inline distT="0" distB="0" distL="114300" distR="114300">
                  <wp:extent cx="6105525" cy="895350"/>
                  <wp:effectExtent l="0" t="0" r="9525" b="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22"/>
                          <a:stretch>
                            <a:fillRect/>
                          </a:stretch>
                        </pic:blipFill>
                        <pic:spPr>
                          <a:xfrm>
                            <a:off x="0" y="0"/>
                            <a:ext cx="6105525" cy="895350"/>
                          </a:xfrm>
                          <a:prstGeom prst="rect">
                            <a:avLst/>
                          </a:prstGeom>
                          <a:noFill/>
                          <a:ln>
                            <a:noFill/>
                          </a:ln>
                        </pic:spPr>
                      </pic:pic>
                    </a:graphicData>
                  </a:graphic>
                </wp:inline>
              </w:drawing>
            </w:r>
          </w:p>
          <w:p w14:paraId="726C4014">
            <w:pPr>
              <w:autoSpaceDE w:val="0"/>
              <w:autoSpaceDN w:val="0"/>
              <w:adjustRightInd w:val="0"/>
              <w:spacing w:line="480" w:lineRule="exact"/>
              <w:jc w:val="center"/>
              <w:rPr>
                <w:rFonts w:hint="eastAsia" w:ascii="Times New Roman" w:hAnsi="Times New Roman" w:cs="Times New Roman" w:eastAsiaTheme="minorEastAsia"/>
                <w:b/>
                <w:bCs/>
                <w:color w:val="auto"/>
                <w:kern w:val="2"/>
                <w:sz w:val="24"/>
                <w:szCs w:val="24"/>
                <w:lang w:val="zh-CN" w:eastAsia="zh-CN" w:bidi="ar-SA"/>
              </w:rPr>
            </w:pPr>
            <w:r>
              <w:rPr>
                <w:rFonts w:hint="eastAsia" w:ascii="Times New Roman" w:hAnsi="Times New Roman" w:cs="Times New Roman" w:eastAsiaTheme="minorEastAsia"/>
                <w:b/>
                <w:bCs/>
                <w:color w:val="auto"/>
                <w:kern w:val="2"/>
                <w:sz w:val="24"/>
                <w:szCs w:val="24"/>
                <w:lang w:val="zh-CN" w:eastAsia="zh-CN" w:bidi="ar-SA"/>
              </w:rPr>
              <w:t>图</w:t>
            </w:r>
            <w:r>
              <w:rPr>
                <w:rFonts w:hint="eastAsia" w:ascii="Times New Roman" w:hAnsi="Times New Roman" w:cs="Times New Roman" w:eastAsiaTheme="minorEastAsia"/>
                <w:b/>
                <w:bCs/>
                <w:color w:val="auto"/>
                <w:kern w:val="2"/>
                <w:sz w:val="24"/>
                <w:szCs w:val="24"/>
                <w:lang w:val="en-US" w:eastAsia="zh-CN" w:bidi="ar-SA"/>
              </w:rPr>
              <w:t>4.</w:t>
            </w:r>
            <w:r>
              <w:rPr>
                <w:rFonts w:hint="eastAsia" w:ascii="Times New Roman" w:hAnsi="Times New Roman" w:cs="Times New Roman"/>
                <w:b/>
                <w:bCs/>
                <w:color w:val="auto"/>
                <w:kern w:val="2"/>
                <w:sz w:val="24"/>
                <w:szCs w:val="24"/>
                <w:lang w:val="en-US" w:eastAsia="zh-CN" w:bidi="ar-SA"/>
              </w:rPr>
              <w:t>2</w:t>
            </w:r>
            <w:r>
              <w:rPr>
                <w:rFonts w:hint="eastAsia" w:ascii="Times New Roman" w:hAnsi="Times New Roman" w:cs="Times New Roman" w:eastAsiaTheme="minorEastAsia"/>
                <w:b/>
                <w:bCs/>
                <w:color w:val="auto"/>
                <w:kern w:val="2"/>
                <w:sz w:val="24"/>
                <w:szCs w:val="24"/>
                <w:lang w:val="en-US" w:eastAsia="zh-CN" w:bidi="ar-SA"/>
              </w:rPr>
              <w:t xml:space="preserve">  </w:t>
            </w:r>
            <w:r>
              <w:rPr>
                <w:rFonts w:hint="eastAsia" w:ascii="Times New Roman" w:hAnsi="Times New Roman" w:cs="Times New Roman"/>
                <w:b/>
                <w:bCs/>
                <w:color w:val="auto"/>
                <w:kern w:val="2"/>
                <w:sz w:val="24"/>
                <w:szCs w:val="24"/>
                <w:lang w:val="en-US" w:eastAsia="zh-CN" w:bidi="ar-SA"/>
              </w:rPr>
              <w:t>基地</w:t>
            </w:r>
            <w:r>
              <w:rPr>
                <w:rFonts w:hint="eastAsia" w:ascii="Times New Roman" w:hAnsi="Times New Roman" w:cs="Times New Roman" w:eastAsiaTheme="minorEastAsia"/>
                <w:b/>
                <w:bCs/>
                <w:color w:val="auto"/>
                <w:kern w:val="2"/>
                <w:sz w:val="24"/>
                <w:szCs w:val="24"/>
                <w:lang w:val="en-US" w:eastAsia="zh-CN" w:bidi="ar-SA"/>
              </w:rPr>
              <w:t>污水处理厂现状一期工程处理工艺流程</w:t>
            </w:r>
          </w:p>
          <w:p w14:paraId="70C097D6">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lang w:eastAsia="zh-CN"/>
              </w:rPr>
              <w:t>基地污水处理厂</w:t>
            </w:r>
            <w:r>
              <w:rPr>
                <w:rFonts w:hint="eastAsia" w:ascii="Times New Roman" w:hAnsi="Times New Roman" w:cs="Times New Roman"/>
                <w:color w:val="auto"/>
                <w:sz w:val="24"/>
              </w:rPr>
              <w:t>二期工程采用改良型氧化沟处理工艺，工艺流程见图</w:t>
            </w:r>
            <w:r>
              <w:rPr>
                <w:rFonts w:hint="eastAsia" w:ascii="Times New Roman" w:hAnsi="Times New Roman" w:cs="Times New Roman"/>
                <w:color w:val="auto"/>
                <w:sz w:val="24"/>
                <w:lang w:val="en-US" w:eastAsia="zh-CN"/>
              </w:rPr>
              <w:t>4.3</w:t>
            </w:r>
            <w:r>
              <w:rPr>
                <w:rFonts w:hint="eastAsia" w:ascii="Times New Roman" w:hAnsi="Times New Roman" w:cs="Times New Roman"/>
                <w:color w:val="auto"/>
                <w:sz w:val="24"/>
              </w:rPr>
              <w:t>所示。废水处理达到《城镇污水处理厂污染物排放标准》（GB18918-2002）一级B标准后，进入回用工程处理。</w:t>
            </w:r>
          </w:p>
          <w:p w14:paraId="5E38DA85">
            <w:pPr>
              <w:spacing w:line="360" w:lineRule="auto"/>
              <w:rPr>
                <w:rFonts w:ascii="Times New Roman" w:hAnsi="Times New Roman" w:cs="Times New Roman"/>
                <w:color w:val="auto"/>
                <w:sz w:val="24"/>
              </w:rPr>
            </w:pPr>
            <w:r>
              <w:rPr>
                <w:color w:val="auto"/>
              </w:rPr>
              <w:drawing>
                <wp:inline distT="0" distB="0" distL="114300" distR="114300">
                  <wp:extent cx="6144895" cy="1753235"/>
                  <wp:effectExtent l="0" t="0" r="8255" b="1841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3"/>
                          <a:stretch>
                            <a:fillRect/>
                          </a:stretch>
                        </pic:blipFill>
                        <pic:spPr>
                          <a:xfrm>
                            <a:off x="0" y="0"/>
                            <a:ext cx="6144895" cy="1753235"/>
                          </a:xfrm>
                          <a:prstGeom prst="rect">
                            <a:avLst/>
                          </a:prstGeom>
                          <a:noFill/>
                          <a:ln>
                            <a:noFill/>
                          </a:ln>
                        </pic:spPr>
                      </pic:pic>
                    </a:graphicData>
                  </a:graphic>
                </wp:inline>
              </w:drawing>
            </w:r>
          </w:p>
          <w:p w14:paraId="44707DB0">
            <w:pPr>
              <w:spacing w:line="360" w:lineRule="auto"/>
              <w:jc w:val="center"/>
              <w:rPr>
                <w:rFonts w:hint="default" w:ascii="Times New Roman" w:hAnsi="Times New Roman" w:cs="Times New Roman" w:eastAsiaTheme="minorEastAsia"/>
                <w:b/>
                <w:bCs/>
                <w:color w:val="auto"/>
                <w:sz w:val="24"/>
                <w:lang w:val="en-US" w:eastAsia="zh-CN"/>
              </w:rPr>
            </w:pPr>
            <w:r>
              <w:rPr>
                <w:rFonts w:hint="eastAsia" w:ascii="Times New Roman" w:hAnsi="Times New Roman" w:cs="Times New Roman"/>
                <w:b/>
                <w:bCs/>
                <w:color w:val="auto"/>
                <w:sz w:val="24"/>
                <w:lang w:eastAsia="zh-CN"/>
              </w:rPr>
              <w:t>图</w:t>
            </w:r>
            <w:r>
              <w:rPr>
                <w:rFonts w:hint="eastAsia" w:ascii="Times New Roman" w:hAnsi="Times New Roman" w:cs="Times New Roman"/>
                <w:b/>
                <w:bCs/>
                <w:color w:val="auto"/>
                <w:sz w:val="24"/>
                <w:lang w:val="en-US" w:eastAsia="zh-CN"/>
              </w:rPr>
              <w:t>4.3  基地污水处理厂现状二期工程处理工艺流程</w:t>
            </w:r>
          </w:p>
          <w:p w14:paraId="6E82B297">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因此，采取以上治理措施后，本项目废水对区域地表水环境影响很小。</w:t>
            </w:r>
          </w:p>
          <w:p w14:paraId="7095AD53">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（3）建设项目废水污染物排放信息表</w:t>
            </w:r>
          </w:p>
          <w:p w14:paraId="7CFEDF5F">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建设项目废水类别、污染物及污染治理设施信息表见表</w:t>
            </w:r>
            <w:r>
              <w:rPr>
                <w:rFonts w:hint="eastAsia" w:ascii="Times New Roman" w:hAnsi="Times New Roman" w:cs="Times New Roman"/>
                <w:color w:val="auto"/>
                <w:sz w:val="24"/>
              </w:rPr>
              <w:t>4.</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w:t>
            </w:r>
          </w:p>
          <w:p w14:paraId="14BA91B1">
            <w:pPr>
              <w:jc w:val="center"/>
              <w:rPr>
                <w:rFonts w:ascii="Times New Roman" w:hAnsi="Times New Roman" w:cs="Times New Roman"/>
                <w:b/>
                <w:bCs/>
                <w:color w:val="auto"/>
                <w:sz w:val="24"/>
              </w:rPr>
            </w:pPr>
            <w:r>
              <w:rPr>
                <w:rFonts w:ascii="Times New Roman" w:hAnsi="Times New Roman" w:cs="Times New Roman"/>
                <w:b/>
                <w:bCs/>
                <w:color w:val="auto"/>
                <w:sz w:val="24"/>
              </w:rPr>
              <w:t>表</w:t>
            </w:r>
            <w:r>
              <w:rPr>
                <w:rFonts w:hint="eastAsia" w:ascii="Times New Roman" w:hAnsi="Times New Roman" w:cs="Times New Roman"/>
                <w:b/>
                <w:bCs/>
                <w:color w:val="auto"/>
                <w:sz w:val="24"/>
              </w:rPr>
              <w:t>4.</w:t>
            </w:r>
            <w:r>
              <w:rPr>
                <w:rFonts w:hint="eastAsia" w:ascii="Times New Roman" w:hAnsi="Times New Roman" w:cs="Times New Roman"/>
                <w:b/>
                <w:bCs/>
                <w:color w:val="auto"/>
                <w:sz w:val="24"/>
                <w:lang w:val="en-US" w:eastAsia="zh-CN"/>
              </w:rPr>
              <w:t>5</w:t>
            </w:r>
            <w:r>
              <w:rPr>
                <w:rFonts w:ascii="Times New Roman" w:hAnsi="Times New Roman" w:cs="Times New Roman"/>
                <w:b/>
                <w:bCs/>
                <w:color w:val="auto"/>
                <w:sz w:val="24"/>
              </w:rPr>
              <w:t xml:space="preserve">  废水类别、污染物及治理设施信息表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961"/>
              <w:gridCol w:w="961"/>
              <w:gridCol w:w="804"/>
              <w:gridCol w:w="810"/>
              <w:gridCol w:w="945"/>
              <w:gridCol w:w="900"/>
              <w:gridCol w:w="915"/>
              <w:gridCol w:w="750"/>
              <w:gridCol w:w="855"/>
              <w:gridCol w:w="1399"/>
            </w:tblGrid>
            <w:tr w14:paraId="48C68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dxa"/>
                  <w:vMerge w:val="restart"/>
                  <w:vAlign w:val="center"/>
                </w:tcPr>
                <w:p w14:paraId="332C25BB">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序号</w:t>
                  </w:r>
                </w:p>
              </w:tc>
              <w:tc>
                <w:tcPr>
                  <w:tcW w:w="961" w:type="dxa"/>
                  <w:vMerge w:val="restart"/>
                  <w:vAlign w:val="center"/>
                </w:tcPr>
                <w:p w14:paraId="54BF5635">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废水类别a</w:t>
                  </w:r>
                </w:p>
              </w:tc>
              <w:tc>
                <w:tcPr>
                  <w:tcW w:w="961" w:type="dxa"/>
                  <w:vMerge w:val="restart"/>
                  <w:vAlign w:val="center"/>
                </w:tcPr>
                <w:p w14:paraId="103BAA74">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污染物种类b</w:t>
                  </w:r>
                </w:p>
              </w:tc>
              <w:tc>
                <w:tcPr>
                  <w:tcW w:w="804" w:type="dxa"/>
                  <w:vMerge w:val="restart"/>
                  <w:vAlign w:val="center"/>
                </w:tcPr>
                <w:p w14:paraId="2210EF61">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排放去向c</w:t>
                  </w:r>
                </w:p>
              </w:tc>
              <w:tc>
                <w:tcPr>
                  <w:tcW w:w="810" w:type="dxa"/>
                  <w:vMerge w:val="restart"/>
                  <w:vAlign w:val="center"/>
                </w:tcPr>
                <w:p w14:paraId="4D001217">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排放规律d</w:t>
                  </w:r>
                </w:p>
              </w:tc>
              <w:tc>
                <w:tcPr>
                  <w:tcW w:w="2760" w:type="dxa"/>
                  <w:gridSpan w:val="3"/>
                  <w:vAlign w:val="center"/>
                </w:tcPr>
                <w:p w14:paraId="37E28B2E">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污染治理设施</w:t>
                  </w:r>
                </w:p>
              </w:tc>
              <w:tc>
                <w:tcPr>
                  <w:tcW w:w="750" w:type="dxa"/>
                  <w:vMerge w:val="restart"/>
                  <w:vAlign w:val="center"/>
                </w:tcPr>
                <w:p w14:paraId="48B6416A">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排放口编号f</w:t>
                  </w:r>
                </w:p>
              </w:tc>
              <w:tc>
                <w:tcPr>
                  <w:tcW w:w="855" w:type="dxa"/>
                  <w:vMerge w:val="restart"/>
                  <w:vAlign w:val="center"/>
                </w:tcPr>
                <w:p w14:paraId="6CC53D3E">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排放口设置是否符合要求g</w:t>
                  </w:r>
                </w:p>
              </w:tc>
              <w:tc>
                <w:tcPr>
                  <w:tcW w:w="1399" w:type="dxa"/>
                  <w:vMerge w:val="restart"/>
                  <w:vAlign w:val="center"/>
                </w:tcPr>
                <w:p w14:paraId="26D331EB">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排放口类型</w:t>
                  </w:r>
                </w:p>
              </w:tc>
            </w:tr>
            <w:tr w14:paraId="23A3A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dxa"/>
                  <w:vMerge w:val="continue"/>
                  <w:vAlign w:val="center"/>
                </w:tcPr>
                <w:p w14:paraId="711EDC6B">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961" w:type="dxa"/>
                  <w:vMerge w:val="continue"/>
                  <w:vAlign w:val="center"/>
                </w:tcPr>
                <w:p w14:paraId="6CDB0D0E">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961" w:type="dxa"/>
                  <w:vMerge w:val="continue"/>
                  <w:vAlign w:val="center"/>
                </w:tcPr>
                <w:p w14:paraId="2AC6117C">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804" w:type="dxa"/>
                  <w:vMerge w:val="continue"/>
                  <w:vAlign w:val="center"/>
                </w:tcPr>
                <w:p w14:paraId="2DC3FDA3">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810" w:type="dxa"/>
                  <w:vMerge w:val="continue"/>
                  <w:vAlign w:val="center"/>
                </w:tcPr>
                <w:p w14:paraId="14A84E08">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945" w:type="dxa"/>
                  <w:vAlign w:val="center"/>
                </w:tcPr>
                <w:p w14:paraId="7B4A14DA">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污染治理设施编号</w:t>
                  </w:r>
                </w:p>
              </w:tc>
              <w:tc>
                <w:tcPr>
                  <w:tcW w:w="900" w:type="dxa"/>
                  <w:vAlign w:val="center"/>
                </w:tcPr>
                <w:p w14:paraId="5D63554D">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污染治理设施名称e</w:t>
                  </w:r>
                </w:p>
              </w:tc>
              <w:tc>
                <w:tcPr>
                  <w:tcW w:w="915" w:type="dxa"/>
                  <w:vAlign w:val="center"/>
                </w:tcPr>
                <w:p w14:paraId="0AF8C726">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污染治理设施工艺</w:t>
                  </w:r>
                </w:p>
              </w:tc>
              <w:tc>
                <w:tcPr>
                  <w:tcW w:w="750" w:type="dxa"/>
                  <w:vMerge w:val="continue"/>
                  <w:vAlign w:val="center"/>
                </w:tcPr>
                <w:p w14:paraId="76F2E021">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855" w:type="dxa"/>
                  <w:vMerge w:val="continue"/>
                  <w:vAlign w:val="center"/>
                </w:tcPr>
                <w:p w14:paraId="627FBEF1">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1399" w:type="dxa"/>
                  <w:vMerge w:val="continue"/>
                  <w:vAlign w:val="center"/>
                </w:tcPr>
                <w:p w14:paraId="3E659C65">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r>
            <w:tr w14:paraId="202F3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dxa"/>
                  <w:vAlign w:val="center"/>
                </w:tcPr>
                <w:p w14:paraId="474D86F4">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961" w:type="dxa"/>
                  <w:vAlign w:val="center"/>
                </w:tcPr>
                <w:p w14:paraId="025040D4">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0000FF"/>
                      <w:sz w:val="18"/>
                      <w:szCs w:val="18"/>
                      <w:lang w:val="en-US" w:eastAsia="zh-CN"/>
                    </w:rPr>
                  </w:pPr>
                  <w:r>
                    <w:rPr>
                      <w:rFonts w:hint="default" w:ascii="Times New Roman" w:hAnsi="Times New Roman" w:eastAsia="宋体" w:cs="Times New Roman"/>
                      <w:color w:val="auto"/>
                      <w:sz w:val="18"/>
                      <w:szCs w:val="18"/>
                    </w:rPr>
                    <w:t>生活</w:t>
                  </w:r>
                  <w:r>
                    <w:rPr>
                      <w:rFonts w:hint="default" w:ascii="Times New Roman" w:hAnsi="Times New Roman" w:eastAsia="宋体" w:cs="Times New Roman"/>
                      <w:color w:val="auto"/>
                      <w:sz w:val="18"/>
                      <w:szCs w:val="18"/>
                      <w:lang w:val="en-US" w:eastAsia="zh-CN"/>
                    </w:rPr>
                    <w:t>废水</w:t>
                  </w:r>
                </w:p>
              </w:tc>
              <w:tc>
                <w:tcPr>
                  <w:tcW w:w="961" w:type="dxa"/>
                  <w:vAlign w:val="center"/>
                </w:tcPr>
                <w:p w14:paraId="21778A14">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pH、COD、NH</w:t>
                  </w:r>
                  <w:r>
                    <w:rPr>
                      <w:rFonts w:hint="default" w:ascii="Times New Roman" w:hAnsi="Times New Roman" w:eastAsia="宋体" w:cs="Times New Roman"/>
                      <w:color w:val="auto"/>
                      <w:sz w:val="18"/>
                      <w:szCs w:val="18"/>
                      <w:vertAlign w:val="subscript"/>
                    </w:rPr>
                    <w:t>3</w:t>
                  </w:r>
                  <w:r>
                    <w:rPr>
                      <w:rFonts w:hint="default" w:ascii="Times New Roman" w:hAnsi="Times New Roman" w:eastAsia="宋体" w:cs="Times New Roman"/>
                      <w:color w:val="auto"/>
                      <w:sz w:val="18"/>
                      <w:szCs w:val="18"/>
                    </w:rPr>
                    <w:t>-N、SS、BOD</w:t>
                  </w:r>
                  <w:r>
                    <w:rPr>
                      <w:rFonts w:hint="default" w:ascii="Times New Roman" w:hAnsi="Times New Roman" w:eastAsia="宋体" w:cs="Times New Roman"/>
                      <w:color w:val="auto"/>
                      <w:sz w:val="18"/>
                      <w:szCs w:val="18"/>
                      <w:vertAlign w:val="subscript"/>
                    </w:rPr>
                    <w:t>5</w:t>
                  </w:r>
                </w:p>
              </w:tc>
              <w:tc>
                <w:tcPr>
                  <w:tcW w:w="804" w:type="dxa"/>
                  <w:vAlign w:val="center"/>
                </w:tcPr>
                <w:p w14:paraId="773D2458">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进入城市污水处理厂</w:t>
                  </w:r>
                </w:p>
              </w:tc>
              <w:tc>
                <w:tcPr>
                  <w:tcW w:w="810" w:type="dxa"/>
                  <w:vAlign w:val="center"/>
                </w:tcPr>
                <w:p w14:paraId="54D152AC">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连续排放，流量稳定</w:t>
                  </w:r>
                </w:p>
              </w:tc>
              <w:tc>
                <w:tcPr>
                  <w:tcW w:w="945" w:type="dxa"/>
                  <w:vAlign w:val="center"/>
                </w:tcPr>
                <w:p w14:paraId="7998E48A">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TW001</w:t>
                  </w:r>
                </w:p>
              </w:tc>
              <w:tc>
                <w:tcPr>
                  <w:tcW w:w="900" w:type="dxa"/>
                  <w:vAlign w:val="center"/>
                </w:tcPr>
                <w:p w14:paraId="17895363">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生活污水处理系统</w:t>
                  </w:r>
                </w:p>
              </w:tc>
              <w:tc>
                <w:tcPr>
                  <w:tcW w:w="915" w:type="dxa"/>
                  <w:vAlign w:val="center"/>
                </w:tcPr>
                <w:p w14:paraId="20A635FB">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化粪池</w:t>
                  </w:r>
                </w:p>
              </w:tc>
              <w:tc>
                <w:tcPr>
                  <w:tcW w:w="750" w:type="dxa"/>
                  <w:vAlign w:val="center"/>
                </w:tcPr>
                <w:p w14:paraId="571E08B8">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DW001</w:t>
                  </w:r>
                </w:p>
              </w:tc>
              <w:tc>
                <w:tcPr>
                  <w:tcW w:w="855" w:type="dxa"/>
                  <w:vAlign w:val="center"/>
                </w:tcPr>
                <w:p w14:paraId="792B4764">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p w14:paraId="69515054">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p w14:paraId="4A87F6DC">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p w14:paraId="4D0E49F1">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p w14:paraId="12BC0B4D">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☑是</w:t>
                  </w:r>
                </w:p>
                <w:p w14:paraId="6ED46858">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□否</w:t>
                  </w:r>
                </w:p>
                <w:p w14:paraId="37BB0E8F">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p w14:paraId="222A24B7">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p w14:paraId="570EDD16">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p w14:paraId="6E53EB04">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c>
                <w:tcPr>
                  <w:tcW w:w="1399" w:type="dxa"/>
                  <w:vAlign w:val="center"/>
                </w:tcPr>
                <w:p w14:paraId="3C17FED7">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☑企业排口</w:t>
                  </w:r>
                </w:p>
                <w:p w14:paraId="6EA12DF6">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□雨水排放</w:t>
                  </w:r>
                </w:p>
                <w:p w14:paraId="46733DCE">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□清净下水排放</w:t>
                  </w:r>
                </w:p>
                <w:p w14:paraId="43FB1A18">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□温排水排放</w:t>
                  </w:r>
                </w:p>
                <w:p w14:paraId="0CF02ECB">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□车间或车间处理设施排放口</w:t>
                  </w:r>
                </w:p>
                <w:p w14:paraId="68DDF097">
                  <w:pPr>
                    <w:pStyle w:val="47"/>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sz w:val="18"/>
                      <w:szCs w:val="18"/>
                    </w:rPr>
                  </w:pPr>
                </w:p>
              </w:tc>
            </w:tr>
            <w:tr w14:paraId="5E1A3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51" w:type="dxa"/>
                  <w:gridSpan w:val="11"/>
                  <w:vAlign w:val="center"/>
                </w:tcPr>
                <w:p w14:paraId="3A15A8D7">
                  <w:pPr>
                    <w:pStyle w:val="47"/>
                    <w:keepNext w:val="0"/>
                    <w:keepLines w:val="0"/>
                    <w:pageBreakBefore w:val="0"/>
                    <w:widowControl w:val="0"/>
                    <w:kinsoku/>
                    <w:wordWrap/>
                    <w:overflowPunct/>
                    <w:topLinePunct w:val="0"/>
                    <w:autoSpaceDE/>
                    <w:autoSpaceDN/>
                    <w:bidi w:val="0"/>
                    <w:adjustRightInd/>
                    <w:snapToGrid/>
                    <w:spacing w:line="240" w:lineRule="exact"/>
                    <w:ind w:firstLine="360" w:firstLineChars="20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a指产生废水的工艺、工序，或废水类型的名称。</w:t>
                  </w:r>
                </w:p>
                <w:p w14:paraId="79C92513">
                  <w:pPr>
                    <w:pStyle w:val="47"/>
                    <w:keepNext w:val="0"/>
                    <w:keepLines w:val="0"/>
                    <w:pageBreakBefore w:val="0"/>
                    <w:widowControl w:val="0"/>
                    <w:kinsoku/>
                    <w:wordWrap/>
                    <w:overflowPunct/>
                    <w:topLinePunct w:val="0"/>
                    <w:autoSpaceDE/>
                    <w:autoSpaceDN/>
                    <w:bidi w:val="0"/>
                    <w:adjustRightInd/>
                    <w:snapToGrid/>
                    <w:spacing w:line="240" w:lineRule="exact"/>
                    <w:ind w:firstLine="360" w:firstLineChars="20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b指产生的主要污染物类型，以相应排放标准中确定的污染因子为准。</w:t>
                  </w:r>
                </w:p>
                <w:p w14:paraId="05AAE31F">
                  <w:pPr>
                    <w:pStyle w:val="47"/>
                    <w:keepNext w:val="0"/>
                    <w:keepLines w:val="0"/>
                    <w:pageBreakBefore w:val="0"/>
                    <w:widowControl w:val="0"/>
                    <w:kinsoku/>
                    <w:wordWrap/>
                    <w:overflowPunct/>
                    <w:topLinePunct w:val="0"/>
                    <w:autoSpaceDE/>
                    <w:autoSpaceDN/>
                    <w:bidi w:val="0"/>
                    <w:adjustRightInd/>
                    <w:snapToGrid/>
                    <w:spacing w:line="240" w:lineRule="exact"/>
                    <w:ind w:firstLine="360" w:firstLineChars="20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c包括不外排；排至厂内综合污水处理站；直接进入海域；直接进入江河、湖、库等水环境；进入城市下水道（再入江河、湖、库）；进入城市下水道（再入沿海海域）；进入城市污水处理厂；直接进入污灌农田；进入地渗或蒸发地；进入其他单位；工业废水集中处理厂；其他（包括回用等）。对于工艺、工序产生的废水，“不外排”指全部在工序内部循环使用，“排至厂内综合污水处理站”指工序废水经处理后排至综合处理站。对于综合污水处理站，“不外排”指全厂废水经处理后全部回用不排放。</w:t>
                  </w:r>
                </w:p>
                <w:p w14:paraId="4DC67CE3">
                  <w:pPr>
                    <w:pStyle w:val="47"/>
                    <w:keepNext w:val="0"/>
                    <w:keepLines w:val="0"/>
                    <w:pageBreakBefore w:val="0"/>
                    <w:widowControl w:val="0"/>
                    <w:kinsoku/>
                    <w:wordWrap/>
                    <w:overflowPunct/>
                    <w:topLinePunct w:val="0"/>
                    <w:autoSpaceDE/>
                    <w:autoSpaceDN/>
                    <w:bidi w:val="0"/>
                    <w:adjustRightInd/>
                    <w:snapToGrid/>
                    <w:spacing w:line="240" w:lineRule="exact"/>
                    <w:ind w:firstLine="360" w:firstLineChars="20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d包括连续排放，流量稳定；连续排放，流量不稳定，但有周期性规律；连续排放，流量不稳定，但有规律，且不属于周期性规律；连续排放，流量不稳定，属于冲击型排放；连续排放，流量不稳定且无规律，但不属于冲击型排放；间断排放，排放期间流量稳定；间断排放，排放期间流量不稳定，但有周期性规律；间断排放，排放期间流量不稳定，但有规律，且不属于非周期性规律；间断排放，排放期间流量不稳定，属于冲击型排放；间断排放，排放期间流量不稳定且无规律，但不属于冲击型排放。</w:t>
                  </w:r>
                </w:p>
                <w:p w14:paraId="212FFB93">
                  <w:pPr>
                    <w:pStyle w:val="47"/>
                    <w:keepNext w:val="0"/>
                    <w:keepLines w:val="0"/>
                    <w:pageBreakBefore w:val="0"/>
                    <w:widowControl w:val="0"/>
                    <w:kinsoku/>
                    <w:wordWrap/>
                    <w:overflowPunct/>
                    <w:topLinePunct w:val="0"/>
                    <w:autoSpaceDE/>
                    <w:autoSpaceDN/>
                    <w:bidi w:val="0"/>
                    <w:adjustRightInd/>
                    <w:snapToGrid/>
                    <w:spacing w:line="240" w:lineRule="exact"/>
                    <w:ind w:firstLine="360" w:firstLineChars="20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e指主要污水处理设施名称，如“综合污水处理站”“生活污水处理系统”等。</w:t>
                  </w:r>
                </w:p>
                <w:p w14:paraId="367F1AD0">
                  <w:pPr>
                    <w:pStyle w:val="47"/>
                    <w:keepNext w:val="0"/>
                    <w:keepLines w:val="0"/>
                    <w:pageBreakBefore w:val="0"/>
                    <w:widowControl w:val="0"/>
                    <w:kinsoku/>
                    <w:wordWrap/>
                    <w:overflowPunct/>
                    <w:topLinePunct w:val="0"/>
                    <w:autoSpaceDE/>
                    <w:autoSpaceDN/>
                    <w:bidi w:val="0"/>
                    <w:adjustRightInd/>
                    <w:snapToGrid/>
                    <w:spacing w:line="240" w:lineRule="exact"/>
                    <w:ind w:firstLine="360" w:firstLineChars="20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f排放口编号可按地方环境管理部门现有编号进行填写或由企业根据国家相关规范进行编制。</w:t>
                  </w:r>
                </w:p>
                <w:p w14:paraId="4ED3FA6E">
                  <w:pPr>
                    <w:pStyle w:val="47"/>
                    <w:keepNext w:val="0"/>
                    <w:keepLines w:val="0"/>
                    <w:pageBreakBefore w:val="0"/>
                    <w:widowControl w:val="0"/>
                    <w:kinsoku/>
                    <w:wordWrap/>
                    <w:overflowPunct/>
                    <w:topLinePunct w:val="0"/>
                    <w:autoSpaceDE/>
                    <w:autoSpaceDN/>
                    <w:bidi w:val="0"/>
                    <w:adjustRightInd/>
                    <w:snapToGrid/>
                    <w:spacing w:line="240" w:lineRule="exact"/>
                    <w:ind w:firstLine="360" w:firstLineChars="20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g指排放口设置是否符合排放口规范化整治技术要求等相关文件的规定。</w:t>
                  </w:r>
                </w:p>
              </w:tc>
            </w:tr>
          </w:tbl>
          <w:p w14:paraId="5D301A06">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建设项目废水间接排放口基本情况表见表</w:t>
            </w:r>
            <w:r>
              <w:rPr>
                <w:rFonts w:hint="eastAsia" w:ascii="Times New Roman" w:hAnsi="Times New Roman" w:cs="Times New Roman"/>
                <w:color w:val="auto"/>
                <w:sz w:val="24"/>
              </w:rPr>
              <w:t>4.</w:t>
            </w:r>
            <w:r>
              <w:rPr>
                <w:rFonts w:hint="eastAsia" w:ascii="Times New Roman" w:hAnsi="Times New Roman" w:cs="Times New Roman"/>
                <w:color w:val="auto"/>
                <w:sz w:val="24"/>
                <w:lang w:val="en-US" w:eastAsia="zh-CN"/>
              </w:rPr>
              <w:t>6</w:t>
            </w:r>
            <w:r>
              <w:rPr>
                <w:rFonts w:ascii="Times New Roman" w:hAnsi="Times New Roman" w:cs="Times New Roman"/>
                <w:color w:val="auto"/>
                <w:sz w:val="24"/>
              </w:rPr>
              <w:t>。</w:t>
            </w:r>
          </w:p>
          <w:p w14:paraId="352D943C">
            <w:pPr>
              <w:jc w:val="center"/>
              <w:rPr>
                <w:rFonts w:ascii="Times New Roman" w:hAnsi="Times New Roman" w:cs="Times New Roman"/>
                <w:b/>
                <w:bCs/>
                <w:color w:val="auto"/>
                <w:sz w:val="24"/>
              </w:rPr>
            </w:pPr>
            <w:r>
              <w:rPr>
                <w:rFonts w:ascii="Times New Roman" w:hAnsi="Times New Roman" w:cs="Times New Roman"/>
                <w:b/>
                <w:bCs/>
                <w:color w:val="auto"/>
                <w:sz w:val="24"/>
              </w:rPr>
              <w:t>表</w:t>
            </w:r>
            <w:r>
              <w:rPr>
                <w:rFonts w:hint="eastAsia" w:ascii="Times New Roman" w:hAnsi="Times New Roman" w:cs="Times New Roman"/>
                <w:b/>
                <w:bCs/>
                <w:color w:val="auto"/>
                <w:sz w:val="24"/>
              </w:rPr>
              <w:t>4.</w:t>
            </w:r>
            <w:r>
              <w:rPr>
                <w:rFonts w:hint="eastAsia" w:ascii="Times New Roman" w:hAnsi="Times New Roman" w:cs="Times New Roman"/>
                <w:b/>
                <w:bCs/>
                <w:color w:val="auto"/>
                <w:sz w:val="24"/>
                <w:lang w:val="en-US" w:eastAsia="zh-CN"/>
              </w:rPr>
              <w:t>6</w:t>
            </w:r>
            <w:r>
              <w:rPr>
                <w:rFonts w:ascii="Times New Roman" w:hAnsi="Times New Roman" w:cs="Times New Roman"/>
                <w:b/>
                <w:bCs/>
                <w:color w:val="auto"/>
                <w:sz w:val="24"/>
              </w:rPr>
              <w:t xml:space="preserve">  废水间接排放口基本情况表</w:t>
            </w:r>
          </w:p>
          <w:tbl>
            <w:tblPr>
              <w:tblStyle w:val="29"/>
              <w:tblW w:w="97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885"/>
              <w:gridCol w:w="885"/>
              <w:gridCol w:w="885"/>
              <w:gridCol w:w="885"/>
              <w:gridCol w:w="885"/>
              <w:gridCol w:w="885"/>
              <w:gridCol w:w="885"/>
              <w:gridCol w:w="885"/>
              <w:gridCol w:w="885"/>
              <w:gridCol w:w="886"/>
            </w:tblGrid>
            <w:tr w14:paraId="69FCF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85" w:type="dxa"/>
                  <w:vMerge w:val="restart"/>
                  <w:vAlign w:val="center"/>
                </w:tcPr>
                <w:p w14:paraId="51771A70">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885" w:type="dxa"/>
                  <w:vMerge w:val="restart"/>
                  <w:vAlign w:val="center"/>
                </w:tcPr>
                <w:p w14:paraId="353F3597">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排放口编号</w:t>
                  </w:r>
                </w:p>
              </w:tc>
              <w:tc>
                <w:tcPr>
                  <w:tcW w:w="1770" w:type="dxa"/>
                  <w:gridSpan w:val="2"/>
                  <w:vAlign w:val="center"/>
                </w:tcPr>
                <w:p w14:paraId="11232A5A">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排放口地理坐标a</w:t>
                  </w:r>
                </w:p>
              </w:tc>
              <w:tc>
                <w:tcPr>
                  <w:tcW w:w="885" w:type="dxa"/>
                  <w:vMerge w:val="restart"/>
                  <w:vAlign w:val="center"/>
                </w:tcPr>
                <w:p w14:paraId="39F2A9B2">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废水排放量/（万t/a）</w:t>
                  </w:r>
                </w:p>
              </w:tc>
              <w:tc>
                <w:tcPr>
                  <w:tcW w:w="885" w:type="dxa"/>
                  <w:vMerge w:val="restart"/>
                  <w:vAlign w:val="center"/>
                </w:tcPr>
                <w:p w14:paraId="4D244085">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排放去向</w:t>
                  </w:r>
                </w:p>
              </w:tc>
              <w:tc>
                <w:tcPr>
                  <w:tcW w:w="885" w:type="dxa"/>
                  <w:vMerge w:val="restart"/>
                  <w:vAlign w:val="center"/>
                </w:tcPr>
                <w:p w14:paraId="28D81612">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排放规律</w:t>
                  </w:r>
                </w:p>
              </w:tc>
              <w:tc>
                <w:tcPr>
                  <w:tcW w:w="885" w:type="dxa"/>
                  <w:vMerge w:val="restart"/>
                  <w:vAlign w:val="center"/>
                </w:tcPr>
                <w:p w14:paraId="3EAB969C">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间歇排放时段</w:t>
                  </w:r>
                </w:p>
              </w:tc>
              <w:tc>
                <w:tcPr>
                  <w:tcW w:w="2656" w:type="dxa"/>
                  <w:gridSpan w:val="3"/>
                  <w:vAlign w:val="center"/>
                </w:tcPr>
                <w:p w14:paraId="27BF6B82">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受纳污水处理厂信息</w:t>
                  </w:r>
                </w:p>
              </w:tc>
            </w:tr>
            <w:tr w14:paraId="26DDE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885" w:type="dxa"/>
                  <w:vMerge w:val="continue"/>
                  <w:vAlign w:val="center"/>
                </w:tcPr>
                <w:p w14:paraId="68D5F150">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p>
              </w:tc>
              <w:tc>
                <w:tcPr>
                  <w:tcW w:w="885" w:type="dxa"/>
                  <w:vMerge w:val="continue"/>
                  <w:vAlign w:val="center"/>
                </w:tcPr>
                <w:p w14:paraId="612CA692">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p>
              </w:tc>
              <w:tc>
                <w:tcPr>
                  <w:tcW w:w="885" w:type="dxa"/>
                  <w:vAlign w:val="center"/>
                </w:tcPr>
                <w:p w14:paraId="12C59061">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经度</w:t>
                  </w:r>
                </w:p>
              </w:tc>
              <w:tc>
                <w:tcPr>
                  <w:tcW w:w="885" w:type="dxa"/>
                  <w:vAlign w:val="center"/>
                </w:tcPr>
                <w:p w14:paraId="22D3C958">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纬度</w:t>
                  </w:r>
                </w:p>
              </w:tc>
              <w:tc>
                <w:tcPr>
                  <w:tcW w:w="885" w:type="dxa"/>
                  <w:vMerge w:val="continue"/>
                  <w:vAlign w:val="center"/>
                </w:tcPr>
                <w:p w14:paraId="10326291">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p>
              </w:tc>
              <w:tc>
                <w:tcPr>
                  <w:tcW w:w="885" w:type="dxa"/>
                  <w:vMerge w:val="continue"/>
                  <w:vAlign w:val="center"/>
                </w:tcPr>
                <w:p w14:paraId="4C34908E">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p>
              </w:tc>
              <w:tc>
                <w:tcPr>
                  <w:tcW w:w="885" w:type="dxa"/>
                  <w:vMerge w:val="continue"/>
                  <w:vAlign w:val="center"/>
                </w:tcPr>
                <w:p w14:paraId="2CD2C5B9">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p>
              </w:tc>
              <w:tc>
                <w:tcPr>
                  <w:tcW w:w="885" w:type="dxa"/>
                  <w:vMerge w:val="continue"/>
                  <w:vAlign w:val="center"/>
                </w:tcPr>
                <w:p w14:paraId="551CEA78">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p>
              </w:tc>
              <w:tc>
                <w:tcPr>
                  <w:tcW w:w="885" w:type="dxa"/>
                  <w:vAlign w:val="center"/>
                </w:tcPr>
                <w:p w14:paraId="2F396CFC">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名称b</w:t>
                  </w:r>
                </w:p>
              </w:tc>
              <w:tc>
                <w:tcPr>
                  <w:tcW w:w="885" w:type="dxa"/>
                  <w:vAlign w:val="center"/>
                </w:tcPr>
                <w:p w14:paraId="252AD4FB">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污染物种类</w:t>
                  </w:r>
                </w:p>
              </w:tc>
              <w:tc>
                <w:tcPr>
                  <w:tcW w:w="886" w:type="dxa"/>
                  <w:vAlign w:val="center"/>
                </w:tcPr>
                <w:p w14:paraId="52991453">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国家或地方污染物排放标准浓度/（mg/L）</w:t>
                  </w:r>
                </w:p>
              </w:tc>
            </w:tr>
            <w:tr w14:paraId="2BA04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3" w:hRule="atLeast"/>
                <w:jc w:val="center"/>
              </w:trPr>
              <w:tc>
                <w:tcPr>
                  <w:tcW w:w="885" w:type="dxa"/>
                  <w:vAlign w:val="center"/>
                </w:tcPr>
                <w:p w14:paraId="34AFF240">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885" w:type="dxa"/>
                  <w:vAlign w:val="center"/>
                </w:tcPr>
                <w:p w14:paraId="76AAD158">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DW001</w:t>
                  </w:r>
                </w:p>
              </w:tc>
              <w:tc>
                <w:tcPr>
                  <w:tcW w:w="885" w:type="dxa"/>
                  <w:vAlign w:val="center"/>
                </w:tcPr>
                <w:p w14:paraId="02ACE262">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º  ′  ″</w:t>
                  </w:r>
                </w:p>
              </w:tc>
              <w:tc>
                <w:tcPr>
                  <w:tcW w:w="885" w:type="dxa"/>
                  <w:vAlign w:val="center"/>
                </w:tcPr>
                <w:p w14:paraId="7953CBDF">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º  ′  ″</w:t>
                  </w:r>
                </w:p>
              </w:tc>
              <w:tc>
                <w:tcPr>
                  <w:tcW w:w="885" w:type="dxa"/>
                  <w:vAlign w:val="center"/>
                </w:tcPr>
                <w:p w14:paraId="0F030795">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0.0</w:t>
                  </w:r>
                  <w:r>
                    <w:rPr>
                      <w:rFonts w:hint="default" w:ascii="Times New Roman" w:hAnsi="Times New Roman" w:cs="Times New Roman"/>
                      <w:color w:val="auto"/>
                      <w:sz w:val="18"/>
                      <w:szCs w:val="18"/>
                      <w:lang w:val="en-US" w:eastAsia="zh-CN"/>
                    </w:rPr>
                    <w:t>798</w:t>
                  </w:r>
                </w:p>
              </w:tc>
              <w:tc>
                <w:tcPr>
                  <w:tcW w:w="885" w:type="dxa"/>
                  <w:vAlign w:val="center"/>
                </w:tcPr>
                <w:p w14:paraId="7E64B962">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进入城市污水处理厂</w:t>
                  </w:r>
                </w:p>
              </w:tc>
              <w:tc>
                <w:tcPr>
                  <w:tcW w:w="885" w:type="dxa"/>
                  <w:vAlign w:val="center"/>
                </w:tcPr>
                <w:p w14:paraId="3A6E2BA6">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连续排放，流量稳定</w:t>
                  </w:r>
                </w:p>
              </w:tc>
              <w:tc>
                <w:tcPr>
                  <w:tcW w:w="885" w:type="dxa"/>
                  <w:vAlign w:val="center"/>
                </w:tcPr>
                <w:p w14:paraId="72658425">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85" w:type="dxa"/>
                  <w:vAlign w:val="center"/>
                </w:tcPr>
                <w:p w14:paraId="14533F31">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基地</w:t>
                  </w:r>
                  <w:r>
                    <w:rPr>
                      <w:rFonts w:hint="default" w:ascii="Times New Roman" w:hAnsi="Times New Roman" w:cs="Times New Roman"/>
                      <w:color w:val="auto"/>
                      <w:sz w:val="18"/>
                      <w:szCs w:val="18"/>
                    </w:rPr>
                    <w:t>污水处理厂</w:t>
                  </w:r>
                </w:p>
              </w:tc>
              <w:tc>
                <w:tcPr>
                  <w:tcW w:w="885" w:type="dxa"/>
                  <w:vAlign w:val="center"/>
                </w:tcPr>
                <w:p w14:paraId="5B2498C6">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color w:val="auto"/>
                      <w:sz w:val="18"/>
                      <w:szCs w:val="18"/>
                      <w:vertAlign w:val="subscript"/>
                    </w:rPr>
                  </w:pPr>
                  <w:r>
                    <w:rPr>
                      <w:rFonts w:hint="default" w:ascii="Times New Roman" w:hAnsi="Times New Roman" w:cs="Times New Roman"/>
                      <w:color w:val="auto"/>
                      <w:sz w:val="18"/>
                      <w:szCs w:val="18"/>
                    </w:rPr>
                    <w:t>pH、COD、NH</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-N、SS、BOD</w:t>
                  </w:r>
                  <w:r>
                    <w:rPr>
                      <w:rFonts w:hint="default" w:ascii="Times New Roman" w:hAnsi="Times New Roman" w:cs="Times New Roman"/>
                      <w:color w:val="auto"/>
                      <w:sz w:val="18"/>
                      <w:szCs w:val="18"/>
                      <w:vertAlign w:val="subscript"/>
                    </w:rPr>
                    <w:t>5</w:t>
                  </w:r>
                </w:p>
              </w:tc>
              <w:tc>
                <w:tcPr>
                  <w:tcW w:w="886" w:type="dxa"/>
                  <w:vAlign w:val="center"/>
                </w:tcPr>
                <w:p w14:paraId="668A8EA5">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pH：6～9，COD：</w:t>
                  </w:r>
                  <w:r>
                    <w:rPr>
                      <w:rFonts w:hint="default" w:ascii="Times New Roman" w:hAnsi="Times New Roman" w:cs="Times New Roman"/>
                      <w:color w:val="auto"/>
                      <w:sz w:val="18"/>
                      <w:szCs w:val="18"/>
                      <w:lang w:val="en-US" w:eastAsia="zh-CN"/>
                    </w:rPr>
                    <w:t>480</w:t>
                  </w:r>
                  <w:r>
                    <w:rPr>
                      <w:rFonts w:hint="default" w:ascii="Times New Roman" w:hAnsi="Times New Roman" w:cs="Times New Roman"/>
                      <w:color w:val="auto"/>
                      <w:sz w:val="18"/>
                      <w:szCs w:val="18"/>
                    </w:rPr>
                    <w:t>，SS：</w:t>
                  </w:r>
                  <w:r>
                    <w:rPr>
                      <w:rFonts w:hint="default" w:ascii="Times New Roman" w:hAnsi="Times New Roman" w:cs="Times New Roman"/>
                      <w:color w:val="auto"/>
                      <w:sz w:val="18"/>
                      <w:szCs w:val="18"/>
                      <w:lang w:val="en-US" w:eastAsia="zh-CN"/>
                    </w:rPr>
                    <w:t>310</w:t>
                  </w:r>
                  <w:r>
                    <w:rPr>
                      <w:rFonts w:hint="default" w:ascii="Times New Roman" w:hAnsi="Times New Roman" w:cs="Times New Roman"/>
                      <w:color w:val="auto"/>
                      <w:sz w:val="18"/>
                      <w:szCs w:val="18"/>
                    </w:rPr>
                    <w:t>，BOD</w:t>
                  </w:r>
                  <w:r>
                    <w:rPr>
                      <w:rFonts w:hint="default" w:ascii="Times New Roman" w:hAnsi="Times New Roman" w:cs="Times New Roman"/>
                      <w:color w:val="auto"/>
                      <w:sz w:val="18"/>
                      <w:szCs w:val="18"/>
                      <w:vertAlign w:val="subscript"/>
                    </w:rPr>
                    <w:t>5</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120，NH</w:t>
                  </w:r>
                  <w:r>
                    <w:rPr>
                      <w:rFonts w:hint="default" w:ascii="Times New Roman" w:hAnsi="Times New Roman" w:cs="Times New Roman"/>
                      <w:color w:val="auto"/>
                      <w:sz w:val="18"/>
                      <w:szCs w:val="18"/>
                      <w:vertAlign w:val="subscript"/>
                      <w:lang w:val="en-US" w:eastAsia="zh-CN"/>
                    </w:rPr>
                    <w:t>3</w:t>
                  </w:r>
                  <w:r>
                    <w:rPr>
                      <w:rFonts w:hint="default" w:ascii="Times New Roman" w:hAnsi="Times New Roman" w:cs="Times New Roman"/>
                      <w:color w:val="auto"/>
                      <w:sz w:val="18"/>
                      <w:szCs w:val="18"/>
                      <w:lang w:val="en-US" w:eastAsia="zh-CN"/>
                    </w:rPr>
                    <w:t>-N：35</w:t>
                  </w:r>
                </w:p>
              </w:tc>
            </w:tr>
            <w:tr w14:paraId="3012B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9736" w:type="dxa"/>
                  <w:gridSpan w:val="11"/>
                  <w:vAlign w:val="center"/>
                </w:tcPr>
                <w:p w14:paraId="0F3CE0A0">
                  <w:pPr>
                    <w:pStyle w:val="47"/>
                    <w:keepNext w:val="0"/>
                    <w:keepLines w:val="0"/>
                    <w:pageBreakBefore w:val="0"/>
                    <w:widowControl w:val="0"/>
                    <w:kinsoku/>
                    <w:wordWrap/>
                    <w:overflowPunct/>
                    <w:topLinePunct w:val="0"/>
                    <w:autoSpaceDE/>
                    <w:autoSpaceDN/>
                    <w:bidi w:val="0"/>
                    <w:adjustRightInd/>
                    <w:snapToGrid/>
                    <w:spacing w:line="240" w:lineRule="atLeast"/>
                    <w:ind w:firstLine="360" w:firstLineChars="200"/>
                    <w:jc w:val="both"/>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vertAlign w:val="superscript"/>
                    </w:rPr>
                    <w:t>a</w:t>
                  </w:r>
                  <w:r>
                    <w:rPr>
                      <w:rFonts w:hint="default" w:ascii="Times New Roman" w:hAnsi="Times New Roman" w:cs="Times New Roman"/>
                      <w:color w:val="auto"/>
                      <w:sz w:val="18"/>
                      <w:szCs w:val="18"/>
                    </w:rPr>
                    <w:t>对于排至厂外公共污水处理系统的排放口，指废水排出厂界处经纬度坐标。</w:t>
                  </w:r>
                </w:p>
                <w:p w14:paraId="73E45E15">
                  <w:pPr>
                    <w:pStyle w:val="47"/>
                    <w:keepNext w:val="0"/>
                    <w:keepLines w:val="0"/>
                    <w:pageBreakBefore w:val="0"/>
                    <w:widowControl w:val="0"/>
                    <w:kinsoku/>
                    <w:wordWrap/>
                    <w:overflowPunct/>
                    <w:topLinePunct w:val="0"/>
                    <w:autoSpaceDE/>
                    <w:autoSpaceDN/>
                    <w:bidi w:val="0"/>
                    <w:adjustRightInd/>
                    <w:snapToGrid/>
                    <w:spacing w:line="240" w:lineRule="atLeast"/>
                    <w:ind w:firstLine="360" w:firstLineChars="200"/>
                    <w:jc w:val="both"/>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vertAlign w:val="superscript"/>
                    </w:rPr>
                    <w:t>b</w:t>
                  </w:r>
                  <w:r>
                    <w:rPr>
                      <w:rFonts w:hint="default" w:ascii="Times New Roman" w:hAnsi="Times New Roman" w:cs="Times New Roman"/>
                      <w:color w:val="auto"/>
                      <w:sz w:val="18"/>
                      <w:szCs w:val="18"/>
                    </w:rPr>
                    <w:t>指厂外城镇或工业污水集中处理设施名称，如×××生活污水处理厂、×××化工园区污水处理厂等。</w:t>
                  </w:r>
                </w:p>
              </w:tc>
            </w:tr>
          </w:tbl>
          <w:p w14:paraId="5D0C0986">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建设项目废水污染物排放执行标准表见表</w:t>
            </w:r>
            <w:r>
              <w:rPr>
                <w:rFonts w:hint="eastAsia" w:ascii="Times New Roman" w:hAnsi="Times New Roman" w:cs="Times New Roman"/>
                <w:color w:val="auto"/>
                <w:sz w:val="24"/>
              </w:rPr>
              <w:t>4.</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w:t>
            </w:r>
          </w:p>
          <w:p w14:paraId="792BC086">
            <w:pPr>
              <w:jc w:val="center"/>
              <w:rPr>
                <w:rFonts w:ascii="Times New Roman" w:hAnsi="Times New Roman" w:cs="Times New Roman"/>
                <w:b/>
                <w:bCs/>
                <w:color w:val="auto"/>
                <w:sz w:val="24"/>
              </w:rPr>
            </w:pPr>
            <w:r>
              <w:rPr>
                <w:rFonts w:ascii="Times New Roman" w:hAnsi="Times New Roman" w:cs="Times New Roman"/>
                <w:b/>
                <w:bCs/>
                <w:color w:val="auto"/>
                <w:sz w:val="24"/>
              </w:rPr>
              <w:t>表</w:t>
            </w:r>
            <w:r>
              <w:rPr>
                <w:rFonts w:hint="eastAsia" w:ascii="Times New Roman" w:hAnsi="Times New Roman" w:cs="Times New Roman"/>
                <w:b/>
                <w:bCs/>
                <w:color w:val="auto"/>
                <w:sz w:val="24"/>
              </w:rPr>
              <w:t>4.</w:t>
            </w:r>
            <w:r>
              <w:rPr>
                <w:rFonts w:hint="eastAsia" w:ascii="Times New Roman" w:hAnsi="Times New Roman" w:cs="Times New Roman"/>
                <w:b/>
                <w:bCs/>
                <w:color w:val="auto"/>
                <w:sz w:val="24"/>
                <w:lang w:val="en-US" w:eastAsia="zh-CN"/>
              </w:rPr>
              <w:t>7</w:t>
            </w:r>
            <w:r>
              <w:rPr>
                <w:rFonts w:ascii="Times New Roman" w:hAnsi="Times New Roman" w:cs="Times New Roman"/>
                <w:b/>
                <w:bCs/>
                <w:color w:val="auto"/>
                <w:sz w:val="24"/>
              </w:rPr>
              <w:t xml:space="preserve">  废水污染物排放执行标准表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9"/>
              <w:gridCol w:w="1950"/>
              <w:gridCol w:w="1952"/>
              <w:gridCol w:w="1950"/>
              <w:gridCol w:w="1950"/>
            </w:tblGrid>
            <w:tr w14:paraId="38988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Merge w:val="restart"/>
                  <w:vAlign w:val="center"/>
                </w:tcPr>
                <w:p w14:paraId="0A00D7AC">
                  <w:pPr>
                    <w:pStyle w:val="34"/>
                    <w:jc w:val="center"/>
                    <w:rPr>
                      <w:color w:val="auto"/>
                      <w:kern w:val="0"/>
                      <w:sz w:val="21"/>
                      <w:szCs w:val="21"/>
                    </w:rPr>
                  </w:pPr>
                  <w:r>
                    <w:rPr>
                      <w:color w:val="auto"/>
                      <w:kern w:val="0"/>
                      <w:sz w:val="21"/>
                      <w:szCs w:val="21"/>
                    </w:rPr>
                    <w:t>序号</w:t>
                  </w:r>
                </w:p>
              </w:tc>
              <w:tc>
                <w:tcPr>
                  <w:tcW w:w="1950" w:type="dxa"/>
                  <w:vMerge w:val="restart"/>
                  <w:vAlign w:val="center"/>
                </w:tcPr>
                <w:p w14:paraId="3D1201A6">
                  <w:pPr>
                    <w:pStyle w:val="34"/>
                    <w:jc w:val="center"/>
                    <w:rPr>
                      <w:color w:val="auto"/>
                      <w:kern w:val="0"/>
                      <w:sz w:val="21"/>
                      <w:szCs w:val="21"/>
                    </w:rPr>
                  </w:pPr>
                  <w:r>
                    <w:rPr>
                      <w:color w:val="auto"/>
                      <w:kern w:val="0"/>
                      <w:sz w:val="21"/>
                      <w:szCs w:val="21"/>
                    </w:rPr>
                    <w:t>排放口编号</w:t>
                  </w:r>
                </w:p>
              </w:tc>
              <w:tc>
                <w:tcPr>
                  <w:tcW w:w="1952" w:type="dxa"/>
                  <w:vMerge w:val="restart"/>
                  <w:vAlign w:val="center"/>
                </w:tcPr>
                <w:p w14:paraId="7977823D">
                  <w:pPr>
                    <w:pStyle w:val="34"/>
                    <w:jc w:val="center"/>
                    <w:rPr>
                      <w:color w:val="auto"/>
                      <w:kern w:val="0"/>
                      <w:sz w:val="21"/>
                      <w:szCs w:val="21"/>
                    </w:rPr>
                  </w:pPr>
                  <w:r>
                    <w:rPr>
                      <w:color w:val="auto"/>
                      <w:kern w:val="0"/>
                      <w:sz w:val="21"/>
                      <w:szCs w:val="21"/>
                    </w:rPr>
                    <w:t>污染物种类</w:t>
                  </w:r>
                </w:p>
              </w:tc>
              <w:tc>
                <w:tcPr>
                  <w:tcW w:w="3900" w:type="dxa"/>
                  <w:gridSpan w:val="2"/>
                  <w:vAlign w:val="center"/>
                </w:tcPr>
                <w:p w14:paraId="69CA9990">
                  <w:pPr>
                    <w:pStyle w:val="34"/>
                    <w:jc w:val="center"/>
                    <w:rPr>
                      <w:color w:val="auto"/>
                      <w:kern w:val="0"/>
                      <w:sz w:val="21"/>
                      <w:szCs w:val="21"/>
                    </w:rPr>
                  </w:pPr>
                  <w:r>
                    <w:rPr>
                      <w:color w:val="auto"/>
                      <w:kern w:val="0"/>
                      <w:sz w:val="21"/>
                      <w:szCs w:val="21"/>
                    </w:rPr>
                    <w:t>国家或地方污染物排放标准及其他按规定商定的排放协议a</w:t>
                  </w:r>
                </w:p>
              </w:tc>
            </w:tr>
            <w:tr w14:paraId="0EE5D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Merge w:val="continue"/>
                  <w:vAlign w:val="center"/>
                </w:tcPr>
                <w:p w14:paraId="552CFB1C">
                  <w:pPr>
                    <w:pStyle w:val="34"/>
                    <w:jc w:val="center"/>
                    <w:rPr>
                      <w:color w:val="auto"/>
                      <w:kern w:val="0"/>
                      <w:sz w:val="21"/>
                      <w:szCs w:val="21"/>
                    </w:rPr>
                  </w:pPr>
                </w:p>
              </w:tc>
              <w:tc>
                <w:tcPr>
                  <w:tcW w:w="1950" w:type="dxa"/>
                  <w:vMerge w:val="continue"/>
                  <w:vAlign w:val="center"/>
                </w:tcPr>
                <w:p w14:paraId="502D786F">
                  <w:pPr>
                    <w:pStyle w:val="34"/>
                    <w:jc w:val="center"/>
                    <w:rPr>
                      <w:color w:val="auto"/>
                      <w:kern w:val="0"/>
                      <w:sz w:val="21"/>
                      <w:szCs w:val="21"/>
                    </w:rPr>
                  </w:pPr>
                </w:p>
              </w:tc>
              <w:tc>
                <w:tcPr>
                  <w:tcW w:w="1952" w:type="dxa"/>
                  <w:vMerge w:val="continue"/>
                  <w:vAlign w:val="center"/>
                </w:tcPr>
                <w:p w14:paraId="6197690E">
                  <w:pPr>
                    <w:pStyle w:val="34"/>
                    <w:jc w:val="center"/>
                    <w:rPr>
                      <w:color w:val="auto"/>
                      <w:kern w:val="0"/>
                      <w:sz w:val="21"/>
                      <w:szCs w:val="21"/>
                    </w:rPr>
                  </w:pPr>
                </w:p>
              </w:tc>
              <w:tc>
                <w:tcPr>
                  <w:tcW w:w="1950" w:type="dxa"/>
                  <w:vAlign w:val="center"/>
                </w:tcPr>
                <w:p w14:paraId="6AC3B2F5">
                  <w:pPr>
                    <w:pStyle w:val="34"/>
                    <w:jc w:val="center"/>
                    <w:rPr>
                      <w:color w:val="auto"/>
                      <w:kern w:val="0"/>
                      <w:sz w:val="21"/>
                      <w:szCs w:val="21"/>
                    </w:rPr>
                  </w:pPr>
                  <w:r>
                    <w:rPr>
                      <w:color w:val="auto"/>
                      <w:kern w:val="0"/>
                      <w:sz w:val="21"/>
                      <w:szCs w:val="21"/>
                    </w:rPr>
                    <w:t>名称</w:t>
                  </w:r>
                </w:p>
              </w:tc>
              <w:tc>
                <w:tcPr>
                  <w:tcW w:w="1950" w:type="dxa"/>
                  <w:vAlign w:val="center"/>
                </w:tcPr>
                <w:p w14:paraId="3E304EC0">
                  <w:pPr>
                    <w:pStyle w:val="34"/>
                    <w:jc w:val="center"/>
                    <w:rPr>
                      <w:color w:val="auto"/>
                      <w:kern w:val="0"/>
                      <w:sz w:val="21"/>
                      <w:szCs w:val="21"/>
                    </w:rPr>
                  </w:pPr>
                  <w:r>
                    <w:rPr>
                      <w:color w:val="auto"/>
                      <w:kern w:val="0"/>
                      <w:sz w:val="21"/>
                      <w:szCs w:val="21"/>
                    </w:rPr>
                    <w:t>浓度限值/（mg/L）</w:t>
                  </w:r>
                </w:p>
              </w:tc>
            </w:tr>
            <w:tr w14:paraId="6F884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Merge w:val="restart"/>
                  <w:vAlign w:val="center"/>
                </w:tcPr>
                <w:p w14:paraId="143EDA9F">
                  <w:pPr>
                    <w:pStyle w:val="34"/>
                    <w:jc w:val="center"/>
                    <w:rPr>
                      <w:color w:val="auto"/>
                      <w:kern w:val="0"/>
                      <w:sz w:val="21"/>
                      <w:szCs w:val="21"/>
                    </w:rPr>
                  </w:pPr>
                  <w:r>
                    <w:rPr>
                      <w:color w:val="auto"/>
                      <w:kern w:val="0"/>
                      <w:sz w:val="21"/>
                      <w:szCs w:val="21"/>
                    </w:rPr>
                    <w:t>1</w:t>
                  </w:r>
                </w:p>
              </w:tc>
              <w:tc>
                <w:tcPr>
                  <w:tcW w:w="1950" w:type="dxa"/>
                  <w:vMerge w:val="restart"/>
                  <w:vAlign w:val="center"/>
                </w:tcPr>
                <w:p w14:paraId="48253B40">
                  <w:pPr>
                    <w:pStyle w:val="34"/>
                    <w:jc w:val="center"/>
                    <w:rPr>
                      <w:rFonts w:hint="eastAsia" w:eastAsia="宋体"/>
                      <w:color w:val="auto"/>
                      <w:kern w:val="0"/>
                      <w:sz w:val="21"/>
                      <w:szCs w:val="21"/>
                      <w:lang w:eastAsia="zh-CN"/>
                    </w:rPr>
                  </w:pPr>
                  <w:r>
                    <w:rPr>
                      <w:color w:val="auto"/>
                      <w:kern w:val="0"/>
                      <w:sz w:val="21"/>
                      <w:szCs w:val="21"/>
                    </w:rPr>
                    <w:t>DW001</w:t>
                  </w:r>
                </w:p>
              </w:tc>
              <w:tc>
                <w:tcPr>
                  <w:tcW w:w="1952" w:type="dxa"/>
                  <w:vAlign w:val="center"/>
                </w:tcPr>
                <w:p w14:paraId="1F0DE5CE">
                  <w:pPr>
                    <w:pStyle w:val="34"/>
                    <w:jc w:val="center"/>
                    <w:rPr>
                      <w:color w:val="auto"/>
                      <w:kern w:val="0"/>
                      <w:sz w:val="21"/>
                      <w:szCs w:val="21"/>
                    </w:rPr>
                  </w:pPr>
                  <w:r>
                    <w:rPr>
                      <w:color w:val="auto"/>
                      <w:kern w:val="0"/>
                      <w:sz w:val="21"/>
                      <w:szCs w:val="21"/>
                    </w:rPr>
                    <w:t>pH</w:t>
                  </w:r>
                </w:p>
              </w:tc>
              <w:tc>
                <w:tcPr>
                  <w:tcW w:w="1950" w:type="dxa"/>
                  <w:vMerge w:val="restart"/>
                  <w:vAlign w:val="center"/>
                </w:tcPr>
                <w:p w14:paraId="2ECF4A03">
                  <w:pPr>
                    <w:pStyle w:val="34"/>
                    <w:jc w:val="center"/>
                    <w:rPr>
                      <w:rFonts w:hint="eastAsia" w:eastAsia="宋体"/>
                      <w:color w:val="auto"/>
                      <w:kern w:val="0"/>
                      <w:sz w:val="21"/>
                      <w:szCs w:val="21"/>
                      <w:lang w:eastAsia="zh-CN"/>
                    </w:rPr>
                  </w:pPr>
                  <w:r>
                    <w:rPr>
                      <w:color w:val="auto"/>
                      <w:sz w:val="21"/>
                      <w:szCs w:val="21"/>
                    </w:rPr>
                    <w:t>《污水综合排放标准》（GB8978-1996）表4中三级标准</w:t>
                  </w:r>
                  <w:r>
                    <w:rPr>
                      <w:rFonts w:hint="eastAsia"/>
                      <w:color w:val="auto"/>
                      <w:sz w:val="21"/>
                      <w:szCs w:val="21"/>
                      <w:lang w:eastAsia="zh-CN"/>
                    </w:rPr>
                    <w:t>及污水处理厂接管限值</w:t>
                  </w:r>
                </w:p>
              </w:tc>
              <w:tc>
                <w:tcPr>
                  <w:tcW w:w="1950" w:type="dxa"/>
                  <w:vAlign w:val="center"/>
                </w:tcPr>
                <w:p w14:paraId="37EFE6E5">
                  <w:pPr>
                    <w:pStyle w:val="34"/>
                    <w:jc w:val="center"/>
                    <w:rPr>
                      <w:color w:val="auto"/>
                      <w:kern w:val="0"/>
                      <w:sz w:val="21"/>
                      <w:szCs w:val="21"/>
                    </w:rPr>
                  </w:pPr>
                  <w:r>
                    <w:rPr>
                      <w:color w:val="auto"/>
                      <w:kern w:val="0"/>
                      <w:sz w:val="21"/>
                      <w:szCs w:val="21"/>
                    </w:rPr>
                    <w:t>6～9</w:t>
                  </w:r>
                </w:p>
              </w:tc>
            </w:tr>
            <w:tr w14:paraId="0F40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Merge w:val="continue"/>
                  <w:vAlign w:val="center"/>
                </w:tcPr>
                <w:p w14:paraId="349AB329">
                  <w:pPr>
                    <w:pStyle w:val="34"/>
                    <w:jc w:val="center"/>
                    <w:rPr>
                      <w:color w:val="auto"/>
                      <w:kern w:val="0"/>
                      <w:sz w:val="21"/>
                      <w:szCs w:val="21"/>
                    </w:rPr>
                  </w:pPr>
                </w:p>
              </w:tc>
              <w:tc>
                <w:tcPr>
                  <w:tcW w:w="1950" w:type="dxa"/>
                  <w:vMerge w:val="continue"/>
                  <w:vAlign w:val="center"/>
                </w:tcPr>
                <w:p w14:paraId="65F731F2">
                  <w:pPr>
                    <w:pStyle w:val="34"/>
                    <w:jc w:val="center"/>
                    <w:rPr>
                      <w:color w:val="auto"/>
                      <w:kern w:val="0"/>
                      <w:sz w:val="21"/>
                      <w:szCs w:val="21"/>
                    </w:rPr>
                  </w:pPr>
                </w:p>
              </w:tc>
              <w:tc>
                <w:tcPr>
                  <w:tcW w:w="1952" w:type="dxa"/>
                  <w:vAlign w:val="center"/>
                </w:tcPr>
                <w:p w14:paraId="067D26B8">
                  <w:pPr>
                    <w:pStyle w:val="34"/>
                    <w:jc w:val="center"/>
                    <w:rPr>
                      <w:color w:val="auto"/>
                      <w:kern w:val="0"/>
                      <w:sz w:val="21"/>
                      <w:szCs w:val="21"/>
                    </w:rPr>
                  </w:pPr>
                  <w:r>
                    <w:rPr>
                      <w:color w:val="auto"/>
                      <w:kern w:val="0"/>
                      <w:sz w:val="21"/>
                      <w:szCs w:val="21"/>
                    </w:rPr>
                    <w:t>COD</w:t>
                  </w:r>
                </w:p>
              </w:tc>
              <w:tc>
                <w:tcPr>
                  <w:tcW w:w="1950" w:type="dxa"/>
                  <w:vMerge w:val="continue"/>
                  <w:vAlign w:val="center"/>
                </w:tcPr>
                <w:p w14:paraId="23485C7D">
                  <w:pPr>
                    <w:pStyle w:val="34"/>
                    <w:jc w:val="center"/>
                    <w:rPr>
                      <w:color w:val="auto"/>
                      <w:kern w:val="0"/>
                      <w:sz w:val="21"/>
                      <w:szCs w:val="21"/>
                    </w:rPr>
                  </w:pPr>
                </w:p>
              </w:tc>
              <w:tc>
                <w:tcPr>
                  <w:tcW w:w="1950" w:type="dxa"/>
                  <w:vAlign w:val="center"/>
                </w:tcPr>
                <w:p w14:paraId="24954C14">
                  <w:pPr>
                    <w:pStyle w:val="34"/>
                    <w:jc w:val="center"/>
                    <w:rPr>
                      <w:rFonts w:hint="default" w:eastAsia="宋体"/>
                      <w:color w:val="auto"/>
                      <w:kern w:val="0"/>
                      <w:sz w:val="21"/>
                      <w:szCs w:val="21"/>
                      <w:lang w:val="en-US" w:eastAsia="zh-CN"/>
                    </w:rPr>
                  </w:pPr>
                  <w:r>
                    <w:rPr>
                      <w:rFonts w:hint="eastAsia"/>
                      <w:color w:val="auto"/>
                      <w:kern w:val="0"/>
                      <w:sz w:val="21"/>
                      <w:szCs w:val="21"/>
                      <w:lang w:val="en-US" w:eastAsia="zh-CN"/>
                    </w:rPr>
                    <w:t>480</w:t>
                  </w:r>
                </w:p>
              </w:tc>
            </w:tr>
            <w:tr w14:paraId="4735A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Merge w:val="continue"/>
                  <w:vAlign w:val="center"/>
                </w:tcPr>
                <w:p w14:paraId="2CEE9002">
                  <w:pPr>
                    <w:pStyle w:val="34"/>
                    <w:jc w:val="center"/>
                    <w:rPr>
                      <w:color w:val="auto"/>
                      <w:kern w:val="0"/>
                      <w:sz w:val="21"/>
                      <w:szCs w:val="21"/>
                    </w:rPr>
                  </w:pPr>
                </w:p>
              </w:tc>
              <w:tc>
                <w:tcPr>
                  <w:tcW w:w="1950" w:type="dxa"/>
                  <w:vMerge w:val="continue"/>
                  <w:vAlign w:val="center"/>
                </w:tcPr>
                <w:p w14:paraId="53F129E9">
                  <w:pPr>
                    <w:pStyle w:val="34"/>
                    <w:jc w:val="center"/>
                    <w:rPr>
                      <w:color w:val="auto"/>
                      <w:kern w:val="0"/>
                      <w:sz w:val="21"/>
                      <w:szCs w:val="21"/>
                    </w:rPr>
                  </w:pPr>
                </w:p>
              </w:tc>
              <w:tc>
                <w:tcPr>
                  <w:tcW w:w="1952" w:type="dxa"/>
                  <w:vAlign w:val="center"/>
                </w:tcPr>
                <w:p w14:paraId="1BEC0216">
                  <w:pPr>
                    <w:pStyle w:val="34"/>
                    <w:jc w:val="center"/>
                    <w:rPr>
                      <w:color w:val="auto"/>
                      <w:kern w:val="0"/>
                      <w:sz w:val="21"/>
                      <w:szCs w:val="21"/>
                      <w:vertAlign w:val="subscript"/>
                    </w:rPr>
                  </w:pPr>
                  <w:r>
                    <w:rPr>
                      <w:color w:val="auto"/>
                      <w:kern w:val="0"/>
                      <w:sz w:val="21"/>
                      <w:szCs w:val="21"/>
                    </w:rPr>
                    <w:t>BOD</w:t>
                  </w:r>
                  <w:r>
                    <w:rPr>
                      <w:color w:val="auto"/>
                      <w:kern w:val="0"/>
                      <w:sz w:val="21"/>
                      <w:szCs w:val="21"/>
                      <w:vertAlign w:val="subscript"/>
                    </w:rPr>
                    <w:t>5</w:t>
                  </w:r>
                </w:p>
              </w:tc>
              <w:tc>
                <w:tcPr>
                  <w:tcW w:w="1950" w:type="dxa"/>
                  <w:vMerge w:val="continue"/>
                  <w:vAlign w:val="center"/>
                </w:tcPr>
                <w:p w14:paraId="19C2F7CD">
                  <w:pPr>
                    <w:pStyle w:val="34"/>
                    <w:jc w:val="center"/>
                    <w:rPr>
                      <w:color w:val="auto"/>
                      <w:kern w:val="0"/>
                      <w:sz w:val="21"/>
                      <w:szCs w:val="21"/>
                    </w:rPr>
                  </w:pPr>
                </w:p>
              </w:tc>
              <w:tc>
                <w:tcPr>
                  <w:tcW w:w="1950" w:type="dxa"/>
                  <w:vAlign w:val="center"/>
                </w:tcPr>
                <w:p w14:paraId="6876DF4E">
                  <w:pPr>
                    <w:pStyle w:val="34"/>
                    <w:jc w:val="center"/>
                    <w:rPr>
                      <w:rFonts w:hint="default" w:eastAsia="宋体"/>
                      <w:color w:val="auto"/>
                      <w:kern w:val="0"/>
                      <w:sz w:val="21"/>
                      <w:szCs w:val="21"/>
                      <w:lang w:val="en-US" w:eastAsia="zh-CN"/>
                    </w:rPr>
                  </w:pPr>
                  <w:r>
                    <w:rPr>
                      <w:rFonts w:hint="eastAsia"/>
                      <w:color w:val="auto"/>
                      <w:kern w:val="0"/>
                      <w:sz w:val="21"/>
                      <w:szCs w:val="21"/>
                      <w:lang w:val="en-US" w:eastAsia="zh-CN"/>
                    </w:rPr>
                    <w:t>120</w:t>
                  </w:r>
                </w:p>
              </w:tc>
            </w:tr>
            <w:tr w14:paraId="26143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Merge w:val="continue"/>
                  <w:vAlign w:val="center"/>
                </w:tcPr>
                <w:p w14:paraId="0E08BFC9">
                  <w:pPr>
                    <w:pStyle w:val="34"/>
                    <w:jc w:val="center"/>
                    <w:rPr>
                      <w:color w:val="auto"/>
                      <w:kern w:val="0"/>
                      <w:sz w:val="21"/>
                      <w:szCs w:val="21"/>
                    </w:rPr>
                  </w:pPr>
                </w:p>
              </w:tc>
              <w:tc>
                <w:tcPr>
                  <w:tcW w:w="1950" w:type="dxa"/>
                  <w:vMerge w:val="continue"/>
                  <w:vAlign w:val="center"/>
                </w:tcPr>
                <w:p w14:paraId="4C53195A">
                  <w:pPr>
                    <w:pStyle w:val="34"/>
                    <w:jc w:val="center"/>
                    <w:rPr>
                      <w:color w:val="auto"/>
                      <w:kern w:val="0"/>
                      <w:sz w:val="21"/>
                      <w:szCs w:val="21"/>
                    </w:rPr>
                  </w:pPr>
                </w:p>
              </w:tc>
              <w:tc>
                <w:tcPr>
                  <w:tcW w:w="1952" w:type="dxa"/>
                  <w:vAlign w:val="center"/>
                </w:tcPr>
                <w:p w14:paraId="777E0D9D">
                  <w:pPr>
                    <w:pStyle w:val="34"/>
                    <w:jc w:val="center"/>
                    <w:rPr>
                      <w:color w:val="auto"/>
                      <w:kern w:val="0"/>
                      <w:sz w:val="21"/>
                      <w:szCs w:val="21"/>
                    </w:rPr>
                  </w:pPr>
                  <w:r>
                    <w:rPr>
                      <w:color w:val="auto"/>
                      <w:kern w:val="0"/>
                      <w:sz w:val="21"/>
                      <w:szCs w:val="21"/>
                    </w:rPr>
                    <w:t>NH</w:t>
                  </w:r>
                  <w:r>
                    <w:rPr>
                      <w:color w:val="auto"/>
                      <w:kern w:val="0"/>
                      <w:sz w:val="21"/>
                      <w:szCs w:val="21"/>
                      <w:vertAlign w:val="subscript"/>
                    </w:rPr>
                    <w:t>3</w:t>
                  </w:r>
                  <w:r>
                    <w:rPr>
                      <w:color w:val="auto"/>
                      <w:kern w:val="0"/>
                      <w:sz w:val="21"/>
                      <w:szCs w:val="21"/>
                    </w:rPr>
                    <w:t>-N</w:t>
                  </w:r>
                </w:p>
              </w:tc>
              <w:tc>
                <w:tcPr>
                  <w:tcW w:w="1950" w:type="dxa"/>
                  <w:vMerge w:val="continue"/>
                  <w:vAlign w:val="center"/>
                </w:tcPr>
                <w:p w14:paraId="0F493688">
                  <w:pPr>
                    <w:pStyle w:val="34"/>
                    <w:jc w:val="center"/>
                    <w:rPr>
                      <w:color w:val="auto"/>
                      <w:kern w:val="0"/>
                      <w:sz w:val="21"/>
                      <w:szCs w:val="21"/>
                    </w:rPr>
                  </w:pPr>
                </w:p>
              </w:tc>
              <w:tc>
                <w:tcPr>
                  <w:tcW w:w="1950" w:type="dxa"/>
                  <w:vAlign w:val="center"/>
                </w:tcPr>
                <w:p w14:paraId="1877C7FC">
                  <w:pPr>
                    <w:pStyle w:val="34"/>
                    <w:jc w:val="center"/>
                    <w:rPr>
                      <w:rFonts w:hint="default" w:eastAsia="宋体"/>
                      <w:color w:val="auto"/>
                      <w:kern w:val="0"/>
                      <w:sz w:val="21"/>
                      <w:szCs w:val="21"/>
                      <w:lang w:val="en-US" w:eastAsia="zh-CN"/>
                    </w:rPr>
                  </w:pPr>
                  <w:r>
                    <w:rPr>
                      <w:rFonts w:hint="eastAsia"/>
                      <w:color w:val="auto"/>
                      <w:kern w:val="0"/>
                      <w:sz w:val="21"/>
                      <w:szCs w:val="21"/>
                      <w:lang w:val="en-US" w:eastAsia="zh-CN"/>
                    </w:rPr>
                    <w:t>35</w:t>
                  </w:r>
                </w:p>
              </w:tc>
            </w:tr>
            <w:tr w14:paraId="4DB0D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Merge w:val="continue"/>
                  <w:vAlign w:val="center"/>
                </w:tcPr>
                <w:p w14:paraId="799BEA5A">
                  <w:pPr>
                    <w:pStyle w:val="34"/>
                    <w:jc w:val="center"/>
                    <w:rPr>
                      <w:color w:val="auto"/>
                      <w:kern w:val="0"/>
                      <w:sz w:val="21"/>
                      <w:szCs w:val="21"/>
                    </w:rPr>
                  </w:pPr>
                </w:p>
              </w:tc>
              <w:tc>
                <w:tcPr>
                  <w:tcW w:w="1950" w:type="dxa"/>
                  <w:vMerge w:val="continue"/>
                  <w:vAlign w:val="center"/>
                </w:tcPr>
                <w:p w14:paraId="1155C8E5">
                  <w:pPr>
                    <w:pStyle w:val="34"/>
                    <w:jc w:val="center"/>
                    <w:rPr>
                      <w:color w:val="auto"/>
                      <w:kern w:val="0"/>
                      <w:sz w:val="21"/>
                      <w:szCs w:val="21"/>
                    </w:rPr>
                  </w:pPr>
                </w:p>
              </w:tc>
              <w:tc>
                <w:tcPr>
                  <w:tcW w:w="1952" w:type="dxa"/>
                  <w:vAlign w:val="center"/>
                </w:tcPr>
                <w:p w14:paraId="25B42895">
                  <w:pPr>
                    <w:pStyle w:val="34"/>
                    <w:jc w:val="center"/>
                    <w:rPr>
                      <w:color w:val="auto"/>
                      <w:kern w:val="0"/>
                      <w:sz w:val="21"/>
                      <w:szCs w:val="21"/>
                    </w:rPr>
                  </w:pPr>
                  <w:r>
                    <w:rPr>
                      <w:color w:val="auto"/>
                      <w:kern w:val="0"/>
                      <w:sz w:val="21"/>
                      <w:szCs w:val="21"/>
                    </w:rPr>
                    <w:t>SS</w:t>
                  </w:r>
                </w:p>
              </w:tc>
              <w:tc>
                <w:tcPr>
                  <w:tcW w:w="1950" w:type="dxa"/>
                  <w:vMerge w:val="continue"/>
                  <w:vAlign w:val="center"/>
                </w:tcPr>
                <w:p w14:paraId="12CC6FF8">
                  <w:pPr>
                    <w:pStyle w:val="34"/>
                    <w:jc w:val="center"/>
                    <w:rPr>
                      <w:color w:val="auto"/>
                      <w:kern w:val="0"/>
                      <w:sz w:val="21"/>
                      <w:szCs w:val="21"/>
                    </w:rPr>
                  </w:pPr>
                </w:p>
              </w:tc>
              <w:tc>
                <w:tcPr>
                  <w:tcW w:w="1950" w:type="dxa"/>
                  <w:vAlign w:val="center"/>
                </w:tcPr>
                <w:p w14:paraId="6611E96E">
                  <w:pPr>
                    <w:pStyle w:val="34"/>
                    <w:jc w:val="center"/>
                    <w:rPr>
                      <w:rFonts w:hint="default" w:eastAsia="宋体"/>
                      <w:color w:val="auto"/>
                      <w:kern w:val="0"/>
                      <w:sz w:val="21"/>
                      <w:szCs w:val="21"/>
                      <w:lang w:val="en-US" w:eastAsia="zh-CN"/>
                    </w:rPr>
                  </w:pPr>
                  <w:r>
                    <w:rPr>
                      <w:rFonts w:hint="eastAsia"/>
                      <w:color w:val="auto"/>
                      <w:kern w:val="0"/>
                      <w:sz w:val="21"/>
                      <w:szCs w:val="21"/>
                      <w:lang w:val="en-US" w:eastAsia="zh-CN"/>
                    </w:rPr>
                    <w:t>310</w:t>
                  </w:r>
                </w:p>
              </w:tc>
            </w:tr>
            <w:tr w14:paraId="73CE6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51" w:type="dxa"/>
                  <w:gridSpan w:val="5"/>
                  <w:vAlign w:val="center"/>
                </w:tcPr>
                <w:p w14:paraId="4257AFAD">
                  <w:pPr>
                    <w:pStyle w:val="34"/>
                    <w:ind w:firstLine="420" w:firstLineChars="200"/>
                    <w:rPr>
                      <w:color w:val="auto"/>
                      <w:kern w:val="0"/>
                      <w:sz w:val="21"/>
                      <w:szCs w:val="21"/>
                    </w:rPr>
                  </w:pPr>
                  <w:r>
                    <w:rPr>
                      <w:color w:val="auto"/>
                      <w:kern w:val="0"/>
                      <w:sz w:val="21"/>
                      <w:szCs w:val="21"/>
                      <w:vertAlign w:val="superscript"/>
                    </w:rPr>
                    <w:t>a</w:t>
                  </w:r>
                  <w:r>
                    <w:rPr>
                      <w:color w:val="auto"/>
                      <w:kern w:val="0"/>
                      <w:sz w:val="21"/>
                      <w:szCs w:val="21"/>
                    </w:rPr>
                    <w:t>指对应排放口需执行的国家或地方污染物排放标准以及其他按规定商定建设项目水污染物排放控制要求的协议，据此确定的排放浓度限值。</w:t>
                  </w:r>
                </w:p>
              </w:tc>
            </w:tr>
          </w:tbl>
          <w:p w14:paraId="7A8AFCF6">
            <w:pPr>
              <w:adjustRightInd w:val="0"/>
              <w:snapToGrid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（4）废水排放检测</w:t>
            </w:r>
          </w:p>
          <w:p w14:paraId="2B5EF2B0">
            <w:pPr>
              <w:adjustRightInd w:val="0"/>
              <w:snapToGrid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废水排放检测点位、检测指标及最低检测频次一览表</w:t>
            </w:r>
            <w:r>
              <w:rPr>
                <w:rFonts w:ascii="Times New Roman" w:hAnsi="Times New Roman" w:cs="Times New Roman"/>
                <w:color w:val="auto"/>
                <w:sz w:val="24"/>
              </w:rPr>
              <w:t>见表4.</w:t>
            </w:r>
            <w:r>
              <w:rPr>
                <w:rFonts w:hint="eastAsia" w:ascii="Times New Roman" w:hAnsi="Times New Roman" w:cs="Times New Roman"/>
                <w:color w:val="auto"/>
                <w:sz w:val="24"/>
                <w:lang w:val="en-US" w:eastAsia="zh-CN"/>
              </w:rPr>
              <w:t>8</w:t>
            </w:r>
            <w:r>
              <w:rPr>
                <w:rFonts w:ascii="Times New Roman" w:hAnsi="Times New Roman" w:cs="Times New Roman"/>
                <w:color w:val="auto"/>
                <w:sz w:val="24"/>
              </w:rPr>
              <w:t>。</w:t>
            </w:r>
          </w:p>
          <w:p w14:paraId="0EA9AF52">
            <w:pPr>
              <w:adjustRightInd w:val="0"/>
              <w:snapToGrid w:val="0"/>
              <w:jc w:val="center"/>
              <w:rPr>
                <w:rFonts w:ascii="Times New Roman" w:hAnsi="Times New Roman" w:cs="Times New Roman"/>
                <w:b/>
                <w:bCs/>
                <w:color w:val="auto"/>
                <w:sz w:val="24"/>
              </w:rPr>
            </w:pPr>
            <w:r>
              <w:rPr>
                <w:rFonts w:ascii="Times New Roman" w:hAnsi="Times New Roman" w:cs="Times New Roman"/>
                <w:b/>
                <w:bCs/>
                <w:color w:val="auto"/>
                <w:sz w:val="24"/>
              </w:rPr>
              <w:t>表4.</w:t>
            </w:r>
            <w:r>
              <w:rPr>
                <w:rFonts w:hint="eastAsia" w:ascii="Times New Roman" w:hAnsi="Times New Roman" w:cs="Times New Roman"/>
                <w:b/>
                <w:bCs/>
                <w:color w:val="auto"/>
                <w:sz w:val="24"/>
                <w:lang w:val="en-US" w:eastAsia="zh-CN"/>
              </w:rPr>
              <w:t>8</w:t>
            </w:r>
            <w:r>
              <w:rPr>
                <w:rFonts w:ascii="Times New Roman" w:hAnsi="Times New Roman" w:cs="Times New Roman"/>
                <w:b/>
                <w:bCs/>
                <w:color w:val="auto"/>
                <w:sz w:val="24"/>
              </w:rPr>
              <w:t xml:space="preserve">  废水</w:t>
            </w:r>
            <w:r>
              <w:rPr>
                <w:rFonts w:hint="eastAsia" w:ascii="Times New Roman" w:hAnsi="Times New Roman" w:cs="Times New Roman"/>
                <w:b/>
                <w:bCs/>
                <w:color w:val="auto"/>
                <w:sz w:val="24"/>
              </w:rPr>
              <w:t>检测点位、检测指标及最低检测频次一览表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3"/>
              <w:gridCol w:w="2103"/>
              <w:gridCol w:w="1930"/>
              <w:gridCol w:w="3895"/>
            </w:tblGrid>
            <w:tr w14:paraId="6EE34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3" w:type="dxa"/>
                  <w:vAlign w:val="center"/>
                </w:tcPr>
                <w:p w14:paraId="1070E2A9">
                  <w:pPr>
                    <w:pStyle w:val="47"/>
                    <w:spacing w:line="240" w:lineRule="auto"/>
                    <w:rPr>
                      <w:rFonts w:ascii="Times New Roman" w:hAnsi="Times New Roman" w:cs="Times New Roman"/>
                      <w:color w:val="auto"/>
                    </w:rPr>
                  </w:pPr>
                  <w:r>
                    <w:rPr>
                      <w:rFonts w:hint="eastAsia" w:ascii="Times New Roman" w:hAnsi="Times New Roman" w:cs="Times New Roman"/>
                      <w:color w:val="auto"/>
                    </w:rPr>
                    <w:t>检测</w:t>
                  </w:r>
                  <w:r>
                    <w:rPr>
                      <w:rFonts w:ascii="Times New Roman" w:hAnsi="Times New Roman" w:cs="Times New Roman"/>
                      <w:color w:val="auto"/>
                    </w:rPr>
                    <w:t>点位</w:t>
                  </w:r>
                </w:p>
              </w:tc>
              <w:tc>
                <w:tcPr>
                  <w:tcW w:w="2103" w:type="dxa"/>
                  <w:vAlign w:val="center"/>
                </w:tcPr>
                <w:p w14:paraId="1A4E5977">
                  <w:pPr>
                    <w:pStyle w:val="47"/>
                    <w:spacing w:line="240" w:lineRule="auto"/>
                    <w:rPr>
                      <w:rFonts w:ascii="Times New Roman" w:hAnsi="Times New Roman" w:cs="Times New Roman"/>
                      <w:color w:val="auto"/>
                    </w:rPr>
                  </w:pPr>
                  <w:r>
                    <w:rPr>
                      <w:rFonts w:hint="eastAsia" w:ascii="Times New Roman" w:hAnsi="Times New Roman" w:cs="Times New Roman"/>
                      <w:color w:val="auto"/>
                    </w:rPr>
                    <w:t>检测</w:t>
                  </w:r>
                  <w:r>
                    <w:rPr>
                      <w:rFonts w:ascii="Times New Roman" w:hAnsi="Times New Roman" w:cs="Times New Roman"/>
                      <w:color w:val="auto"/>
                    </w:rPr>
                    <w:t>指标</w:t>
                  </w:r>
                </w:p>
              </w:tc>
              <w:tc>
                <w:tcPr>
                  <w:tcW w:w="1930" w:type="dxa"/>
                  <w:vAlign w:val="center"/>
                </w:tcPr>
                <w:p w14:paraId="76FA98BC">
                  <w:pPr>
                    <w:pStyle w:val="47"/>
                    <w:spacing w:line="240" w:lineRule="auto"/>
                    <w:rPr>
                      <w:rFonts w:ascii="Times New Roman" w:hAnsi="Times New Roman" w:cs="Times New Roman"/>
                      <w:color w:val="auto"/>
                    </w:rPr>
                  </w:pPr>
                  <w:r>
                    <w:rPr>
                      <w:rFonts w:hint="eastAsia" w:ascii="Times New Roman" w:hAnsi="Times New Roman" w:cs="Times New Roman"/>
                      <w:color w:val="auto"/>
                    </w:rPr>
                    <w:t>检测</w:t>
                  </w:r>
                  <w:r>
                    <w:rPr>
                      <w:rFonts w:ascii="Times New Roman" w:hAnsi="Times New Roman" w:cs="Times New Roman"/>
                      <w:color w:val="auto"/>
                    </w:rPr>
                    <w:t>频次</w:t>
                  </w:r>
                </w:p>
              </w:tc>
              <w:tc>
                <w:tcPr>
                  <w:tcW w:w="3895" w:type="dxa"/>
                  <w:vAlign w:val="center"/>
                </w:tcPr>
                <w:p w14:paraId="232D2816">
                  <w:pPr>
                    <w:pStyle w:val="47"/>
                    <w:spacing w:line="240" w:lineRule="auto"/>
                    <w:rPr>
                      <w:rFonts w:ascii="Times New Roman" w:hAnsi="Times New Roman" w:cs="Times New Roman"/>
                      <w:color w:val="auto"/>
                    </w:rPr>
                  </w:pPr>
                  <w:r>
                    <w:rPr>
                      <w:rFonts w:hint="eastAsia" w:ascii="Times New Roman" w:hAnsi="Times New Roman" w:cs="Times New Roman"/>
                      <w:color w:val="auto"/>
                    </w:rPr>
                    <w:t>检测</w:t>
                  </w:r>
                  <w:r>
                    <w:rPr>
                      <w:rFonts w:ascii="Times New Roman" w:hAnsi="Times New Roman" w:cs="Times New Roman"/>
                      <w:color w:val="auto"/>
                    </w:rPr>
                    <w:t>依据</w:t>
                  </w:r>
                </w:p>
              </w:tc>
            </w:tr>
            <w:tr w14:paraId="4B2A9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3" w:type="dxa"/>
                  <w:vAlign w:val="center"/>
                </w:tcPr>
                <w:p w14:paraId="311780A5">
                  <w:pPr>
                    <w:pStyle w:val="47"/>
                    <w:spacing w:line="240" w:lineRule="auto"/>
                    <w:rPr>
                      <w:rFonts w:ascii="Times New Roman" w:hAnsi="Times New Roman" w:cs="Times New Roman"/>
                      <w:color w:val="auto"/>
                    </w:rPr>
                  </w:pPr>
                  <w:r>
                    <w:rPr>
                      <w:rFonts w:hint="eastAsia" w:ascii="Times New Roman" w:hAnsi="Times New Roman" w:cs="Times New Roman"/>
                      <w:color w:val="auto"/>
                    </w:rPr>
                    <w:t>废水总排放口（</w:t>
                  </w:r>
                  <w:r>
                    <w:rPr>
                      <w:rFonts w:ascii="Times New Roman" w:hAnsi="Times New Roman" w:cs="Times New Roman"/>
                      <w:color w:val="auto"/>
                    </w:rPr>
                    <w:t>DW001</w:t>
                  </w:r>
                  <w:r>
                    <w:rPr>
                      <w:rFonts w:hint="eastAsia" w:ascii="Times New Roman" w:hAnsi="Times New Roman" w:cs="Times New Roman"/>
                      <w:color w:val="auto"/>
                      <w:lang w:val="en-US" w:eastAsia="zh-CN"/>
                    </w:rPr>
                    <w:t>-</w:t>
                  </w:r>
                  <w:r>
                    <w:rPr>
                      <w:rFonts w:hint="eastAsia" w:ascii="Times New Roman" w:hAnsi="Times New Roman" w:cs="Times New Roman"/>
                      <w:color w:val="auto"/>
                    </w:rPr>
                    <w:t>）</w:t>
                  </w:r>
                </w:p>
              </w:tc>
              <w:tc>
                <w:tcPr>
                  <w:tcW w:w="2103" w:type="dxa"/>
                  <w:vAlign w:val="center"/>
                </w:tcPr>
                <w:p w14:paraId="5D45E8CA">
                  <w:pPr>
                    <w:pStyle w:val="47"/>
                    <w:spacing w:line="240" w:lineRule="auto"/>
                    <w:rPr>
                      <w:rFonts w:ascii="Times New Roman" w:hAnsi="Times New Roman" w:cs="Times New Roman"/>
                      <w:color w:val="auto"/>
                    </w:rPr>
                  </w:pPr>
                  <w:r>
                    <w:rPr>
                      <w:rFonts w:ascii="Times New Roman" w:hAnsi="Times New Roman" w:cs="Times New Roman"/>
                      <w:color w:val="auto"/>
                    </w:rPr>
                    <w:t>pH、COD、BOD</w:t>
                  </w:r>
                  <w:r>
                    <w:rPr>
                      <w:rFonts w:ascii="Times New Roman" w:hAnsi="Times New Roman" w:cs="Times New Roman"/>
                      <w:color w:val="auto"/>
                      <w:vertAlign w:val="subscript"/>
                    </w:rPr>
                    <w:t>5</w:t>
                  </w:r>
                  <w:r>
                    <w:rPr>
                      <w:rFonts w:ascii="Times New Roman" w:hAnsi="Times New Roman" w:cs="Times New Roman"/>
                      <w:color w:val="auto"/>
                    </w:rPr>
                    <w:t>、SS、NH</w:t>
                  </w:r>
                  <w:r>
                    <w:rPr>
                      <w:rFonts w:ascii="Times New Roman" w:hAnsi="Times New Roman" w:cs="Times New Roman"/>
                      <w:color w:val="auto"/>
                      <w:vertAlign w:val="subscript"/>
                    </w:rPr>
                    <w:t>3</w:t>
                  </w:r>
                  <w:r>
                    <w:rPr>
                      <w:rFonts w:ascii="Times New Roman" w:hAnsi="Times New Roman" w:cs="Times New Roman"/>
                      <w:color w:val="auto"/>
                    </w:rPr>
                    <w:t>-N</w:t>
                  </w:r>
                </w:p>
              </w:tc>
              <w:tc>
                <w:tcPr>
                  <w:tcW w:w="1930" w:type="dxa"/>
                  <w:vAlign w:val="center"/>
                </w:tcPr>
                <w:p w14:paraId="2F5B9BDE">
                  <w:pPr>
                    <w:pStyle w:val="47"/>
                    <w:spacing w:line="240" w:lineRule="auto"/>
                    <w:rPr>
                      <w:rFonts w:ascii="Times New Roman" w:hAnsi="Times New Roman" w:cs="Times New Roman"/>
                      <w:color w:val="auto"/>
                    </w:rPr>
                  </w:pPr>
                  <w:r>
                    <w:rPr>
                      <w:rFonts w:hint="eastAsia" w:ascii="Times New Roman" w:hAnsi="Times New Roman" w:cs="Times New Roman"/>
                      <w:color w:val="auto"/>
                    </w:rPr>
                    <w:t>1次/每年</w:t>
                  </w:r>
                </w:p>
              </w:tc>
              <w:tc>
                <w:tcPr>
                  <w:tcW w:w="3895" w:type="dxa"/>
                  <w:vAlign w:val="center"/>
                </w:tcPr>
                <w:p w14:paraId="1DC3F0D4">
                  <w:pPr>
                    <w:pStyle w:val="47"/>
                    <w:spacing w:line="240" w:lineRule="auto"/>
                    <w:rPr>
                      <w:rFonts w:ascii="Times New Roman" w:hAnsi="Times New Roman" w:cs="Times New Roman"/>
                      <w:color w:val="auto"/>
                    </w:rPr>
                  </w:pPr>
                  <w:r>
                    <w:rPr>
                      <w:rFonts w:ascii="Times New Roman" w:hAnsi="Times New Roman" w:cs="Times New Roman"/>
                      <w:color w:val="auto"/>
                    </w:rPr>
                    <w:t>《排污单位自行</w:t>
                  </w:r>
                  <w:r>
                    <w:rPr>
                      <w:rFonts w:hint="eastAsia" w:ascii="Times New Roman" w:hAnsi="Times New Roman" w:cs="Times New Roman"/>
                      <w:color w:val="auto"/>
                    </w:rPr>
                    <w:t>检测</w:t>
                  </w:r>
                  <w:r>
                    <w:rPr>
                      <w:rFonts w:ascii="Times New Roman" w:hAnsi="Times New Roman" w:cs="Times New Roman"/>
                      <w:color w:val="auto"/>
                    </w:rPr>
                    <w:t>技术指南-总则》（HJ819-2017）</w:t>
                  </w:r>
                </w:p>
              </w:tc>
            </w:tr>
          </w:tbl>
          <w:p w14:paraId="462BE46F">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3、噪声</w:t>
            </w:r>
          </w:p>
          <w:p w14:paraId="332C9AAA">
            <w:pPr>
              <w:spacing w:line="360" w:lineRule="auto"/>
              <w:ind w:firstLine="480" w:firstLineChars="200"/>
              <w:rPr>
                <w:rFonts w:ascii="Times New Roman" w:hAnsi="Times New Roman" w:cs="Times New Roman"/>
                <w:color w:val="auto"/>
                <w:sz w:val="24"/>
                <w:lang w:val="zh-CN"/>
              </w:rPr>
            </w:pPr>
            <w:r>
              <w:rPr>
                <w:rFonts w:hint="eastAsia" w:ascii="Times New Roman" w:hAnsi="Times New Roman" w:cs="Times New Roman"/>
                <w:color w:val="auto"/>
                <w:sz w:val="24"/>
                <w:lang w:val="zh-CN"/>
              </w:rPr>
              <w:t>（</w:t>
            </w:r>
            <w:r>
              <w:rPr>
                <w:rFonts w:hint="eastAsia" w:ascii="Times New Roman" w:hAnsi="Times New Roman" w:cs="Times New Roman"/>
                <w:color w:val="auto"/>
                <w:sz w:val="24"/>
              </w:rPr>
              <w:t>1</w:t>
            </w:r>
            <w:r>
              <w:rPr>
                <w:rFonts w:hint="eastAsia" w:ascii="Times New Roman" w:hAnsi="Times New Roman" w:cs="Times New Roman"/>
                <w:color w:val="auto"/>
                <w:sz w:val="24"/>
                <w:lang w:val="zh-CN"/>
              </w:rPr>
              <w:t>）噪声源强分析</w:t>
            </w:r>
          </w:p>
          <w:p w14:paraId="68D41A46">
            <w:pPr>
              <w:spacing w:line="360" w:lineRule="auto"/>
              <w:ind w:firstLine="480" w:firstLineChars="200"/>
              <w:rPr>
                <w:rFonts w:ascii="Times New Roman" w:hAnsi="Times New Roman" w:eastAsia="宋体" w:cs="Times New Roman"/>
                <w:color w:val="auto"/>
                <w:sz w:val="24"/>
              </w:rPr>
            </w:pPr>
            <w:r>
              <w:rPr>
                <w:rFonts w:ascii="Times New Roman" w:hAnsi="Times New Roman" w:cs="Times New Roman"/>
                <w:color w:val="auto"/>
                <w:sz w:val="24"/>
              </w:rPr>
              <w:t>拟建项目主要噪声污染源为</w:t>
            </w:r>
            <w:r>
              <w:rPr>
                <w:rFonts w:hint="eastAsia" w:ascii="Times New Roman" w:hAnsi="Times New Roman" w:cs="Times New Roman"/>
                <w:color w:val="auto"/>
                <w:sz w:val="24"/>
                <w:lang w:val="en-US" w:eastAsia="zh-CN"/>
              </w:rPr>
              <w:t>通风橱</w:t>
            </w:r>
            <w:r>
              <w:rPr>
                <w:rFonts w:ascii="Times New Roman" w:hAnsi="Times New Roman" w:cs="Times New Roman"/>
                <w:color w:val="auto"/>
                <w:sz w:val="24"/>
              </w:rPr>
              <w:t>噪声</w:t>
            </w:r>
            <w:r>
              <w:rPr>
                <w:rFonts w:hint="eastAsia" w:ascii="Times New Roman" w:hAnsi="Times New Roman" w:cs="Times New Roman"/>
                <w:color w:val="auto"/>
                <w:sz w:val="24"/>
                <w:lang w:val="en-US" w:eastAsia="zh-CN"/>
              </w:rPr>
              <w:t>和挤出机噪声</w:t>
            </w:r>
            <w:r>
              <w:rPr>
                <w:rFonts w:ascii="Times New Roman" w:hAnsi="Times New Roman" w:cs="Times New Roman"/>
                <w:color w:val="auto"/>
                <w:sz w:val="24"/>
              </w:rPr>
              <w:t>，</w:t>
            </w:r>
            <w:r>
              <w:rPr>
                <w:rFonts w:ascii="Times New Roman" w:hAnsi="Times New Roman" w:eastAsia="宋体" w:cs="Times New Roman"/>
                <w:color w:val="auto"/>
                <w:sz w:val="24"/>
              </w:rPr>
              <w:t>拟建项目主要噪声污染源为设备噪声，包括：</w:t>
            </w:r>
            <w:r>
              <w:rPr>
                <w:rFonts w:hint="eastAsia" w:ascii="Times New Roman" w:hAnsi="Times New Roman" w:eastAsia="宋体" w:cs="Times New Roman"/>
                <w:color w:val="auto"/>
                <w:sz w:val="24"/>
                <w:lang w:val="en-US" w:eastAsia="zh-CN"/>
              </w:rPr>
              <w:t>挤出设备、通风橱</w:t>
            </w:r>
            <w:r>
              <w:rPr>
                <w:rFonts w:hint="eastAsia" w:ascii="Times New Roman" w:hAnsi="Times New Roman" w:eastAsia="宋体" w:cs="Times New Roman"/>
                <w:color w:val="auto"/>
                <w:kern w:val="0"/>
                <w:sz w:val="24"/>
                <w:lang w:bidi="ar"/>
              </w:rPr>
              <w:t>风机</w:t>
            </w:r>
            <w:r>
              <w:rPr>
                <w:rFonts w:ascii="Times New Roman" w:hAnsi="Times New Roman" w:eastAsia="宋体" w:cs="Times New Roman"/>
                <w:color w:val="auto"/>
                <w:sz w:val="24"/>
              </w:rPr>
              <w:t>等，噪声排放源强介于</w:t>
            </w:r>
            <w:r>
              <w:rPr>
                <w:rFonts w:hint="eastAsia" w:ascii="Times New Roman" w:hAnsi="Times New Roman" w:eastAsia="宋体" w:cs="Times New Roman"/>
                <w:color w:val="auto"/>
                <w:sz w:val="24"/>
                <w:lang w:val="en-US" w:eastAsia="zh-CN"/>
              </w:rPr>
              <w:t>60</w:t>
            </w: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85</w:t>
            </w:r>
            <w:r>
              <w:rPr>
                <w:rFonts w:ascii="Times New Roman" w:hAnsi="Times New Roman" w:eastAsia="宋体" w:cs="Times New Roman"/>
                <w:color w:val="auto"/>
                <w:sz w:val="24"/>
              </w:rPr>
              <w:t>dB（A）。</w:t>
            </w:r>
          </w:p>
          <w:p w14:paraId="1AFADBCB">
            <w:pPr>
              <w:pStyle w:val="44"/>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color w:val="auto"/>
                <w:highlight w:val="none"/>
                <w:lang w:val="en-US" w:eastAsia="zh-CN"/>
              </w:rPr>
            </w:pPr>
            <w:r>
              <w:rPr>
                <w:rFonts w:hint="eastAsia"/>
                <w:color w:val="auto"/>
                <w:highlight w:val="none"/>
                <w:lang w:val="en-US" w:eastAsia="zh-CN"/>
              </w:rPr>
              <w:t>表4.9  工业企业噪声源强调查清单（室内声源）</w:t>
            </w:r>
          </w:p>
          <w:tbl>
            <w:tblPr>
              <w:tblStyle w:val="2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70"/>
              <w:gridCol w:w="428"/>
              <w:gridCol w:w="527"/>
              <w:gridCol w:w="723"/>
              <w:gridCol w:w="527"/>
              <w:gridCol w:w="486"/>
              <w:gridCol w:w="510"/>
              <w:gridCol w:w="481"/>
              <w:gridCol w:w="430"/>
              <w:gridCol w:w="399"/>
              <w:gridCol w:w="364"/>
              <w:gridCol w:w="348"/>
              <w:gridCol w:w="343"/>
              <w:gridCol w:w="465"/>
              <w:gridCol w:w="364"/>
              <w:gridCol w:w="472"/>
              <w:gridCol w:w="623"/>
              <w:gridCol w:w="343"/>
              <w:gridCol w:w="343"/>
              <w:gridCol w:w="343"/>
              <w:gridCol w:w="344"/>
              <w:gridCol w:w="546"/>
            </w:tblGrid>
            <w:tr w14:paraId="03B9AD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39" w:type="pct"/>
                  <w:vMerge w:val="restart"/>
                  <w:tcBorders>
                    <w:tl2br w:val="nil"/>
                    <w:tr2bl w:val="nil"/>
                  </w:tcBorders>
                  <w:noWrap w:val="0"/>
                  <w:vAlign w:val="center"/>
                </w:tcPr>
                <w:p w14:paraId="6A1CB669">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序号</w:t>
                  </w:r>
                </w:p>
              </w:tc>
              <w:tc>
                <w:tcPr>
                  <w:tcW w:w="221" w:type="pct"/>
                  <w:vMerge w:val="restart"/>
                  <w:tcBorders>
                    <w:tl2br w:val="nil"/>
                    <w:tr2bl w:val="nil"/>
                  </w:tcBorders>
                  <w:noWrap w:val="0"/>
                  <w:vAlign w:val="center"/>
                </w:tcPr>
                <w:p w14:paraId="3D6DB167">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建筑物名称</w:t>
                  </w:r>
                </w:p>
              </w:tc>
              <w:tc>
                <w:tcPr>
                  <w:tcW w:w="272" w:type="pct"/>
                  <w:vMerge w:val="restart"/>
                  <w:tcBorders>
                    <w:tl2br w:val="nil"/>
                    <w:tr2bl w:val="nil"/>
                  </w:tcBorders>
                  <w:noWrap w:val="0"/>
                  <w:vAlign w:val="center"/>
                </w:tcPr>
                <w:p w14:paraId="5343DB29">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声源名称</w:t>
                  </w:r>
                </w:p>
              </w:tc>
              <w:tc>
                <w:tcPr>
                  <w:tcW w:w="373" w:type="pct"/>
                  <w:tcBorders>
                    <w:tl2br w:val="nil"/>
                    <w:tr2bl w:val="nil"/>
                  </w:tcBorders>
                  <w:noWrap w:val="0"/>
                  <w:vAlign w:val="center"/>
                </w:tcPr>
                <w:p w14:paraId="26A6F6F2">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声源源强</w:t>
                  </w:r>
                </w:p>
              </w:tc>
              <w:tc>
                <w:tcPr>
                  <w:tcW w:w="272" w:type="pct"/>
                  <w:vMerge w:val="restart"/>
                  <w:tcBorders>
                    <w:tl2br w:val="nil"/>
                    <w:tr2bl w:val="nil"/>
                  </w:tcBorders>
                  <w:noWrap w:val="0"/>
                  <w:vAlign w:val="center"/>
                </w:tcPr>
                <w:p w14:paraId="3E1C9F85">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声源控制措施</w:t>
                  </w:r>
                </w:p>
              </w:tc>
              <w:tc>
                <w:tcPr>
                  <w:tcW w:w="762" w:type="pct"/>
                  <w:gridSpan w:val="3"/>
                  <w:tcBorders>
                    <w:tl2br w:val="nil"/>
                    <w:tr2bl w:val="nil"/>
                  </w:tcBorders>
                  <w:noWrap w:val="0"/>
                  <w:vAlign w:val="center"/>
                </w:tcPr>
                <w:p w14:paraId="48931D82">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空间相对位置/m</w:t>
                  </w:r>
                </w:p>
              </w:tc>
              <w:tc>
                <w:tcPr>
                  <w:tcW w:w="796" w:type="pct"/>
                  <w:gridSpan w:val="4"/>
                  <w:tcBorders>
                    <w:tl2br w:val="nil"/>
                    <w:tr2bl w:val="nil"/>
                  </w:tcBorders>
                  <w:noWrap w:val="0"/>
                  <w:vAlign w:val="center"/>
                </w:tcPr>
                <w:p w14:paraId="453E2574">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距室内边界最短距离/m</w:t>
                  </w:r>
                </w:p>
              </w:tc>
              <w:tc>
                <w:tcPr>
                  <w:tcW w:w="849" w:type="pct"/>
                  <w:gridSpan w:val="4"/>
                  <w:tcBorders>
                    <w:tl2br w:val="nil"/>
                    <w:tr2bl w:val="nil"/>
                  </w:tcBorders>
                  <w:noWrap w:val="0"/>
                  <w:vAlign w:val="center"/>
                </w:tcPr>
                <w:p w14:paraId="3D9E6920">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室内边界声级/dB(A)</w:t>
                  </w:r>
                </w:p>
              </w:tc>
              <w:tc>
                <w:tcPr>
                  <w:tcW w:w="321" w:type="pct"/>
                  <w:vMerge w:val="restart"/>
                  <w:tcBorders>
                    <w:tl2br w:val="nil"/>
                    <w:tr2bl w:val="nil"/>
                  </w:tcBorders>
                  <w:noWrap w:val="0"/>
                  <w:vAlign w:val="center"/>
                </w:tcPr>
                <w:p w14:paraId="5F65C703">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建筑物插入损失/dB(A)</w:t>
                  </w:r>
                </w:p>
              </w:tc>
              <w:tc>
                <w:tcPr>
                  <w:tcW w:w="991" w:type="pct"/>
                  <w:gridSpan w:val="5"/>
                  <w:tcBorders>
                    <w:tl2br w:val="nil"/>
                    <w:tr2bl w:val="nil"/>
                  </w:tcBorders>
                  <w:noWrap w:val="0"/>
                  <w:vAlign w:val="center"/>
                </w:tcPr>
                <w:p w14:paraId="5DB568C6">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建筑物外噪声声压级/dB(A)</w:t>
                  </w:r>
                </w:p>
              </w:tc>
            </w:tr>
            <w:tr w14:paraId="7FE669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39" w:type="pct"/>
                  <w:vMerge w:val="continue"/>
                  <w:tcBorders>
                    <w:tl2br w:val="nil"/>
                    <w:tr2bl w:val="nil"/>
                  </w:tcBorders>
                  <w:noWrap w:val="0"/>
                  <w:vAlign w:val="center"/>
                </w:tcPr>
                <w:p w14:paraId="780BCADF">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21" w:type="pct"/>
                  <w:vMerge w:val="continue"/>
                  <w:tcBorders>
                    <w:tl2br w:val="nil"/>
                    <w:tr2bl w:val="nil"/>
                  </w:tcBorders>
                  <w:noWrap w:val="0"/>
                  <w:vAlign w:val="center"/>
                </w:tcPr>
                <w:p w14:paraId="2BC1BB7F">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72" w:type="pct"/>
                  <w:vMerge w:val="continue"/>
                  <w:tcBorders>
                    <w:tl2br w:val="nil"/>
                    <w:tr2bl w:val="nil"/>
                  </w:tcBorders>
                  <w:noWrap w:val="0"/>
                  <w:vAlign w:val="center"/>
                </w:tcPr>
                <w:p w14:paraId="2C9C3AA6">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373" w:type="pct"/>
                  <w:tcBorders>
                    <w:tl2br w:val="nil"/>
                    <w:tr2bl w:val="nil"/>
                  </w:tcBorders>
                  <w:noWrap w:val="0"/>
                  <w:vAlign w:val="center"/>
                </w:tcPr>
                <w:p w14:paraId="3B904CE6">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声功率级/dB(A)</w:t>
                  </w:r>
                </w:p>
              </w:tc>
              <w:tc>
                <w:tcPr>
                  <w:tcW w:w="272" w:type="pct"/>
                  <w:vMerge w:val="continue"/>
                  <w:tcBorders>
                    <w:tl2br w:val="nil"/>
                    <w:tr2bl w:val="nil"/>
                  </w:tcBorders>
                  <w:noWrap w:val="0"/>
                  <w:vAlign w:val="center"/>
                </w:tcPr>
                <w:p w14:paraId="7D853802">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51" w:type="pct"/>
                  <w:tcBorders>
                    <w:tl2br w:val="nil"/>
                    <w:tr2bl w:val="nil"/>
                  </w:tcBorders>
                  <w:noWrap w:val="0"/>
                  <w:vAlign w:val="center"/>
                </w:tcPr>
                <w:p w14:paraId="590D21D8">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X</w:t>
                  </w:r>
                </w:p>
              </w:tc>
              <w:tc>
                <w:tcPr>
                  <w:tcW w:w="263" w:type="pct"/>
                  <w:tcBorders>
                    <w:tl2br w:val="nil"/>
                    <w:tr2bl w:val="nil"/>
                  </w:tcBorders>
                  <w:noWrap w:val="0"/>
                  <w:vAlign w:val="center"/>
                </w:tcPr>
                <w:p w14:paraId="2AABAC15">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Y</w:t>
                  </w:r>
                </w:p>
              </w:tc>
              <w:tc>
                <w:tcPr>
                  <w:tcW w:w="248" w:type="pct"/>
                  <w:tcBorders>
                    <w:tl2br w:val="nil"/>
                    <w:tr2bl w:val="nil"/>
                  </w:tcBorders>
                  <w:noWrap w:val="0"/>
                  <w:vAlign w:val="center"/>
                </w:tcPr>
                <w:p w14:paraId="6F9967A9">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Z</w:t>
                  </w:r>
                </w:p>
              </w:tc>
              <w:tc>
                <w:tcPr>
                  <w:tcW w:w="222" w:type="pct"/>
                  <w:tcBorders>
                    <w:tl2br w:val="nil"/>
                    <w:tr2bl w:val="nil"/>
                  </w:tcBorders>
                  <w:noWrap w:val="0"/>
                  <w:vAlign w:val="center"/>
                </w:tcPr>
                <w:p w14:paraId="07163CBD">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东</w:t>
                  </w:r>
                </w:p>
              </w:tc>
              <w:tc>
                <w:tcPr>
                  <w:tcW w:w="206" w:type="pct"/>
                  <w:tcBorders>
                    <w:tl2br w:val="nil"/>
                    <w:tr2bl w:val="nil"/>
                  </w:tcBorders>
                  <w:noWrap w:val="0"/>
                  <w:vAlign w:val="center"/>
                </w:tcPr>
                <w:p w14:paraId="37797243">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南</w:t>
                  </w:r>
                </w:p>
              </w:tc>
              <w:tc>
                <w:tcPr>
                  <w:tcW w:w="188" w:type="pct"/>
                  <w:tcBorders>
                    <w:tl2br w:val="nil"/>
                    <w:tr2bl w:val="nil"/>
                  </w:tcBorders>
                  <w:noWrap w:val="0"/>
                  <w:vAlign w:val="center"/>
                </w:tcPr>
                <w:p w14:paraId="00C0DF18">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西</w:t>
                  </w:r>
                </w:p>
              </w:tc>
              <w:tc>
                <w:tcPr>
                  <w:tcW w:w="179" w:type="pct"/>
                  <w:tcBorders>
                    <w:tl2br w:val="nil"/>
                    <w:tr2bl w:val="nil"/>
                  </w:tcBorders>
                  <w:noWrap w:val="0"/>
                  <w:vAlign w:val="center"/>
                </w:tcPr>
                <w:p w14:paraId="26E3F680">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北</w:t>
                  </w:r>
                </w:p>
              </w:tc>
              <w:tc>
                <w:tcPr>
                  <w:tcW w:w="177" w:type="pct"/>
                  <w:tcBorders>
                    <w:tl2br w:val="nil"/>
                    <w:tr2bl w:val="nil"/>
                  </w:tcBorders>
                  <w:noWrap w:val="0"/>
                  <w:vAlign w:val="center"/>
                </w:tcPr>
                <w:p w14:paraId="125658B7">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东</w:t>
                  </w:r>
                </w:p>
              </w:tc>
              <w:tc>
                <w:tcPr>
                  <w:tcW w:w="240" w:type="pct"/>
                  <w:tcBorders>
                    <w:tl2br w:val="nil"/>
                    <w:tr2bl w:val="nil"/>
                  </w:tcBorders>
                  <w:noWrap w:val="0"/>
                  <w:vAlign w:val="center"/>
                </w:tcPr>
                <w:p w14:paraId="41F971B0">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南</w:t>
                  </w:r>
                </w:p>
              </w:tc>
              <w:tc>
                <w:tcPr>
                  <w:tcW w:w="188" w:type="pct"/>
                  <w:tcBorders>
                    <w:tl2br w:val="nil"/>
                    <w:tr2bl w:val="nil"/>
                  </w:tcBorders>
                  <w:noWrap w:val="0"/>
                  <w:vAlign w:val="center"/>
                </w:tcPr>
                <w:p w14:paraId="3ED4C19C">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西</w:t>
                  </w:r>
                </w:p>
              </w:tc>
              <w:tc>
                <w:tcPr>
                  <w:tcW w:w="243" w:type="pct"/>
                  <w:tcBorders>
                    <w:tl2br w:val="nil"/>
                    <w:tr2bl w:val="nil"/>
                  </w:tcBorders>
                  <w:noWrap w:val="0"/>
                  <w:vAlign w:val="center"/>
                </w:tcPr>
                <w:p w14:paraId="62576D6D">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北</w:t>
                  </w:r>
                </w:p>
              </w:tc>
              <w:tc>
                <w:tcPr>
                  <w:tcW w:w="321" w:type="pct"/>
                  <w:vMerge w:val="continue"/>
                  <w:tcBorders>
                    <w:tl2br w:val="nil"/>
                    <w:tr2bl w:val="nil"/>
                  </w:tcBorders>
                  <w:noWrap w:val="0"/>
                  <w:vAlign w:val="center"/>
                </w:tcPr>
                <w:p w14:paraId="54B8B276">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177" w:type="pct"/>
                  <w:tcBorders>
                    <w:tl2br w:val="nil"/>
                    <w:tr2bl w:val="nil"/>
                  </w:tcBorders>
                  <w:noWrap w:val="0"/>
                  <w:vAlign w:val="center"/>
                </w:tcPr>
                <w:p w14:paraId="26739B4F">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东</w:t>
                  </w:r>
                </w:p>
              </w:tc>
              <w:tc>
                <w:tcPr>
                  <w:tcW w:w="177" w:type="pct"/>
                  <w:tcBorders>
                    <w:tl2br w:val="nil"/>
                    <w:tr2bl w:val="nil"/>
                  </w:tcBorders>
                  <w:noWrap w:val="0"/>
                  <w:vAlign w:val="center"/>
                </w:tcPr>
                <w:p w14:paraId="066077E5">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南</w:t>
                  </w:r>
                </w:p>
              </w:tc>
              <w:tc>
                <w:tcPr>
                  <w:tcW w:w="177" w:type="pct"/>
                  <w:tcBorders>
                    <w:tl2br w:val="nil"/>
                    <w:tr2bl w:val="nil"/>
                  </w:tcBorders>
                  <w:noWrap w:val="0"/>
                  <w:vAlign w:val="center"/>
                </w:tcPr>
                <w:p w14:paraId="4D4E0B0C">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西</w:t>
                  </w:r>
                </w:p>
              </w:tc>
              <w:tc>
                <w:tcPr>
                  <w:tcW w:w="177" w:type="pct"/>
                  <w:tcBorders>
                    <w:tl2br w:val="nil"/>
                    <w:tr2bl w:val="nil"/>
                  </w:tcBorders>
                  <w:noWrap w:val="0"/>
                  <w:vAlign w:val="center"/>
                </w:tcPr>
                <w:p w14:paraId="15BCC265">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b w:val="0"/>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rPr>
                    <w:t>北</w:t>
                  </w:r>
                </w:p>
              </w:tc>
              <w:tc>
                <w:tcPr>
                  <w:tcW w:w="282" w:type="pct"/>
                  <w:tcBorders>
                    <w:tl2br w:val="nil"/>
                    <w:tr2bl w:val="nil"/>
                  </w:tcBorders>
                  <w:noWrap w:val="0"/>
                  <w:vAlign w:val="center"/>
                </w:tcPr>
                <w:p w14:paraId="6342B9E2">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建筑物外距离</w:t>
                  </w:r>
                </w:p>
              </w:tc>
            </w:tr>
            <w:tr w14:paraId="72202B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39" w:type="pct"/>
                  <w:tcBorders>
                    <w:tl2br w:val="nil"/>
                    <w:tr2bl w:val="nil"/>
                  </w:tcBorders>
                  <w:noWrap w:val="0"/>
                  <w:vAlign w:val="center"/>
                </w:tcPr>
                <w:p w14:paraId="257E7B5A">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221" w:type="pct"/>
                  <w:vMerge w:val="restart"/>
                  <w:tcBorders>
                    <w:tl2br w:val="nil"/>
                    <w:tr2bl w:val="nil"/>
                  </w:tcBorders>
                  <w:noWrap w:val="0"/>
                  <w:vAlign w:val="center"/>
                </w:tcPr>
                <w:p w14:paraId="1014B207">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小试实验室</w:t>
                  </w:r>
                </w:p>
              </w:tc>
              <w:tc>
                <w:tcPr>
                  <w:tcW w:w="272" w:type="pct"/>
                  <w:tcBorders>
                    <w:tl2br w:val="nil"/>
                    <w:tr2bl w:val="nil"/>
                  </w:tcBorders>
                  <w:noWrap w:val="0"/>
                  <w:vAlign w:val="center"/>
                </w:tcPr>
                <w:p w14:paraId="699369DC">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挤出机，1台</w:t>
                  </w:r>
                </w:p>
              </w:tc>
              <w:tc>
                <w:tcPr>
                  <w:tcW w:w="373" w:type="pct"/>
                  <w:tcBorders>
                    <w:tl2br w:val="nil"/>
                    <w:tr2bl w:val="nil"/>
                  </w:tcBorders>
                  <w:noWrap w:val="0"/>
                  <w:vAlign w:val="center"/>
                </w:tcPr>
                <w:p w14:paraId="679E9098">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85</w:t>
                  </w:r>
                </w:p>
              </w:tc>
              <w:tc>
                <w:tcPr>
                  <w:tcW w:w="272" w:type="pct"/>
                  <w:vMerge w:val="restart"/>
                  <w:tcBorders>
                    <w:tl2br w:val="nil"/>
                    <w:tr2bl w:val="nil"/>
                  </w:tcBorders>
                  <w:noWrap w:val="0"/>
                  <w:vAlign w:val="center"/>
                </w:tcPr>
                <w:p w14:paraId="60168473">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设备基础减振、厂房隔声</w:t>
                  </w:r>
                </w:p>
              </w:tc>
              <w:tc>
                <w:tcPr>
                  <w:tcW w:w="251" w:type="pct"/>
                  <w:tcBorders>
                    <w:tl2br w:val="nil"/>
                    <w:tr2bl w:val="nil"/>
                  </w:tcBorders>
                  <w:noWrap w:val="0"/>
                  <w:vAlign w:val="center"/>
                </w:tcPr>
                <w:p w14:paraId="1E55FD11">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-9.6</w:t>
                  </w:r>
                </w:p>
              </w:tc>
              <w:tc>
                <w:tcPr>
                  <w:tcW w:w="263" w:type="pct"/>
                  <w:tcBorders>
                    <w:tl2br w:val="nil"/>
                    <w:tr2bl w:val="nil"/>
                  </w:tcBorders>
                  <w:noWrap w:val="0"/>
                  <w:vAlign w:val="center"/>
                </w:tcPr>
                <w:p w14:paraId="08C7DE14">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6.9</w:t>
                  </w:r>
                </w:p>
              </w:tc>
              <w:tc>
                <w:tcPr>
                  <w:tcW w:w="248" w:type="pct"/>
                  <w:tcBorders>
                    <w:tl2br w:val="nil"/>
                    <w:tr2bl w:val="nil"/>
                  </w:tcBorders>
                  <w:noWrap w:val="0"/>
                  <w:vAlign w:val="center"/>
                </w:tcPr>
                <w:p w14:paraId="392FFD1D">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6.8</w:t>
                  </w:r>
                </w:p>
              </w:tc>
              <w:tc>
                <w:tcPr>
                  <w:tcW w:w="222" w:type="pct"/>
                  <w:tcBorders>
                    <w:tl2br w:val="nil"/>
                    <w:tr2bl w:val="nil"/>
                  </w:tcBorders>
                  <w:noWrap w:val="0"/>
                  <w:vAlign w:val="center"/>
                </w:tcPr>
                <w:p w14:paraId="35181557">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34.0</w:t>
                  </w:r>
                </w:p>
              </w:tc>
              <w:tc>
                <w:tcPr>
                  <w:tcW w:w="206" w:type="pct"/>
                  <w:tcBorders>
                    <w:tl2br w:val="nil"/>
                    <w:tr2bl w:val="nil"/>
                  </w:tcBorders>
                  <w:noWrap w:val="0"/>
                  <w:vAlign w:val="center"/>
                </w:tcPr>
                <w:p w14:paraId="7369BE9F">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21.9</w:t>
                  </w:r>
                </w:p>
              </w:tc>
              <w:tc>
                <w:tcPr>
                  <w:tcW w:w="188" w:type="pct"/>
                  <w:tcBorders>
                    <w:tl2br w:val="nil"/>
                    <w:tr2bl w:val="nil"/>
                  </w:tcBorders>
                  <w:noWrap w:val="0"/>
                  <w:vAlign w:val="center"/>
                </w:tcPr>
                <w:p w14:paraId="65EA98E4">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8.0</w:t>
                  </w:r>
                </w:p>
              </w:tc>
              <w:tc>
                <w:tcPr>
                  <w:tcW w:w="179" w:type="pct"/>
                  <w:tcBorders>
                    <w:tl2br w:val="nil"/>
                    <w:tr2bl w:val="nil"/>
                  </w:tcBorders>
                  <w:noWrap w:val="0"/>
                  <w:vAlign w:val="center"/>
                </w:tcPr>
                <w:p w14:paraId="2138FC32">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w:t>
                  </w:r>
                </w:p>
              </w:tc>
              <w:tc>
                <w:tcPr>
                  <w:tcW w:w="177" w:type="pct"/>
                  <w:tcBorders>
                    <w:tl2br w:val="nil"/>
                    <w:tr2bl w:val="nil"/>
                  </w:tcBorders>
                  <w:noWrap w:val="0"/>
                  <w:vAlign w:val="center"/>
                </w:tcPr>
                <w:p w14:paraId="69177BDC">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72.3</w:t>
                  </w:r>
                </w:p>
              </w:tc>
              <w:tc>
                <w:tcPr>
                  <w:tcW w:w="240" w:type="pct"/>
                  <w:tcBorders>
                    <w:tl2br w:val="nil"/>
                    <w:tr2bl w:val="nil"/>
                  </w:tcBorders>
                  <w:noWrap w:val="0"/>
                  <w:vAlign w:val="center"/>
                </w:tcPr>
                <w:p w14:paraId="56AB1F11">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72.3</w:t>
                  </w:r>
                </w:p>
              </w:tc>
              <w:tc>
                <w:tcPr>
                  <w:tcW w:w="188" w:type="pct"/>
                  <w:tcBorders>
                    <w:tl2br w:val="nil"/>
                    <w:tr2bl w:val="nil"/>
                  </w:tcBorders>
                  <w:noWrap w:val="0"/>
                  <w:vAlign w:val="center"/>
                </w:tcPr>
                <w:p w14:paraId="4102EBAA">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72.4</w:t>
                  </w:r>
                </w:p>
              </w:tc>
              <w:tc>
                <w:tcPr>
                  <w:tcW w:w="243" w:type="pct"/>
                  <w:tcBorders>
                    <w:tl2br w:val="nil"/>
                    <w:tr2bl w:val="nil"/>
                  </w:tcBorders>
                  <w:noWrap w:val="0"/>
                  <w:vAlign w:val="center"/>
                </w:tcPr>
                <w:p w14:paraId="23687F93">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72.5</w:t>
                  </w:r>
                </w:p>
              </w:tc>
              <w:tc>
                <w:tcPr>
                  <w:tcW w:w="321" w:type="pct"/>
                  <w:tcBorders>
                    <w:tl2br w:val="nil"/>
                    <w:tr2bl w:val="nil"/>
                  </w:tcBorders>
                  <w:noWrap w:val="0"/>
                  <w:vAlign w:val="center"/>
                </w:tcPr>
                <w:p w14:paraId="625B2AE0">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eastAsia="宋体" w:cs="Times New Roman"/>
                      <w:color w:val="auto"/>
                      <w:sz w:val="18"/>
                      <w:szCs w:val="18"/>
                      <w:highlight w:val="none"/>
                      <w:shd w:val="clear" w:color="auto" w:fill="auto"/>
                      <w:lang w:val="en-US" w:eastAsia="zh-CN"/>
                    </w:rPr>
                    <w:t>15.0</w:t>
                  </w:r>
                </w:p>
              </w:tc>
              <w:tc>
                <w:tcPr>
                  <w:tcW w:w="177" w:type="pct"/>
                  <w:tcBorders>
                    <w:tl2br w:val="nil"/>
                    <w:tr2bl w:val="nil"/>
                  </w:tcBorders>
                  <w:noWrap w:val="0"/>
                  <w:vAlign w:val="center"/>
                </w:tcPr>
                <w:p w14:paraId="0270CD9A">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51.3</w:t>
                  </w:r>
                </w:p>
              </w:tc>
              <w:tc>
                <w:tcPr>
                  <w:tcW w:w="177" w:type="pct"/>
                  <w:tcBorders>
                    <w:tl2br w:val="nil"/>
                    <w:tr2bl w:val="nil"/>
                  </w:tcBorders>
                  <w:noWrap w:val="0"/>
                  <w:vAlign w:val="center"/>
                </w:tcPr>
                <w:p w14:paraId="42978D2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51.3</w:t>
                  </w:r>
                </w:p>
              </w:tc>
              <w:tc>
                <w:tcPr>
                  <w:tcW w:w="177" w:type="pct"/>
                  <w:tcBorders>
                    <w:tl2br w:val="nil"/>
                    <w:tr2bl w:val="nil"/>
                  </w:tcBorders>
                  <w:noWrap w:val="0"/>
                  <w:vAlign w:val="center"/>
                </w:tcPr>
                <w:p w14:paraId="21198747">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51.4</w:t>
                  </w:r>
                </w:p>
              </w:tc>
              <w:tc>
                <w:tcPr>
                  <w:tcW w:w="177" w:type="pct"/>
                  <w:tcBorders>
                    <w:tl2br w:val="nil"/>
                    <w:tr2bl w:val="nil"/>
                  </w:tcBorders>
                  <w:noWrap w:val="0"/>
                  <w:vAlign w:val="center"/>
                </w:tcPr>
                <w:p w14:paraId="35B620BE">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51.5</w:t>
                  </w:r>
                </w:p>
              </w:tc>
              <w:tc>
                <w:tcPr>
                  <w:tcW w:w="282" w:type="pct"/>
                  <w:tcBorders>
                    <w:tl2br w:val="nil"/>
                    <w:tr2bl w:val="nil"/>
                  </w:tcBorders>
                  <w:noWrap w:val="0"/>
                  <w:vAlign w:val="center"/>
                </w:tcPr>
                <w:p w14:paraId="1577FA2F">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r>
            <w:tr w14:paraId="6F9499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39" w:type="pct"/>
                  <w:tcBorders>
                    <w:tl2br w:val="nil"/>
                    <w:tr2bl w:val="nil"/>
                  </w:tcBorders>
                  <w:noWrap w:val="0"/>
                  <w:vAlign w:val="center"/>
                </w:tcPr>
                <w:p w14:paraId="28733BA3">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221" w:type="pct"/>
                  <w:vMerge w:val="continue"/>
                  <w:tcBorders>
                    <w:tl2br w:val="nil"/>
                    <w:tr2bl w:val="nil"/>
                  </w:tcBorders>
                  <w:noWrap w:val="0"/>
                  <w:vAlign w:val="center"/>
                </w:tcPr>
                <w:p w14:paraId="01993108">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72" w:type="pct"/>
                  <w:tcBorders>
                    <w:tl2br w:val="nil"/>
                    <w:tr2bl w:val="nil"/>
                  </w:tcBorders>
                  <w:noWrap w:val="0"/>
                  <w:vAlign w:val="center"/>
                </w:tcPr>
                <w:p w14:paraId="409CFE66">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挤出机,1台</w:t>
                  </w:r>
                </w:p>
              </w:tc>
              <w:tc>
                <w:tcPr>
                  <w:tcW w:w="373" w:type="pct"/>
                  <w:tcBorders>
                    <w:tl2br w:val="nil"/>
                    <w:tr2bl w:val="nil"/>
                  </w:tcBorders>
                  <w:noWrap w:val="0"/>
                  <w:vAlign w:val="center"/>
                </w:tcPr>
                <w:p w14:paraId="32727804">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85</w:t>
                  </w:r>
                </w:p>
              </w:tc>
              <w:tc>
                <w:tcPr>
                  <w:tcW w:w="272" w:type="pct"/>
                  <w:vMerge w:val="continue"/>
                  <w:tcBorders>
                    <w:tl2br w:val="nil"/>
                    <w:tr2bl w:val="nil"/>
                  </w:tcBorders>
                  <w:noWrap w:val="0"/>
                  <w:vAlign w:val="center"/>
                </w:tcPr>
                <w:p w14:paraId="4FA975A8">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51" w:type="pct"/>
                  <w:tcBorders>
                    <w:tl2br w:val="nil"/>
                    <w:tr2bl w:val="nil"/>
                  </w:tcBorders>
                  <w:noWrap w:val="0"/>
                  <w:vAlign w:val="center"/>
                </w:tcPr>
                <w:p w14:paraId="32278A86">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-1.4</w:t>
                  </w:r>
                </w:p>
              </w:tc>
              <w:tc>
                <w:tcPr>
                  <w:tcW w:w="263" w:type="pct"/>
                  <w:tcBorders>
                    <w:tl2br w:val="nil"/>
                    <w:tr2bl w:val="nil"/>
                  </w:tcBorders>
                  <w:noWrap w:val="0"/>
                  <w:vAlign w:val="center"/>
                </w:tcPr>
                <w:p w14:paraId="36A9437C">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248" w:type="pct"/>
                  <w:tcBorders>
                    <w:tl2br w:val="nil"/>
                    <w:tr2bl w:val="nil"/>
                  </w:tcBorders>
                  <w:noWrap w:val="0"/>
                  <w:vAlign w:val="center"/>
                </w:tcPr>
                <w:p w14:paraId="45EF5A9B">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6.8</w:t>
                  </w:r>
                </w:p>
              </w:tc>
              <w:tc>
                <w:tcPr>
                  <w:tcW w:w="222" w:type="pct"/>
                  <w:tcBorders>
                    <w:tl2br w:val="nil"/>
                    <w:tr2bl w:val="nil"/>
                  </w:tcBorders>
                  <w:noWrap w:val="0"/>
                  <w:vAlign w:val="center"/>
                </w:tcPr>
                <w:p w14:paraId="558D83B8">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25.6</w:t>
                  </w:r>
                </w:p>
              </w:tc>
              <w:tc>
                <w:tcPr>
                  <w:tcW w:w="206" w:type="pct"/>
                  <w:tcBorders>
                    <w:tl2br w:val="nil"/>
                    <w:tr2bl w:val="nil"/>
                  </w:tcBorders>
                  <w:noWrap w:val="0"/>
                  <w:vAlign w:val="center"/>
                </w:tcPr>
                <w:p w14:paraId="059A25CD">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21.8</w:t>
                  </w:r>
                </w:p>
              </w:tc>
              <w:tc>
                <w:tcPr>
                  <w:tcW w:w="188" w:type="pct"/>
                  <w:tcBorders>
                    <w:tl2br w:val="nil"/>
                    <w:tr2bl w:val="nil"/>
                  </w:tcBorders>
                  <w:noWrap w:val="0"/>
                  <w:vAlign w:val="center"/>
                </w:tcPr>
                <w:p w14:paraId="0AD905DE">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16.4</w:t>
                  </w:r>
                </w:p>
              </w:tc>
              <w:tc>
                <w:tcPr>
                  <w:tcW w:w="179" w:type="pct"/>
                  <w:tcBorders>
                    <w:tl2br w:val="nil"/>
                    <w:tr2bl w:val="nil"/>
                  </w:tcBorders>
                  <w:noWrap w:val="0"/>
                  <w:vAlign w:val="center"/>
                </w:tcPr>
                <w:p w14:paraId="583F21C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5.5</w:t>
                  </w:r>
                </w:p>
              </w:tc>
              <w:tc>
                <w:tcPr>
                  <w:tcW w:w="177" w:type="pct"/>
                  <w:tcBorders>
                    <w:tl2br w:val="nil"/>
                    <w:tr2bl w:val="nil"/>
                  </w:tcBorders>
                  <w:noWrap w:val="0"/>
                  <w:vAlign w:val="center"/>
                </w:tcPr>
                <w:p w14:paraId="21427175">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69.5</w:t>
                  </w:r>
                </w:p>
              </w:tc>
              <w:tc>
                <w:tcPr>
                  <w:tcW w:w="240" w:type="pct"/>
                  <w:tcBorders>
                    <w:tl2br w:val="nil"/>
                    <w:tr2bl w:val="nil"/>
                  </w:tcBorders>
                  <w:noWrap w:val="0"/>
                  <w:vAlign w:val="center"/>
                </w:tcPr>
                <w:p w14:paraId="01BC4077">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69.5</w:t>
                  </w:r>
                </w:p>
              </w:tc>
              <w:tc>
                <w:tcPr>
                  <w:tcW w:w="188" w:type="pct"/>
                  <w:tcBorders>
                    <w:tl2br w:val="nil"/>
                    <w:tr2bl w:val="nil"/>
                  </w:tcBorders>
                  <w:noWrap w:val="0"/>
                  <w:vAlign w:val="center"/>
                </w:tcPr>
                <w:p w14:paraId="466AC8C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69.5</w:t>
                  </w:r>
                </w:p>
              </w:tc>
              <w:tc>
                <w:tcPr>
                  <w:tcW w:w="243" w:type="pct"/>
                  <w:tcBorders>
                    <w:tl2br w:val="nil"/>
                    <w:tr2bl w:val="nil"/>
                  </w:tcBorders>
                  <w:noWrap w:val="0"/>
                  <w:vAlign w:val="center"/>
                </w:tcPr>
                <w:p w14:paraId="459CE933">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69.6</w:t>
                  </w:r>
                </w:p>
              </w:tc>
              <w:tc>
                <w:tcPr>
                  <w:tcW w:w="321" w:type="pct"/>
                  <w:tcBorders>
                    <w:tl2br w:val="nil"/>
                    <w:tr2bl w:val="nil"/>
                  </w:tcBorders>
                  <w:noWrap w:val="0"/>
                  <w:vAlign w:val="center"/>
                </w:tcPr>
                <w:p w14:paraId="7626E8BE">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highlight w:val="none"/>
                      <w:shd w:val="clear" w:color="auto" w:fill="auto"/>
                      <w:lang w:val="en-US" w:eastAsia="zh-CN"/>
                    </w:rPr>
                  </w:pPr>
                  <w:r>
                    <w:rPr>
                      <w:rFonts w:hint="default" w:ascii="Times New Roman" w:hAnsi="Times New Roman" w:eastAsia="宋体" w:cs="Times New Roman"/>
                      <w:b w:val="0"/>
                      <w:color w:val="auto"/>
                      <w:kern w:val="2"/>
                      <w:sz w:val="18"/>
                      <w:szCs w:val="18"/>
                      <w:highlight w:val="none"/>
                      <w:shd w:val="clear" w:color="auto" w:fill="auto"/>
                      <w:lang w:val="en-US" w:eastAsia="zh-CN" w:bidi="ar-SA"/>
                    </w:rPr>
                    <w:t>15.0</w:t>
                  </w:r>
                </w:p>
              </w:tc>
              <w:tc>
                <w:tcPr>
                  <w:tcW w:w="177" w:type="pct"/>
                  <w:tcBorders>
                    <w:tl2br w:val="nil"/>
                    <w:tr2bl w:val="nil"/>
                  </w:tcBorders>
                  <w:noWrap w:val="0"/>
                  <w:vAlign w:val="center"/>
                </w:tcPr>
                <w:p w14:paraId="23C0B6E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48.5</w:t>
                  </w:r>
                </w:p>
              </w:tc>
              <w:tc>
                <w:tcPr>
                  <w:tcW w:w="177" w:type="pct"/>
                  <w:tcBorders>
                    <w:tl2br w:val="nil"/>
                    <w:tr2bl w:val="nil"/>
                  </w:tcBorders>
                  <w:noWrap w:val="0"/>
                  <w:vAlign w:val="center"/>
                </w:tcPr>
                <w:p w14:paraId="3BD9611F">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48.5</w:t>
                  </w:r>
                </w:p>
              </w:tc>
              <w:tc>
                <w:tcPr>
                  <w:tcW w:w="177" w:type="pct"/>
                  <w:tcBorders>
                    <w:tl2br w:val="nil"/>
                    <w:tr2bl w:val="nil"/>
                  </w:tcBorders>
                  <w:noWrap w:val="0"/>
                  <w:vAlign w:val="center"/>
                </w:tcPr>
                <w:p w14:paraId="2E5E16DC">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48.5</w:t>
                  </w:r>
                </w:p>
              </w:tc>
              <w:tc>
                <w:tcPr>
                  <w:tcW w:w="177" w:type="pct"/>
                  <w:tcBorders>
                    <w:tl2br w:val="nil"/>
                    <w:tr2bl w:val="nil"/>
                  </w:tcBorders>
                  <w:noWrap w:val="0"/>
                  <w:vAlign w:val="center"/>
                </w:tcPr>
                <w:p w14:paraId="248064A4">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48.6</w:t>
                  </w:r>
                </w:p>
              </w:tc>
              <w:tc>
                <w:tcPr>
                  <w:tcW w:w="282" w:type="pct"/>
                  <w:tcBorders>
                    <w:tl2br w:val="nil"/>
                    <w:tr2bl w:val="nil"/>
                  </w:tcBorders>
                  <w:noWrap w:val="0"/>
                  <w:vAlign w:val="center"/>
                </w:tcPr>
                <w:p w14:paraId="1F6F2866">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r>
            <w:tr w14:paraId="329156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39" w:type="pct"/>
                  <w:tcBorders>
                    <w:tl2br w:val="nil"/>
                    <w:tr2bl w:val="nil"/>
                  </w:tcBorders>
                  <w:noWrap w:val="0"/>
                  <w:vAlign w:val="center"/>
                </w:tcPr>
                <w:p w14:paraId="4BA15D4B">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221" w:type="pct"/>
                  <w:vMerge w:val="continue"/>
                  <w:tcBorders>
                    <w:tl2br w:val="nil"/>
                    <w:tr2bl w:val="nil"/>
                  </w:tcBorders>
                  <w:noWrap w:val="0"/>
                  <w:vAlign w:val="center"/>
                </w:tcPr>
                <w:p w14:paraId="237FE3D7">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72" w:type="pct"/>
                  <w:tcBorders>
                    <w:tl2br w:val="nil"/>
                    <w:tr2bl w:val="nil"/>
                  </w:tcBorders>
                  <w:noWrap w:val="0"/>
                  <w:vAlign w:val="center"/>
                </w:tcPr>
                <w:p w14:paraId="4C565D7B">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通风橱，1台</w:t>
                  </w:r>
                </w:p>
              </w:tc>
              <w:tc>
                <w:tcPr>
                  <w:tcW w:w="373" w:type="pct"/>
                  <w:tcBorders>
                    <w:tl2br w:val="nil"/>
                    <w:tr2bl w:val="nil"/>
                  </w:tcBorders>
                  <w:noWrap w:val="0"/>
                  <w:vAlign w:val="center"/>
                </w:tcPr>
                <w:p w14:paraId="0AB999E8">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70</w:t>
                  </w:r>
                </w:p>
              </w:tc>
              <w:tc>
                <w:tcPr>
                  <w:tcW w:w="272" w:type="pct"/>
                  <w:vMerge w:val="continue"/>
                  <w:tcBorders>
                    <w:tl2br w:val="nil"/>
                    <w:tr2bl w:val="nil"/>
                  </w:tcBorders>
                  <w:noWrap w:val="0"/>
                  <w:vAlign w:val="center"/>
                </w:tcPr>
                <w:p w14:paraId="7D810193">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51" w:type="pct"/>
                  <w:tcBorders>
                    <w:tl2br w:val="nil"/>
                    <w:tr2bl w:val="nil"/>
                  </w:tcBorders>
                  <w:noWrap w:val="0"/>
                  <w:vAlign w:val="center"/>
                </w:tcPr>
                <w:p w14:paraId="2987F7C4">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-2.3</w:t>
                  </w:r>
                </w:p>
              </w:tc>
              <w:tc>
                <w:tcPr>
                  <w:tcW w:w="263" w:type="pct"/>
                  <w:tcBorders>
                    <w:tl2br w:val="nil"/>
                    <w:tr2bl w:val="nil"/>
                  </w:tcBorders>
                  <w:noWrap w:val="0"/>
                  <w:vAlign w:val="center"/>
                </w:tcPr>
                <w:p w14:paraId="3177A745">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8.9</w:t>
                  </w:r>
                </w:p>
              </w:tc>
              <w:tc>
                <w:tcPr>
                  <w:tcW w:w="248" w:type="pct"/>
                  <w:tcBorders>
                    <w:tl2br w:val="nil"/>
                    <w:tr2bl w:val="nil"/>
                  </w:tcBorders>
                  <w:noWrap w:val="0"/>
                  <w:vAlign w:val="center"/>
                </w:tcPr>
                <w:p w14:paraId="721D2426">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7.2</w:t>
                  </w:r>
                </w:p>
              </w:tc>
              <w:tc>
                <w:tcPr>
                  <w:tcW w:w="222" w:type="pct"/>
                  <w:tcBorders>
                    <w:tl2br w:val="nil"/>
                    <w:tr2bl w:val="nil"/>
                  </w:tcBorders>
                  <w:noWrap w:val="0"/>
                  <w:vAlign w:val="center"/>
                </w:tcPr>
                <w:p w14:paraId="524080C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27.2</w:t>
                  </w:r>
                </w:p>
              </w:tc>
              <w:tc>
                <w:tcPr>
                  <w:tcW w:w="206" w:type="pct"/>
                  <w:tcBorders>
                    <w:tl2br w:val="nil"/>
                    <w:tr2bl w:val="nil"/>
                  </w:tcBorders>
                  <w:noWrap w:val="0"/>
                  <w:vAlign w:val="center"/>
                </w:tcPr>
                <w:p w14:paraId="731E77F3">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25.4</w:t>
                  </w:r>
                </w:p>
              </w:tc>
              <w:tc>
                <w:tcPr>
                  <w:tcW w:w="188" w:type="pct"/>
                  <w:tcBorders>
                    <w:tl2br w:val="nil"/>
                    <w:tr2bl w:val="nil"/>
                  </w:tcBorders>
                  <w:noWrap w:val="0"/>
                  <w:vAlign w:val="center"/>
                </w:tcPr>
                <w:p w14:paraId="136FA8D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14.6</w:t>
                  </w:r>
                </w:p>
              </w:tc>
              <w:tc>
                <w:tcPr>
                  <w:tcW w:w="179" w:type="pct"/>
                  <w:tcBorders>
                    <w:tl2br w:val="nil"/>
                    <w:tr2bl w:val="nil"/>
                  </w:tcBorders>
                  <w:noWrap w:val="0"/>
                  <w:vAlign w:val="center"/>
                </w:tcPr>
                <w:p w14:paraId="5B308DC7">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1.8</w:t>
                  </w:r>
                </w:p>
              </w:tc>
              <w:tc>
                <w:tcPr>
                  <w:tcW w:w="177" w:type="pct"/>
                  <w:tcBorders>
                    <w:tl2br w:val="nil"/>
                    <w:tr2bl w:val="nil"/>
                  </w:tcBorders>
                  <w:noWrap w:val="0"/>
                  <w:vAlign w:val="center"/>
                </w:tcPr>
                <w:p w14:paraId="3B718A8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72.5</w:t>
                  </w:r>
                </w:p>
              </w:tc>
              <w:tc>
                <w:tcPr>
                  <w:tcW w:w="240" w:type="pct"/>
                  <w:tcBorders>
                    <w:tl2br w:val="nil"/>
                    <w:tr2bl w:val="nil"/>
                  </w:tcBorders>
                  <w:noWrap w:val="0"/>
                  <w:vAlign w:val="center"/>
                </w:tcPr>
                <w:p w14:paraId="093CD661">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72.5</w:t>
                  </w:r>
                </w:p>
              </w:tc>
              <w:tc>
                <w:tcPr>
                  <w:tcW w:w="188" w:type="pct"/>
                  <w:tcBorders>
                    <w:tl2br w:val="nil"/>
                    <w:tr2bl w:val="nil"/>
                  </w:tcBorders>
                  <w:noWrap w:val="0"/>
                  <w:vAlign w:val="center"/>
                </w:tcPr>
                <w:p w14:paraId="7A6E243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72.5</w:t>
                  </w:r>
                </w:p>
              </w:tc>
              <w:tc>
                <w:tcPr>
                  <w:tcW w:w="243" w:type="pct"/>
                  <w:tcBorders>
                    <w:tl2br w:val="nil"/>
                    <w:tr2bl w:val="nil"/>
                  </w:tcBorders>
                  <w:noWrap w:val="0"/>
                  <w:vAlign w:val="center"/>
                </w:tcPr>
                <w:p w14:paraId="7B6D2A36">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73.6</w:t>
                  </w:r>
                </w:p>
              </w:tc>
              <w:tc>
                <w:tcPr>
                  <w:tcW w:w="321" w:type="pct"/>
                  <w:tcBorders>
                    <w:tl2br w:val="nil"/>
                    <w:tr2bl w:val="nil"/>
                  </w:tcBorders>
                  <w:noWrap w:val="0"/>
                  <w:vAlign w:val="center"/>
                </w:tcPr>
                <w:p w14:paraId="3CFF4385">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 w:val="0"/>
                      <w:color w:val="auto"/>
                      <w:kern w:val="2"/>
                      <w:sz w:val="18"/>
                      <w:szCs w:val="18"/>
                      <w:highlight w:val="none"/>
                      <w:shd w:val="clear" w:color="auto" w:fill="auto"/>
                      <w:lang w:val="en-US" w:eastAsia="zh-CN" w:bidi="ar-SA"/>
                    </w:rPr>
                  </w:pPr>
                  <w:r>
                    <w:rPr>
                      <w:rFonts w:hint="default" w:ascii="Times New Roman" w:hAnsi="Times New Roman" w:eastAsia="宋体" w:cs="Times New Roman"/>
                      <w:b w:val="0"/>
                      <w:color w:val="auto"/>
                      <w:kern w:val="2"/>
                      <w:sz w:val="18"/>
                      <w:szCs w:val="18"/>
                      <w:highlight w:val="none"/>
                      <w:shd w:val="clear" w:color="auto" w:fill="auto"/>
                      <w:lang w:val="en-US" w:eastAsia="zh-CN" w:bidi="ar-SA"/>
                    </w:rPr>
                    <w:t>15.0</w:t>
                  </w:r>
                </w:p>
              </w:tc>
              <w:tc>
                <w:tcPr>
                  <w:tcW w:w="177" w:type="pct"/>
                  <w:tcBorders>
                    <w:tl2br w:val="nil"/>
                    <w:tr2bl w:val="nil"/>
                  </w:tcBorders>
                  <w:noWrap w:val="0"/>
                  <w:vAlign w:val="center"/>
                </w:tcPr>
                <w:p w14:paraId="674166EB">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51.5</w:t>
                  </w:r>
                </w:p>
              </w:tc>
              <w:tc>
                <w:tcPr>
                  <w:tcW w:w="177" w:type="pct"/>
                  <w:tcBorders>
                    <w:tl2br w:val="nil"/>
                    <w:tr2bl w:val="nil"/>
                  </w:tcBorders>
                  <w:noWrap w:val="0"/>
                  <w:vAlign w:val="center"/>
                </w:tcPr>
                <w:p w14:paraId="29B8379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51.5</w:t>
                  </w:r>
                </w:p>
              </w:tc>
              <w:tc>
                <w:tcPr>
                  <w:tcW w:w="177" w:type="pct"/>
                  <w:tcBorders>
                    <w:tl2br w:val="nil"/>
                    <w:tr2bl w:val="nil"/>
                  </w:tcBorders>
                  <w:noWrap w:val="0"/>
                  <w:vAlign w:val="center"/>
                </w:tcPr>
                <w:p w14:paraId="0AE2E6A6">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51.5</w:t>
                  </w:r>
                </w:p>
              </w:tc>
              <w:tc>
                <w:tcPr>
                  <w:tcW w:w="177" w:type="pct"/>
                  <w:tcBorders>
                    <w:tl2br w:val="nil"/>
                    <w:tr2bl w:val="nil"/>
                  </w:tcBorders>
                  <w:noWrap w:val="0"/>
                  <w:vAlign w:val="center"/>
                </w:tcPr>
                <w:p w14:paraId="5703543A">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lang w:val="en-US" w:eastAsia="zh-CN"/>
                    </w:rPr>
                    <w:t>52.6</w:t>
                  </w:r>
                </w:p>
              </w:tc>
              <w:tc>
                <w:tcPr>
                  <w:tcW w:w="282" w:type="pct"/>
                  <w:tcBorders>
                    <w:tl2br w:val="nil"/>
                    <w:tr2bl w:val="nil"/>
                  </w:tcBorders>
                  <w:noWrap w:val="0"/>
                  <w:vAlign w:val="center"/>
                </w:tcPr>
                <w:p w14:paraId="69869610">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r>
            <w:tr w14:paraId="1C48E0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39" w:type="pct"/>
                  <w:tcBorders>
                    <w:tl2br w:val="nil"/>
                    <w:tr2bl w:val="nil"/>
                  </w:tcBorders>
                  <w:noWrap w:val="0"/>
                  <w:vAlign w:val="center"/>
                </w:tcPr>
                <w:p w14:paraId="243846D9">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p>
              </w:tc>
              <w:tc>
                <w:tcPr>
                  <w:tcW w:w="221" w:type="pct"/>
                  <w:vMerge w:val="continue"/>
                  <w:tcBorders>
                    <w:tl2br w:val="nil"/>
                    <w:tr2bl w:val="nil"/>
                  </w:tcBorders>
                  <w:noWrap w:val="0"/>
                  <w:vAlign w:val="center"/>
                </w:tcPr>
                <w:p w14:paraId="055E59EC">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72" w:type="pct"/>
                  <w:tcBorders>
                    <w:tl2br w:val="nil"/>
                    <w:tr2bl w:val="nil"/>
                  </w:tcBorders>
                  <w:noWrap w:val="0"/>
                  <w:vAlign w:val="center"/>
                </w:tcPr>
                <w:p w14:paraId="5B266C58">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通风橱，1台</w:t>
                  </w:r>
                </w:p>
              </w:tc>
              <w:tc>
                <w:tcPr>
                  <w:tcW w:w="373" w:type="pct"/>
                  <w:tcBorders>
                    <w:tl2br w:val="nil"/>
                    <w:tr2bl w:val="nil"/>
                  </w:tcBorders>
                  <w:noWrap w:val="0"/>
                  <w:vAlign w:val="center"/>
                </w:tcPr>
                <w:p w14:paraId="4BC45932">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70</w:t>
                  </w:r>
                </w:p>
              </w:tc>
              <w:tc>
                <w:tcPr>
                  <w:tcW w:w="272" w:type="pct"/>
                  <w:vMerge w:val="continue"/>
                  <w:tcBorders>
                    <w:tl2br w:val="nil"/>
                    <w:tr2bl w:val="nil"/>
                  </w:tcBorders>
                  <w:noWrap w:val="0"/>
                  <w:vAlign w:val="center"/>
                </w:tcPr>
                <w:p w14:paraId="61B1D631">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51" w:type="pct"/>
                  <w:tcBorders>
                    <w:tl2br w:val="nil"/>
                    <w:tr2bl w:val="nil"/>
                  </w:tcBorders>
                  <w:noWrap w:val="0"/>
                  <w:vAlign w:val="center"/>
                </w:tcPr>
                <w:p w14:paraId="6A08786E">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-2.3</w:t>
                  </w:r>
                </w:p>
              </w:tc>
              <w:tc>
                <w:tcPr>
                  <w:tcW w:w="263" w:type="pct"/>
                  <w:tcBorders>
                    <w:tl2br w:val="nil"/>
                    <w:tr2bl w:val="nil"/>
                  </w:tcBorders>
                  <w:noWrap w:val="0"/>
                  <w:vAlign w:val="center"/>
                </w:tcPr>
                <w:p w14:paraId="47D39F3D">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8.9</w:t>
                  </w:r>
                </w:p>
              </w:tc>
              <w:tc>
                <w:tcPr>
                  <w:tcW w:w="248" w:type="pct"/>
                  <w:tcBorders>
                    <w:tl2br w:val="nil"/>
                    <w:tr2bl w:val="nil"/>
                  </w:tcBorders>
                  <w:noWrap w:val="0"/>
                  <w:vAlign w:val="center"/>
                </w:tcPr>
                <w:p w14:paraId="4FB009B6">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7.2</w:t>
                  </w:r>
                </w:p>
              </w:tc>
              <w:tc>
                <w:tcPr>
                  <w:tcW w:w="222" w:type="pct"/>
                  <w:tcBorders>
                    <w:tl2br w:val="nil"/>
                    <w:tr2bl w:val="nil"/>
                  </w:tcBorders>
                  <w:noWrap w:val="0"/>
                  <w:vAlign w:val="center"/>
                </w:tcPr>
                <w:p w14:paraId="088F95E2">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27.2</w:t>
                  </w:r>
                </w:p>
              </w:tc>
              <w:tc>
                <w:tcPr>
                  <w:tcW w:w="206" w:type="pct"/>
                  <w:tcBorders>
                    <w:tl2br w:val="nil"/>
                    <w:tr2bl w:val="nil"/>
                  </w:tcBorders>
                  <w:noWrap w:val="0"/>
                  <w:vAlign w:val="center"/>
                </w:tcPr>
                <w:p w14:paraId="046ABC31">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25.4</w:t>
                  </w:r>
                </w:p>
              </w:tc>
              <w:tc>
                <w:tcPr>
                  <w:tcW w:w="188" w:type="pct"/>
                  <w:tcBorders>
                    <w:tl2br w:val="nil"/>
                    <w:tr2bl w:val="nil"/>
                  </w:tcBorders>
                  <w:noWrap w:val="0"/>
                  <w:vAlign w:val="center"/>
                </w:tcPr>
                <w:p w14:paraId="43B76BCC">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14.6</w:t>
                  </w:r>
                </w:p>
              </w:tc>
              <w:tc>
                <w:tcPr>
                  <w:tcW w:w="179" w:type="pct"/>
                  <w:tcBorders>
                    <w:tl2br w:val="nil"/>
                    <w:tr2bl w:val="nil"/>
                  </w:tcBorders>
                  <w:noWrap w:val="0"/>
                  <w:vAlign w:val="center"/>
                </w:tcPr>
                <w:p w14:paraId="38594150">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1.8</w:t>
                  </w:r>
                </w:p>
              </w:tc>
              <w:tc>
                <w:tcPr>
                  <w:tcW w:w="177" w:type="pct"/>
                  <w:tcBorders>
                    <w:tl2br w:val="nil"/>
                    <w:tr2bl w:val="nil"/>
                  </w:tcBorders>
                  <w:noWrap w:val="0"/>
                  <w:vAlign w:val="center"/>
                </w:tcPr>
                <w:p w14:paraId="1666FE5A">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72.5</w:t>
                  </w:r>
                </w:p>
              </w:tc>
              <w:tc>
                <w:tcPr>
                  <w:tcW w:w="240" w:type="pct"/>
                  <w:tcBorders>
                    <w:tl2br w:val="nil"/>
                    <w:tr2bl w:val="nil"/>
                  </w:tcBorders>
                  <w:noWrap w:val="0"/>
                  <w:vAlign w:val="center"/>
                </w:tcPr>
                <w:p w14:paraId="1CC4BDCB">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72.5</w:t>
                  </w:r>
                </w:p>
              </w:tc>
              <w:tc>
                <w:tcPr>
                  <w:tcW w:w="188" w:type="pct"/>
                  <w:tcBorders>
                    <w:tl2br w:val="nil"/>
                    <w:tr2bl w:val="nil"/>
                  </w:tcBorders>
                  <w:noWrap w:val="0"/>
                  <w:vAlign w:val="center"/>
                </w:tcPr>
                <w:p w14:paraId="5C9D197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72.5</w:t>
                  </w:r>
                </w:p>
              </w:tc>
              <w:tc>
                <w:tcPr>
                  <w:tcW w:w="243" w:type="pct"/>
                  <w:tcBorders>
                    <w:tl2br w:val="nil"/>
                    <w:tr2bl w:val="nil"/>
                  </w:tcBorders>
                  <w:noWrap w:val="0"/>
                  <w:vAlign w:val="center"/>
                </w:tcPr>
                <w:p w14:paraId="5D79D2CE">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73.6</w:t>
                  </w:r>
                </w:p>
              </w:tc>
              <w:tc>
                <w:tcPr>
                  <w:tcW w:w="321" w:type="pct"/>
                  <w:tcBorders>
                    <w:tl2br w:val="nil"/>
                    <w:tr2bl w:val="nil"/>
                  </w:tcBorders>
                  <w:noWrap w:val="0"/>
                  <w:vAlign w:val="center"/>
                </w:tcPr>
                <w:p w14:paraId="62448F86">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 w:val="0"/>
                      <w:color w:val="auto"/>
                      <w:kern w:val="2"/>
                      <w:sz w:val="18"/>
                      <w:szCs w:val="18"/>
                      <w:highlight w:val="none"/>
                      <w:shd w:val="clear" w:color="auto" w:fill="auto"/>
                      <w:lang w:val="en-US" w:eastAsia="zh-CN" w:bidi="ar-SA"/>
                    </w:rPr>
                  </w:pPr>
                  <w:r>
                    <w:rPr>
                      <w:rFonts w:hint="default" w:ascii="Times New Roman" w:hAnsi="Times New Roman" w:eastAsia="宋体" w:cs="Times New Roman"/>
                      <w:b w:val="0"/>
                      <w:color w:val="auto"/>
                      <w:kern w:val="2"/>
                      <w:sz w:val="18"/>
                      <w:szCs w:val="18"/>
                      <w:highlight w:val="none"/>
                      <w:shd w:val="clear" w:color="auto" w:fill="auto"/>
                      <w:lang w:val="en-US" w:eastAsia="zh-CN" w:bidi="ar-SA"/>
                    </w:rPr>
                    <w:t>15.0</w:t>
                  </w:r>
                </w:p>
              </w:tc>
              <w:tc>
                <w:tcPr>
                  <w:tcW w:w="177" w:type="pct"/>
                  <w:tcBorders>
                    <w:tl2br w:val="nil"/>
                    <w:tr2bl w:val="nil"/>
                  </w:tcBorders>
                  <w:noWrap w:val="0"/>
                  <w:vAlign w:val="center"/>
                </w:tcPr>
                <w:p w14:paraId="539E605F">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51.5</w:t>
                  </w:r>
                </w:p>
              </w:tc>
              <w:tc>
                <w:tcPr>
                  <w:tcW w:w="177" w:type="pct"/>
                  <w:tcBorders>
                    <w:tl2br w:val="nil"/>
                    <w:tr2bl w:val="nil"/>
                  </w:tcBorders>
                  <w:noWrap w:val="0"/>
                  <w:vAlign w:val="center"/>
                </w:tcPr>
                <w:p w14:paraId="4711EB16">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51.5</w:t>
                  </w:r>
                </w:p>
              </w:tc>
              <w:tc>
                <w:tcPr>
                  <w:tcW w:w="177" w:type="pct"/>
                  <w:tcBorders>
                    <w:tl2br w:val="nil"/>
                    <w:tr2bl w:val="nil"/>
                  </w:tcBorders>
                  <w:noWrap w:val="0"/>
                  <w:vAlign w:val="center"/>
                </w:tcPr>
                <w:p w14:paraId="3D396E63">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51.5</w:t>
                  </w:r>
                </w:p>
              </w:tc>
              <w:tc>
                <w:tcPr>
                  <w:tcW w:w="177" w:type="pct"/>
                  <w:tcBorders>
                    <w:tl2br w:val="nil"/>
                    <w:tr2bl w:val="nil"/>
                  </w:tcBorders>
                  <w:noWrap w:val="0"/>
                  <w:vAlign w:val="center"/>
                </w:tcPr>
                <w:p w14:paraId="561371B0">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52.6</w:t>
                  </w:r>
                </w:p>
              </w:tc>
              <w:tc>
                <w:tcPr>
                  <w:tcW w:w="282" w:type="pct"/>
                  <w:tcBorders>
                    <w:tl2br w:val="nil"/>
                    <w:tr2bl w:val="nil"/>
                  </w:tcBorders>
                  <w:noWrap w:val="0"/>
                  <w:vAlign w:val="center"/>
                </w:tcPr>
                <w:p w14:paraId="411479C8">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r>
            <w:tr w14:paraId="4F15C7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39" w:type="pct"/>
                  <w:tcBorders>
                    <w:tl2br w:val="nil"/>
                    <w:tr2bl w:val="nil"/>
                  </w:tcBorders>
                  <w:noWrap w:val="0"/>
                  <w:vAlign w:val="center"/>
                </w:tcPr>
                <w:p w14:paraId="3C1DFCF9">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221" w:type="pct"/>
                  <w:vMerge w:val="continue"/>
                  <w:tcBorders>
                    <w:tl2br w:val="nil"/>
                    <w:tr2bl w:val="nil"/>
                  </w:tcBorders>
                  <w:noWrap w:val="0"/>
                  <w:vAlign w:val="center"/>
                </w:tcPr>
                <w:p w14:paraId="18F1FBC1">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72" w:type="pct"/>
                  <w:tcBorders>
                    <w:tl2br w:val="nil"/>
                    <w:tr2bl w:val="nil"/>
                  </w:tcBorders>
                  <w:noWrap w:val="0"/>
                  <w:vAlign w:val="center"/>
                </w:tcPr>
                <w:p w14:paraId="4EAFDB6E">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通风橱，1台</w:t>
                  </w:r>
                </w:p>
              </w:tc>
              <w:tc>
                <w:tcPr>
                  <w:tcW w:w="373" w:type="pct"/>
                  <w:tcBorders>
                    <w:tl2br w:val="nil"/>
                    <w:tr2bl w:val="nil"/>
                  </w:tcBorders>
                  <w:noWrap w:val="0"/>
                  <w:vAlign w:val="center"/>
                </w:tcPr>
                <w:p w14:paraId="0D40DDA4">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70</w:t>
                  </w:r>
                </w:p>
              </w:tc>
              <w:tc>
                <w:tcPr>
                  <w:tcW w:w="272" w:type="pct"/>
                  <w:vMerge w:val="continue"/>
                  <w:tcBorders>
                    <w:tl2br w:val="nil"/>
                    <w:tr2bl w:val="nil"/>
                  </w:tcBorders>
                  <w:noWrap w:val="0"/>
                  <w:vAlign w:val="center"/>
                </w:tcPr>
                <w:p w14:paraId="51F688F5">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p>
              </w:tc>
              <w:tc>
                <w:tcPr>
                  <w:tcW w:w="251" w:type="pct"/>
                  <w:tcBorders>
                    <w:tl2br w:val="nil"/>
                    <w:tr2bl w:val="nil"/>
                  </w:tcBorders>
                  <w:noWrap w:val="0"/>
                  <w:vAlign w:val="center"/>
                </w:tcPr>
                <w:p w14:paraId="2001319C">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-0.2</w:t>
                  </w:r>
                </w:p>
              </w:tc>
              <w:tc>
                <w:tcPr>
                  <w:tcW w:w="263" w:type="pct"/>
                  <w:tcBorders>
                    <w:tl2br w:val="nil"/>
                    <w:tr2bl w:val="nil"/>
                  </w:tcBorders>
                  <w:noWrap w:val="0"/>
                  <w:vAlign w:val="center"/>
                </w:tcPr>
                <w:p w14:paraId="09507441">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w:t>
                  </w:r>
                </w:p>
              </w:tc>
              <w:tc>
                <w:tcPr>
                  <w:tcW w:w="248" w:type="pct"/>
                  <w:tcBorders>
                    <w:tl2br w:val="nil"/>
                    <w:tr2bl w:val="nil"/>
                  </w:tcBorders>
                  <w:noWrap w:val="0"/>
                  <w:vAlign w:val="center"/>
                </w:tcPr>
                <w:p w14:paraId="2EE68E95">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7.2</w:t>
                  </w:r>
                </w:p>
              </w:tc>
              <w:tc>
                <w:tcPr>
                  <w:tcW w:w="222" w:type="pct"/>
                  <w:tcBorders>
                    <w:tl2br w:val="nil"/>
                    <w:tr2bl w:val="nil"/>
                  </w:tcBorders>
                  <w:noWrap w:val="0"/>
                  <w:vAlign w:val="center"/>
                </w:tcPr>
                <w:p w14:paraId="7021F23D">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25.2</w:t>
                  </w:r>
                </w:p>
              </w:tc>
              <w:tc>
                <w:tcPr>
                  <w:tcW w:w="206" w:type="pct"/>
                  <w:tcBorders>
                    <w:tl2br w:val="nil"/>
                    <w:tr2bl w:val="nil"/>
                  </w:tcBorders>
                  <w:noWrap w:val="0"/>
                  <w:vAlign w:val="center"/>
                </w:tcPr>
                <w:p w14:paraId="5C507437">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26.0</w:t>
                  </w:r>
                </w:p>
              </w:tc>
              <w:tc>
                <w:tcPr>
                  <w:tcW w:w="188" w:type="pct"/>
                  <w:tcBorders>
                    <w:tl2br w:val="nil"/>
                    <w:tr2bl w:val="nil"/>
                  </w:tcBorders>
                  <w:noWrap w:val="0"/>
                  <w:vAlign w:val="center"/>
                </w:tcPr>
                <w:p w14:paraId="55EDDE76">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16.6</w:t>
                  </w:r>
                </w:p>
              </w:tc>
              <w:tc>
                <w:tcPr>
                  <w:tcW w:w="179" w:type="pct"/>
                  <w:tcBorders>
                    <w:tl2br w:val="nil"/>
                    <w:tr2bl w:val="nil"/>
                  </w:tcBorders>
                  <w:noWrap w:val="0"/>
                  <w:vAlign w:val="center"/>
                </w:tcPr>
                <w:p w14:paraId="42D783BD">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1.3</w:t>
                  </w:r>
                </w:p>
              </w:tc>
              <w:tc>
                <w:tcPr>
                  <w:tcW w:w="177" w:type="pct"/>
                  <w:tcBorders>
                    <w:tl2br w:val="nil"/>
                    <w:tr2bl w:val="nil"/>
                  </w:tcBorders>
                  <w:noWrap w:val="0"/>
                  <w:vAlign w:val="center"/>
                </w:tcPr>
                <w:p w14:paraId="7812C94D">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64.5</w:t>
                  </w:r>
                </w:p>
              </w:tc>
              <w:tc>
                <w:tcPr>
                  <w:tcW w:w="240" w:type="pct"/>
                  <w:tcBorders>
                    <w:tl2br w:val="nil"/>
                    <w:tr2bl w:val="nil"/>
                  </w:tcBorders>
                  <w:noWrap w:val="0"/>
                  <w:vAlign w:val="center"/>
                </w:tcPr>
                <w:p w14:paraId="1FBD805F">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64.5</w:t>
                  </w:r>
                </w:p>
              </w:tc>
              <w:tc>
                <w:tcPr>
                  <w:tcW w:w="188" w:type="pct"/>
                  <w:tcBorders>
                    <w:tl2br w:val="nil"/>
                    <w:tr2bl w:val="nil"/>
                  </w:tcBorders>
                  <w:noWrap w:val="0"/>
                  <w:vAlign w:val="center"/>
                </w:tcPr>
                <w:p w14:paraId="3D0E7F10">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64.5</w:t>
                  </w:r>
                </w:p>
              </w:tc>
              <w:tc>
                <w:tcPr>
                  <w:tcW w:w="243" w:type="pct"/>
                  <w:tcBorders>
                    <w:tl2br w:val="nil"/>
                    <w:tr2bl w:val="nil"/>
                  </w:tcBorders>
                  <w:noWrap w:val="0"/>
                  <w:vAlign w:val="center"/>
                </w:tcPr>
                <w:p w14:paraId="1EB86E7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66.4</w:t>
                  </w:r>
                </w:p>
              </w:tc>
              <w:tc>
                <w:tcPr>
                  <w:tcW w:w="321" w:type="pct"/>
                  <w:tcBorders>
                    <w:tl2br w:val="nil"/>
                    <w:tr2bl w:val="nil"/>
                  </w:tcBorders>
                  <w:noWrap w:val="0"/>
                  <w:vAlign w:val="center"/>
                </w:tcPr>
                <w:p w14:paraId="4FCB612F">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 w:val="0"/>
                      <w:color w:val="auto"/>
                      <w:kern w:val="2"/>
                      <w:sz w:val="18"/>
                      <w:szCs w:val="18"/>
                      <w:highlight w:val="none"/>
                      <w:shd w:val="clear" w:color="auto" w:fill="auto"/>
                      <w:lang w:val="en-US" w:eastAsia="zh-CN" w:bidi="ar-SA"/>
                    </w:rPr>
                  </w:pPr>
                  <w:r>
                    <w:rPr>
                      <w:rFonts w:hint="default" w:ascii="Times New Roman" w:hAnsi="Times New Roman" w:eastAsia="宋体" w:cs="Times New Roman"/>
                      <w:b w:val="0"/>
                      <w:color w:val="auto"/>
                      <w:kern w:val="2"/>
                      <w:sz w:val="18"/>
                      <w:szCs w:val="18"/>
                      <w:highlight w:val="none"/>
                      <w:shd w:val="clear" w:color="auto" w:fill="auto"/>
                      <w:lang w:val="en-US" w:eastAsia="zh-CN" w:bidi="ar-SA"/>
                    </w:rPr>
                    <w:t>15.0</w:t>
                  </w:r>
                </w:p>
              </w:tc>
              <w:tc>
                <w:tcPr>
                  <w:tcW w:w="177" w:type="pct"/>
                  <w:tcBorders>
                    <w:tl2br w:val="nil"/>
                    <w:tr2bl w:val="nil"/>
                  </w:tcBorders>
                  <w:noWrap w:val="0"/>
                  <w:vAlign w:val="center"/>
                </w:tcPr>
                <w:p w14:paraId="67863E23">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43.5</w:t>
                  </w:r>
                </w:p>
              </w:tc>
              <w:tc>
                <w:tcPr>
                  <w:tcW w:w="177" w:type="pct"/>
                  <w:tcBorders>
                    <w:tl2br w:val="nil"/>
                    <w:tr2bl w:val="nil"/>
                  </w:tcBorders>
                  <w:noWrap w:val="0"/>
                  <w:vAlign w:val="center"/>
                </w:tcPr>
                <w:p w14:paraId="7FE320E9">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43.5</w:t>
                  </w:r>
                </w:p>
              </w:tc>
              <w:tc>
                <w:tcPr>
                  <w:tcW w:w="177" w:type="pct"/>
                  <w:tcBorders>
                    <w:tl2br w:val="nil"/>
                    <w:tr2bl w:val="nil"/>
                  </w:tcBorders>
                  <w:noWrap w:val="0"/>
                  <w:vAlign w:val="center"/>
                </w:tcPr>
                <w:p w14:paraId="1BA732A6">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43.5</w:t>
                  </w:r>
                </w:p>
              </w:tc>
              <w:tc>
                <w:tcPr>
                  <w:tcW w:w="177" w:type="pct"/>
                  <w:tcBorders>
                    <w:tl2br w:val="nil"/>
                    <w:tr2bl w:val="nil"/>
                  </w:tcBorders>
                  <w:noWrap w:val="0"/>
                  <w:vAlign w:val="center"/>
                </w:tcPr>
                <w:p w14:paraId="6CB9D7DA">
                  <w:pPr>
                    <w:pStyle w:val="43"/>
                    <w:keepNext w:val="0"/>
                    <w:keepLines w:val="0"/>
                    <w:pageBreakBefore w:val="0"/>
                    <w:widowControl w:val="0"/>
                    <w:kinsoku/>
                    <w:wordWrap/>
                    <w:overflowPunct/>
                    <w:topLinePunct w:val="0"/>
                    <w:autoSpaceDE w:val="0"/>
                    <w:autoSpaceDN w:val="0"/>
                    <w:bidi w:val="0"/>
                    <w:adjustRightInd w:val="0"/>
                    <w:snapToGrid w:val="0"/>
                    <w:spacing w:after="0" w:line="240" w:lineRule="exact"/>
                    <w:ind w:firstLine="0" w:firstLineChars="0"/>
                    <w:jc w:val="center"/>
                    <w:textAlignment w:val="auto"/>
                    <w:rPr>
                      <w:rFonts w:hint="default" w:ascii="Times New Roman" w:hAnsi="Times New Roman" w:eastAsia="宋体" w:cs="Times New Roman"/>
                      <w:color w:val="auto"/>
                      <w:kern w:val="2"/>
                      <w:sz w:val="18"/>
                      <w:szCs w:val="18"/>
                      <w:lang w:val="en-US" w:eastAsia="zh-CN"/>
                    </w:rPr>
                  </w:pPr>
                  <w:r>
                    <w:rPr>
                      <w:rFonts w:hint="default" w:ascii="Times New Roman" w:hAnsi="Times New Roman" w:eastAsia="宋体" w:cs="Times New Roman"/>
                      <w:color w:val="auto"/>
                      <w:kern w:val="2"/>
                      <w:sz w:val="18"/>
                      <w:szCs w:val="18"/>
                      <w:lang w:val="en-US" w:eastAsia="zh-CN"/>
                    </w:rPr>
                    <w:t>45.4</w:t>
                  </w:r>
                </w:p>
              </w:tc>
              <w:tc>
                <w:tcPr>
                  <w:tcW w:w="282" w:type="pct"/>
                  <w:tcBorders>
                    <w:tl2br w:val="nil"/>
                    <w:tr2bl w:val="nil"/>
                  </w:tcBorders>
                  <w:noWrap w:val="0"/>
                  <w:vAlign w:val="center"/>
                </w:tcPr>
                <w:p w14:paraId="01E3D03A">
                  <w:pPr>
                    <w:pStyle w:val="43"/>
                    <w:keepNext w:val="0"/>
                    <w:keepLines w:val="0"/>
                    <w:pageBreakBefore w:val="0"/>
                    <w:widowControl w:val="0"/>
                    <w:kinsoku/>
                    <w:wordWrap/>
                    <w:overflowPunct/>
                    <w:topLinePunct w:val="0"/>
                    <w:autoSpaceDE w:val="0"/>
                    <w:autoSpaceDN w:val="0"/>
                    <w:bidi w:val="0"/>
                    <w:spacing w:after="0" w:line="240" w:lineRule="exact"/>
                    <w:ind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r>
          </w:tbl>
          <w:p w14:paraId="05FB7BB6">
            <w:pPr>
              <w:pStyle w:val="77"/>
              <w:pageBreakBefore w:val="0"/>
              <w:kinsoku/>
              <w:wordWrap/>
              <w:topLinePunct w:val="0"/>
              <w:bidi w:val="0"/>
              <w:spacing w:after="0" w:afterLines="0"/>
              <w:ind w:left="0" w:leftChars="0" w:firstLine="0" w:firstLineChars="0"/>
              <w:rPr>
                <w:color w:val="auto"/>
                <w:lang w:val="en-US" w:eastAsia="zh-CN"/>
              </w:rPr>
            </w:pPr>
            <w:r>
              <w:rPr>
                <w:rFonts w:hint="eastAsia"/>
                <w:color w:val="auto"/>
                <w:lang w:val="en-US" w:eastAsia="zh-CN"/>
              </w:rPr>
              <w:t>注：以实验室中心为原点</w:t>
            </w:r>
          </w:p>
          <w:p w14:paraId="375DBF13">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（2）噪声污染防治措施</w:t>
            </w:r>
          </w:p>
          <w:p w14:paraId="37CF994C">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本项目的噪声源包括</w:t>
            </w:r>
            <w:r>
              <w:rPr>
                <w:rFonts w:hint="eastAsia" w:ascii="Times New Roman" w:hAnsi="Times New Roman" w:eastAsia="宋体" w:cs="Times New Roman"/>
                <w:color w:val="auto"/>
                <w:sz w:val="24"/>
                <w:lang w:val="en-US" w:eastAsia="zh-CN"/>
              </w:rPr>
              <w:t>挤出设备、通风橱</w:t>
            </w:r>
            <w:r>
              <w:rPr>
                <w:rFonts w:hint="eastAsia" w:ascii="Times New Roman" w:hAnsi="Times New Roman" w:eastAsia="宋体" w:cs="Times New Roman"/>
                <w:color w:val="auto"/>
                <w:kern w:val="0"/>
                <w:sz w:val="24"/>
                <w:lang w:bidi="ar"/>
              </w:rPr>
              <w:t>风机</w:t>
            </w:r>
            <w:r>
              <w:rPr>
                <w:rFonts w:ascii="Times New Roman" w:hAnsi="Times New Roman" w:cs="Times New Roman"/>
                <w:color w:val="auto"/>
                <w:sz w:val="24"/>
              </w:rPr>
              <w:t>等生产设备运行噪声，这些噪声源经相应的降噪措施处理后通过建筑物门窗、墙壁的吸收、屏蔽及阻挡作用，将会大幅度地衰减。具体可采取的治理措施如下：</w:t>
            </w:r>
          </w:p>
          <w:p w14:paraId="6321E213">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①合理布局：项目将高噪声设备尽量布置在厂区中部</w:t>
            </w:r>
            <w:r>
              <w:rPr>
                <w:rFonts w:hint="eastAsia" w:ascii="Times New Roman" w:hAnsi="Times New Roman" w:cs="Times New Roman"/>
                <w:color w:val="auto"/>
                <w:sz w:val="24"/>
              </w:rPr>
              <w:t>和西部</w:t>
            </w:r>
            <w:r>
              <w:rPr>
                <w:rFonts w:ascii="Times New Roman" w:hAnsi="Times New Roman" w:cs="Times New Roman"/>
                <w:color w:val="auto"/>
                <w:sz w:val="24"/>
              </w:rPr>
              <w:t>，通过距离衰减减轻噪声对外环境的影响。</w:t>
            </w:r>
          </w:p>
          <w:p w14:paraId="768FAB55">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②选择低噪声设备：项目在满足工艺设计的前提下，尽量选用满足国际标准的低噪声、低振动型号的设备，降低噪声源强。</w:t>
            </w:r>
          </w:p>
          <w:p w14:paraId="747446A0">
            <w:pPr>
              <w:spacing w:line="360" w:lineRule="auto"/>
              <w:ind w:firstLine="480" w:firstLineChars="200"/>
              <w:rPr>
                <w:rFonts w:ascii="Times New Roman" w:hAnsi="Times New Roman"/>
                <w:color w:val="auto"/>
                <w:sz w:val="24"/>
              </w:rPr>
            </w:pPr>
            <w:r>
              <w:rPr>
                <w:rFonts w:ascii="Times New Roman" w:hAnsi="Times New Roman" w:cs="Times New Roman"/>
                <w:color w:val="auto"/>
                <w:sz w:val="24"/>
              </w:rPr>
              <w:t>③隔声、减</w:t>
            </w:r>
            <w:r>
              <w:rPr>
                <w:rFonts w:hint="eastAsia" w:ascii="Times New Roman" w:hAnsi="Times New Roman" w:cs="Times New Roman"/>
                <w:color w:val="auto"/>
                <w:sz w:val="24"/>
              </w:rPr>
              <w:t>振、消声</w:t>
            </w:r>
            <w:r>
              <w:rPr>
                <w:rFonts w:ascii="Times New Roman" w:hAnsi="Times New Roman" w:cs="Times New Roman"/>
                <w:color w:val="auto"/>
                <w:sz w:val="24"/>
              </w:rPr>
              <w:t>：建设单位根据噪声产生的性质可分为机械运动噪声，根据其产生的性质和机理不同分别采用了隔声、减振</w:t>
            </w:r>
            <w:r>
              <w:rPr>
                <w:rFonts w:hint="eastAsia" w:ascii="Times New Roman" w:hAnsi="Times New Roman" w:cs="Times New Roman"/>
                <w:color w:val="auto"/>
                <w:sz w:val="24"/>
              </w:rPr>
              <w:t>、消声</w:t>
            </w:r>
            <w:r>
              <w:rPr>
                <w:rFonts w:ascii="Times New Roman" w:hAnsi="Times New Roman" w:cs="Times New Roman"/>
                <w:color w:val="auto"/>
                <w:sz w:val="24"/>
              </w:rPr>
              <w:t>等方式</w:t>
            </w:r>
            <w:r>
              <w:rPr>
                <w:rFonts w:ascii="Times New Roman" w:hAnsi="Times New Roman"/>
                <w:color w:val="auto"/>
                <w:sz w:val="24"/>
              </w:rPr>
              <w:t>进行了降噪处理。通过安装减</w:t>
            </w:r>
            <w:r>
              <w:rPr>
                <w:rFonts w:hint="eastAsia" w:ascii="Times New Roman" w:hAnsi="Times New Roman"/>
                <w:color w:val="auto"/>
                <w:sz w:val="24"/>
              </w:rPr>
              <w:t>振</w:t>
            </w:r>
            <w:r>
              <w:rPr>
                <w:rFonts w:ascii="Times New Roman" w:hAnsi="Times New Roman"/>
                <w:color w:val="auto"/>
                <w:sz w:val="24"/>
              </w:rPr>
              <w:t>垫</w:t>
            </w:r>
            <w:r>
              <w:rPr>
                <w:rFonts w:hint="eastAsia" w:ascii="Times New Roman" w:hAnsi="Times New Roman"/>
                <w:color w:val="auto"/>
                <w:sz w:val="24"/>
              </w:rPr>
              <w:t>、消声器</w:t>
            </w:r>
            <w:r>
              <w:rPr>
                <w:rFonts w:ascii="Times New Roman" w:hAnsi="Times New Roman"/>
                <w:color w:val="auto"/>
                <w:sz w:val="24"/>
              </w:rPr>
              <w:t>或者隔声门窗来达到降低噪声的目的。</w:t>
            </w:r>
          </w:p>
          <w:p w14:paraId="10231EA2">
            <w:pPr>
              <w:spacing w:line="360" w:lineRule="auto"/>
              <w:ind w:firstLine="480" w:firstLineChars="200"/>
              <w:rPr>
                <w:rFonts w:ascii="Times New Roman" w:hAnsi="Times New Roman"/>
                <w:color w:val="auto"/>
                <w:sz w:val="24"/>
              </w:rPr>
            </w:pPr>
            <w:r>
              <w:rPr>
                <w:rFonts w:hint="eastAsia" w:ascii="Times New Roman" w:hAnsi="Times New Roman"/>
                <w:color w:val="auto"/>
                <w:sz w:val="24"/>
              </w:rPr>
              <w:t>④</w:t>
            </w:r>
            <w:r>
              <w:rPr>
                <w:rFonts w:ascii="Times New Roman" w:hAnsi="Times New Roman"/>
                <w:color w:val="auto"/>
                <w:sz w:val="24"/>
              </w:rPr>
              <w:t>强化生产管理：确保降噪设施的有效运行，并加强对生产设备的保养、检修与润滑，保证设备处于良好的运转状态。</w:t>
            </w:r>
          </w:p>
          <w:p w14:paraId="4345842A">
            <w:pPr>
              <w:spacing w:line="360" w:lineRule="auto"/>
              <w:ind w:firstLine="480" w:firstLineChars="200"/>
              <w:rPr>
                <w:rFonts w:ascii="Times New Roman" w:hAnsi="Times New Roman" w:cs="Times New Roman"/>
                <w:color w:val="auto"/>
                <w:sz w:val="24"/>
                <w:lang w:val="zh-CN"/>
              </w:rPr>
            </w:pPr>
            <w:r>
              <w:rPr>
                <w:rFonts w:hint="eastAsia" w:ascii="Times New Roman" w:hAnsi="Times New Roman" w:cs="Times New Roman"/>
                <w:color w:val="auto"/>
                <w:sz w:val="24"/>
                <w:lang w:val="zh-CN"/>
              </w:rPr>
              <w:t>（</w:t>
            </w:r>
            <w:r>
              <w:rPr>
                <w:rFonts w:hint="eastAsia" w:ascii="Times New Roman" w:hAnsi="Times New Roman" w:cs="Times New Roman"/>
                <w:color w:val="auto"/>
                <w:sz w:val="24"/>
              </w:rPr>
              <w:t>3</w:t>
            </w:r>
            <w:r>
              <w:rPr>
                <w:rFonts w:hint="eastAsia" w:ascii="Times New Roman" w:hAnsi="Times New Roman" w:cs="Times New Roman"/>
                <w:color w:val="auto"/>
                <w:sz w:val="24"/>
                <w:lang w:val="zh-CN"/>
              </w:rPr>
              <w:t>）预测模式</w:t>
            </w:r>
          </w:p>
          <w:p w14:paraId="2C2DCFCA">
            <w:pPr>
              <w:spacing w:line="360" w:lineRule="auto"/>
              <w:ind w:firstLine="480" w:firstLineChars="200"/>
              <w:rPr>
                <w:rFonts w:ascii="Times New Roman" w:hAnsi="Times New Roman" w:cs="Times New Roman"/>
                <w:color w:val="auto"/>
                <w:sz w:val="24"/>
                <w:lang w:val="zh-CN"/>
              </w:rPr>
            </w:pPr>
            <w:r>
              <w:rPr>
                <w:rFonts w:ascii="Times New Roman" w:hAnsi="Times New Roman" w:cs="Times New Roman"/>
                <w:color w:val="auto"/>
                <w:sz w:val="24"/>
                <w:lang w:val="zh-CN"/>
              </w:rPr>
              <w:t>根据设备噪声强度，采用距离衰减模式分析该项目对声环境的影响。预测模式采用《环境影响评价技术导则</w:t>
            </w:r>
            <w:r>
              <w:rPr>
                <w:rFonts w:ascii="Times New Roman" w:hAnsi="Times New Roman" w:cs="Times New Roman"/>
                <w:color w:val="auto"/>
                <w:sz w:val="24"/>
              </w:rPr>
              <w:t>-</w:t>
            </w:r>
            <w:r>
              <w:rPr>
                <w:rFonts w:ascii="Times New Roman" w:hAnsi="Times New Roman" w:cs="Times New Roman"/>
                <w:color w:val="auto"/>
                <w:sz w:val="24"/>
                <w:lang w:val="zh-CN"/>
              </w:rPr>
              <w:t>声环境》（HJ2.4</w:t>
            </w:r>
            <w:r>
              <w:rPr>
                <w:rFonts w:ascii="Times New Roman" w:hAnsi="Times New Roman" w:cs="Times New Roman"/>
                <w:color w:val="auto"/>
                <w:sz w:val="24"/>
              </w:rPr>
              <w:t>-</w:t>
            </w:r>
            <w:r>
              <w:rPr>
                <w:rFonts w:ascii="Times New Roman" w:hAnsi="Times New Roman" w:cs="Times New Roman"/>
                <w:color w:val="auto"/>
                <w:sz w:val="24"/>
                <w:lang w:val="zh-CN"/>
              </w:rPr>
              <w:t>20</w:t>
            </w:r>
            <w:r>
              <w:rPr>
                <w:rFonts w:hint="eastAsia" w:ascii="Times New Roman" w:hAnsi="Times New Roman" w:cs="Times New Roman"/>
                <w:color w:val="auto"/>
                <w:sz w:val="24"/>
              </w:rPr>
              <w:t>21</w:t>
            </w:r>
            <w:r>
              <w:rPr>
                <w:rFonts w:ascii="Times New Roman" w:hAnsi="Times New Roman" w:cs="Times New Roman"/>
                <w:color w:val="auto"/>
                <w:sz w:val="24"/>
                <w:lang w:val="zh-CN"/>
              </w:rPr>
              <w:t>）中推荐的噪声预测模式，噪声衰减公式：</w:t>
            </w:r>
          </w:p>
          <w:p w14:paraId="52DBCA7D">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①单个室外的点声源在预测点产生的声级计算基本公式</w:t>
            </w:r>
          </w:p>
          <w:p w14:paraId="47E92D3B">
            <w:pPr>
              <w:spacing w:line="360" w:lineRule="auto"/>
              <w:jc w:val="center"/>
              <w:rPr>
                <w:rFonts w:ascii="Times New Roman" w:hAnsi="Times New Roman" w:cs="Times New Roman"/>
                <w:color w:val="auto"/>
                <w:sz w:val="24"/>
                <w:lang w:val="zh-CN"/>
              </w:rPr>
            </w:pPr>
            <w:r>
              <w:rPr>
                <w:rFonts w:ascii="Times New Roman" w:hAnsi="Times New Roman" w:cs="Times New Roman"/>
                <w:color w:val="auto"/>
                <w:sz w:val="24"/>
              </w:rPr>
              <w:drawing>
                <wp:inline distT="0" distB="0" distL="114300" distR="114300">
                  <wp:extent cx="3581400" cy="257175"/>
                  <wp:effectExtent l="0" t="0" r="0" b="952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24"/>
                          <a:stretch>
                            <a:fillRect/>
                          </a:stretch>
                        </pic:blipFill>
                        <pic:spPr>
                          <a:xfrm>
                            <a:off x="0" y="0"/>
                            <a:ext cx="3581400" cy="257175"/>
                          </a:xfrm>
                          <a:prstGeom prst="rect">
                            <a:avLst/>
                          </a:prstGeom>
                          <a:noFill/>
                          <a:ln>
                            <a:noFill/>
                          </a:ln>
                        </pic:spPr>
                      </pic:pic>
                    </a:graphicData>
                  </a:graphic>
                </wp:inline>
              </w:drawing>
            </w:r>
          </w:p>
          <w:p w14:paraId="1A6347AF">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式中：L</w:t>
            </w:r>
            <w:r>
              <w:rPr>
                <w:rFonts w:hint="eastAsia" w:ascii="Times New Roman" w:hAnsi="Times New Roman" w:cs="Times New Roman"/>
                <w:color w:val="auto"/>
                <w:sz w:val="24"/>
                <w:vertAlign w:val="subscript"/>
              </w:rPr>
              <w:t>p</w:t>
            </w:r>
            <w:r>
              <w:rPr>
                <w:rFonts w:hint="eastAsia" w:ascii="Times New Roman" w:hAnsi="Times New Roman" w:cs="Times New Roman"/>
                <w:color w:val="auto"/>
                <w:sz w:val="24"/>
              </w:rPr>
              <w:t>（r）</w:t>
            </w:r>
            <w:r>
              <w:rPr>
                <w:rFonts w:ascii="Times New Roman" w:hAnsi="Times New Roman" w:cs="Times New Roman"/>
                <w:color w:val="auto"/>
                <w:sz w:val="24"/>
              </w:rPr>
              <w:t>——预测点处声压级，dB；</w:t>
            </w:r>
          </w:p>
          <w:p w14:paraId="2AE0631E">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L</w:t>
            </w:r>
            <w:r>
              <w:rPr>
                <w:rFonts w:ascii="Times New Roman" w:hAnsi="Times New Roman" w:cs="Times New Roman"/>
                <w:color w:val="auto"/>
                <w:sz w:val="24"/>
                <w:vertAlign w:val="subscript"/>
              </w:rPr>
              <w:t>w</w:t>
            </w:r>
            <w:r>
              <w:rPr>
                <w:rFonts w:ascii="Times New Roman" w:hAnsi="Times New Roman" w:cs="Times New Roman"/>
                <w:color w:val="auto"/>
                <w:sz w:val="24"/>
              </w:rPr>
              <w:t>——由点声源产生的声功率级（A计权或倍频带），dB；</w:t>
            </w:r>
          </w:p>
          <w:p w14:paraId="4FD1899E">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D</w:t>
            </w:r>
            <w:r>
              <w:rPr>
                <w:rFonts w:ascii="Times New Roman" w:hAnsi="Times New Roman" w:cs="Times New Roman"/>
                <w:color w:val="auto"/>
                <w:sz w:val="24"/>
                <w:vertAlign w:val="subscript"/>
              </w:rPr>
              <w:t>C</w:t>
            </w:r>
            <w:r>
              <w:rPr>
                <w:rFonts w:ascii="Times New Roman" w:hAnsi="Times New Roman" w:cs="Times New Roman"/>
                <w:color w:val="auto"/>
                <w:sz w:val="24"/>
              </w:rPr>
              <w:t>——指向性校正，它描述点声源的等效连续声压级与产生声功率级L</w:t>
            </w:r>
            <w:r>
              <w:rPr>
                <w:rFonts w:ascii="Times New Roman" w:hAnsi="Times New Roman" w:cs="Times New Roman"/>
                <w:color w:val="auto"/>
                <w:sz w:val="24"/>
                <w:vertAlign w:val="subscript"/>
              </w:rPr>
              <w:t>w</w:t>
            </w:r>
            <w:r>
              <w:rPr>
                <w:rFonts w:ascii="Times New Roman" w:hAnsi="Times New Roman" w:cs="Times New Roman"/>
                <w:color w:val="auto"/>
                <w:sz w:val="24"/>
              </w:rPr>
              <w:t>的全向点声源在规定方向的声级的偏差程度，dB；</w:t>
            </w:r>
          </w:p>
          <w:p w14:paraId="07F0555D">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A</w:t>
            </w:r>
            <w:r>
              <w:rPr>
                <w:rFonts w:ascii="Times New Roman" w:hAnsi="Times New Roman" w:cs="Times New Roman"/>
                <w:color w:val="auto"/>
                <w:sz w:val="24"/>
                <w:vertAlign w:val="subscript"/>
              </w:rPr>
              <w:t>div</w:t>
            </w:r>
            <w:r>
              <w:rPr>
                <w:rFonts w:ascii="Times New Roman" w:hAnsi="Times New Roman" w:cs="Times New Roman"/>
                <w:color w:val="auto"/>
                <w:sz w:val="24"/>
              </w:rPr>
              <w:t>——几何发散引起的衰减，dB；</w:t>
            </w:r>
          </w:p>
          <w:p w14:paraId="5C4AC016">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A</w:t>
            </w:r>
            <w:r>
              <w:rPr>
                <w:rFonts w:ascii="Times New Roman" w:hAnsi="Times New Roman" w:cs="Times New Roman"/>
                <w:color w:val="auto"/>
                <w:sz w:val="24"/>
                <w:vertAlign w:val="subscript"/>
              </w:rPr>
              <w:t>atm</w:t>
            </w:r>
            <w:r>
              <w:rPr>
                <w:rFonts w:ascii="Times New Roman" w:hAnsi="Times New Roman" w:cs="Times New Roman"/>
                <w:color w:val="auto"/>
                <w:sz w:val="24"/>
              </w:rPr>
              <w:t>——大气吸收引起的衰减，dB；</w:t>
            </w:r>
          </w:p>
          <w:p w14:paraId="1480B92D">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A</w:t>
            </w:r>
            <w:r>
              <w:rPr>
                <w:rFonts w:ascii="Times New Roman" w:hAnsi="Times New Roman" w:cs="Times New Roman"/>
                <w:color w:val="auto"/>
                <w:sz w:val="24"/>
                <w:vertAlign w:val="subscript"/>
              </w:rPr>
              <w:t>gr</w:t>
            </w:r>
            <w:r>
              <w:rPr>
                <w:rFonts w:ascii="Times New Roman" w:hAnsi="Times New Roman" w:cs="Times New Roman"/>
                <w:color w:val="auto"/>
                <w:sz w:val="24"/>
              </w:rPr>
              <w:t>——地面效应引起的衰减，dB；</w:t>
            </w:r>
          </w:p>
          <w:p w14:paraId="6B6FC13E">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A</w:t>
            </w:r>
            <w:r>
              <w:rPr>
                <w:rFonts w:ascii="Times New Roman" w:hAnsi="Times New Roman" w:cs="Times New Roman"/>
                <w:color w:val="auto"/>
                <w:sz w:val="24"/>
                <w:vertAlign w:val="subscript"/>
              </w:rPr>
              <w:t>bar</w:t>
            </w:r>
            <w:r>
              <w:rPr>
                <w:rFonts w:ascii="Times New Roman" w:hAnsi="Times New Roman" w:cs="Times New Roman"/>
                <w:color w:val="auto"/>
                <w:sz w:val="24"/>
              </w:rPr>
              <w:t>——障碍物屏蔽引起的衰减，dB；</w:t>
            </w:r>
          </w:p>
          <w:p w14:paraId="65E2DDF5">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A</w:t>
            </w:r>
            <w:r>
              <w:rPr>
                <w:rFonts w:ascii="Times New Roman" w:hAnsi="Times New Roman" w:cs="Times New Roman"/>
                <w:color w:val="auto"/>
                <w:sz w:val="24"/>
                <w:vertAlign w:val="subscript"/>
              </w:rPr>
              <w:t>misc</w:t>
            </w:r>
            <w:r>
              <w:rPr>
                <w:rFonts w:ascii="Times New Roman" w:hAnsi="Times New Roman" w:cs="Times New Roman"/>
                <w:color w:val="auto"/>
                <w:sz w:val="24"/>
              </w:rPr>
              <w:t>——其他多方面效应引起的衰减，dB。</w:t>
            </w:r>
          </w:p>
          <w:p w14:paraId="40C8FDF5">
            <w:pPr>
              <w:tabs>
                <w:tab w:val="left" w:pos="900"/>
              </w:tabs>
              <w:spacing w:line="360" w:lineRule="auto"/>
              <w:ind w:firstLine="482"/>
              <w:rPr>
                <w:rFonts w:ascii="Times New Roman" w:hAnsi="Times New Roman" w:cs="Times New Roman"/>
                <w:color w:val="auto"/>
                <w:sz w:val="24"/>
              </w:rPr>
            </w:pPr>
            <w:r>
              <w:rPr>
                <w:rFonts w:ascii="Times New Roman" w:hAnsi="Times New Roman" w:cs="Times New Roman"/>
                <w:color w:val="auto"/>
                <w:sz w:val="24"/>
              </w:rPr>
              <w:t>②室内声源等效室外声源声功率级计算方法</w:t>
            </w:r>
          </w:p>
          <w:p w14:paraId="61EAF949">
            <w:pPr>
              <w:tabs>
                <w:tab w:val="left" w:pos="900"/>
              </w:tabs>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声源位于室内，室内声源可采用等效室外声源声功率级法进行计算。设靠近开口处（或窗户）室内、室外某倍频带的声压级或A声级分别为L</w:t>
            </w:r>
            <w:r>
              <w:rPr>
                <w:rFonts w:ascii="Times New Roman" w:hAnsi="Times New Roman" w:cs="Times New Roman"/>
                <w:color w:val="auto"/>
                <w:sz w:val="24"/>
                <w:vertAlign w:val="subscript"/>
              </w:rPr>
              <w:t>p1</w:t>
            </w:r>
            <w:r>
              <w:rPr>
                <w:rFonts w:ascii="Times New Roman" w:hAnsi="Times New Roman" w:cs="Times New Roman"/>
                <w:color w:val="auto"/>
                <w:sz w:val="24"/>
              </w:rPr>
              <w:t>和L</w:t>
            </w:r>
            <w:r>
              <w:rPr>
                <w:rFonts w:ascii="Times New Roman" w:hAnsi="Times New Roman" w:cs="Times New Roman"/>
                <w:color w:val="auto"/>
                <w:sz w:val="24"/>
                <w:vertAlign w:val="subscript"/>
              </w:rPr>
              <w:t>p2</w:t>
            </w:r>
            <w:r>
              <w:rPr>
                <w:rFonts w:ascii="Times New Roman" w:hAnsi="Times New Roman" w:cs="Times New Roman"/>
                <w:color w:val="auto"/>
                <w:sz w:val="24"/>
              </w:rPr>
              <w:t>。若声源所在室内声场为近似扩散声场，则室外的倍频带声压级可按</w:t>
            </w:r>
            <w:r>
              <w:rPr>
                <w:rFonts w:hint="eastAsia" w:ascii="Times New Roman" w:hAnsi="Times New Roman" w:cs="Times New Roman"/>
                <w:color w:val="auto"/>
                <w:sz w:val="24"/>
              </w:rPr>
              <w:t>下式</w:t>
            </w:r>
            <w:r>
              <w:rPr>
                <w:rFonts w:ascii="Times New Roman" w:hAnsi="Times New Roman" w:cs="Times New Roman"/>
                <w:color w:val="auto"/>
                <w:sz w:val="24"/>
              </w:rPr>
              <w:t>近似求出：</w:t>
            </w:r>
          </w:p>
          <w:p w14:paraId="3FD95682">
            <w:pPr>
              <w:tabs>
                <w:tab w:val="left" w:pos="900"/>
              </w:tabs>
              <w:spacing w:line="360" w:lineRule="auto"/>
              <w:jc w:val="center"/>
              <w:rPr>
                <w:rFonts w:ascii="Times New Roman" w:hAnsi="Times New Roman" w:cs="Times New Roman"/>
                <w:color w:val="auto"/>
                <w:sz w:val="24"/>
              </w:rPr>
            </w:pPr>
            <w:r>
              <w:rPr>
                <w:color w:val="auto"/>
              </w:rPr>
              <w:drawing>
                <wp:inline distT="0" distB="0" distL="114300" distR="114300">
                  <wp:extent cx="2038350" cy="257175"/>
                  <wp:effectExtent l="0" t="0" r="0" b="9525"/>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25"/>
                          <a:stretch>
                            <a:fillRect/>
                          </a:stretch>
                        </pic:blipFill>
                        <pic:spPr>
                          <a:xfrm>
                            <a:off x="0" y="0"/>
                            <a:ext cx="2038350" cy="257175"/>
                          </a:xfrm>
                          <a:prstGeom prst="rect">
                            <a:avLst/>
                          </a:prstGeom>
                          <a:noFill/>
                          <a:ln>
                            <a:noFill/>
                          </a:ln>
                        </pic:spPr>
                      </pic:pic>
                    </a:graphicData>
                  </a:graphic>
                </wp:inline>
              </w:drawing>
            </w:r>
          </w:p>
          <w:p w14:paraId="0407FF4B">
            <w:pPr>
              <w:pStyle w:val="17"/>
              <w:spacing w:line="360" w:lineRule="auto"/>
              <w:ind w:firstLine="482"/>
              <w:rPr>
                <w:rFonts w:ascii="Times New Roman" w:hAnsi="Times New Roman" w:cs="Times New Roman"/>
                <w:color w:val="auto"/>
                <w:sz w:val="24"/>
              </w:rPr>
            </w:pPr>
            <w:r>
              <w:rPr>
                <w:rFonts w:ascii="Times New Roman" w:hAnsi="Times New Roman" w:cs="Times New Roman"/>
                <w:color w:val="auto"/>
                <w:sz w:val="24"/>
              </w:rPr>
              <w:t>式中：L</w:t>
            </w:r>
            <w:r>
              <w:rPr>
                <w:rFonts w:ascii="Times New Roman" w:hAnsi="Times New Roman" w:cs="Times New Roman"/>
                <w:color w:val="auto"/>
                <w:sz w:val="24"/>
                <w:vertAlign w:val="subscript"/>
              </w:rPr>
              <w:t>p1</w:t>
            </w:r>
            <w:r>
              <w:rPr>
                <w:rFonts w:ascii="Times New Roman" w:hAnsi="Times New Roman" w:cs="Times New Roman"/>
                <w:color w:val="auto"/>
                <w:sz w:val="24"/>
              </w:rPr>
              <w:t>——靠近开口处（或窗户）室内某倍频带的声压级或A声级，dB；</w:t>
            </w:r>
          </w:p>
          <w:p w14:paraId="0824BFA6">
            <w:pPr>
              <w:pStyle w:val="17"/>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L</w:t>
            </w:r>
            <w:r>
              <w:rPr>
                <w:rFonts w:ascii="Times New Roman" w:hAnsi="Times New Roman" w:cs="Times New Roman"/>
                <w:color w:val="auto"/>
                <w:sz w:val="24"/>
                <w:vertAlign w:val="subscript"/>
              </w:rPr>
              <w:t>p2</w:t>
            </w:r>
            <w:r>
              <w:rPr>
                <w:rFonts w:ascii="Times New Roman" w:hAnsi="Times New Roman" w:cs="Times New Roman"/>
                <w:color w:val="auto"/>
                <w:sz w:val="24"/>
              </w:rPr>
              <w:t>——靠近开口处（或窗户）室外某倍频带的声压级或A声级，dB；</w:t>
            </w:r>
          </w:p>
          <w:p w14:paraId="1ECCD7E1">
            <w:pPr>
              <w:pStyle w:val="17"/>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TL——隔墙（或窗户）倍频带或A声级的隔声量，dB。</w:t>
            </w:r>
          </w:p>
          <w:p w14:paraId="63E9D0F3">
            <w:pPr>
              <w:pStyle w:val="17"/>
              <w:spacing w:line="360" w:lineRule="auto"/>
              <w:jc w:val="center"/>
              <w:rPr>
                <w:color w:val="auto"/>
              </w:rPr>
            </w:pPr>
            <w:r>
              <w:rPr>
                <w:color w:val="auto"/>
              </w:rPr>
              <w:drawing>
                <wp:inline distT="0" distB="0" distL="114300" distR="114300">
                  <wp:extent cx="3076575" cy="1457325"/>
                  <wp:effectExtent l="0" t="0" r="9525" b="952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26"/>
                          <a:stretch>
                            <a:fillRect/>
                          </a:stretch>
                        </pic:blipFill>
                        <pic:spPr>
                          <a:xfrm>
                            <a:off x="0" y="0"/>
                            <a:ext cx="3076575" cy="1457325"/>
                          </a:xfrm>
                          <a:prstGeom prst="rect">
                            <a:avLst/>
                          </a:prstGeom>
                          <a:noFill/>
                          <a:ln>
                            <a:noFill/>
                          </a:ln>
                        </pic:spPr>
                      </pic:pic>
                    </a:graphicData>
                  </a:graphic>
                </wp:inline>
              </w:drawing>
            </w:r>
          </w:p>
          <w:p w14:paraId="026842B7">
            <w:pPr>
              <w:pStyle w:val="17"/>
              <w:spacing w:line="360" w:lineRule="auto"/>
              <w:jc w:val="center"/>
              <w:rPr>
                <w:rFonts w:ascii="Times New Roman" w:hAnsi="Times New Roman" w:cs="Times New Roman"/>
                <w:b/>
                <w:bCs/>
                <w:color w:val="auto"/>
                <w:sz w:val="24"/>
              </w:rPr>
            </w:pPr>
            <w:r>
              <w:rPr>
                <w:rFonts w:ascii="Times New Roman" w:hAnsi="Times New Roman" w:cs="Times New Roman"/>
                <w:b/>
                <w:bCs/>
                <w:color w:val="auto"/>
                <w:sz w:val="24"/>
              </w:rPr>
              <w:t>图4.</w:t>
            </w:r>
            <w:r>
              <w:rPr>
                <w:rFonts w:hint="eastAsia" w:ascii="Times New Roman" w:hAnsi="Times New Roman" w:cs="Times New Roman"/>
                <w:b/>
                <w:bCs/>
                <w:color w:val="auto"/>
                <w:sz w:val="24"/>
                <w:lang w:val="en-US" w:eastAsia="zh-CN"/>
              </w:rPr>
              <w:t>6</w:t>
            </w:r>
            <w:r>
              <w:rPr>
                <w:rFonts w:ascii="Times New Roman" w:hAnsi="Times New Roman" w:cs="Times New Roman"/>
                <w:b/>
                <w:bCs/>
                <w:color w:val="auto"/>
                <w:sz w:val="24"/>
              </w:rPr>
              <w:t xml:space="preserve">  室内声源等效为室外声源图例</w:t>
            </w:r>
          </w:p>
          <w:p w14:paraId="17C2FBFF">
            <w:pPr>
              <w:pStyle w:val="17"/>
              <w:spacing w:line="360" w:lineRule="auto"/>
              <w:ind w:firstLine="482"/>
              <w:rPr>
                <w:rFonts w:ascii="Times New Roman" w:hAnsi="Times New Roman" w:cs="Times New Roman"/>
                <w:color w:val="auto"/>
                <w:sz w:val="24"/>
              </w:rPr>
            </w:pPr>
            <w:r>
              <w:rPr>
                <w:rFonts w:hint="eastAsia" w:ascii="Times New Roman" w:hAnsi="Times New Roman" w:cs="Times New Roman"/>
                <w:color w:val="auto"/>
                <w:sz w:val="24"/>
              </w:rPr>
              <w:t>也可</w:t>
            </w:r>
            <w:r>
              <w:rPr>
                <w:rFonts w:ascii="Times New Roman" w:hAnsi="Times New Roman" w:cs="Times New Roman"/>
                <w:color w:val="auto"/>
                <w:sz w:val="24"/>
              </w:rPr>
              <w:t>按下式计算某一室内声源靠近围护结构处产生的倍频带声压级：</w:t>
            </w:r>
          </w:p>
          <w:p w14:paraId="6D66F54F">
            <w:pPr>
              <w:tabs>
                <w:tab w:val="left" w:pos="900"/>
              </w:tabs>
              <w:spacing w:line="360" w:lineRule="auto"/>
              <w:ind w:firstLine="420" w:firstLineChars="200"/>
              <w:jc w:val="center"/>
              <w:rPr>
                <w:rFonts w:ascii="Times New Roman" w:hAnsi="Times New Roman" w:cs="Times New Roman"/>
                <w:color w:val="auto"/>
                <w:sz w:val="24"/>
              </w:rPr>
            </w:pPr>
            <w:r>
              <w:rPr>
                <w:color w:val="auto"/>
              </w:rPr>
              <w:drawing>
                <wp:inline distT="0" distB="0" distL="114300" distR="114300">
                  <wp:extent cx="2428875" cy="504825"/>
                  <wp:effectExtent l="0" t="0" r="9525" b="952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27"/>
                          <a:stretch>
                            <a:fillRect/>
                          </a:stretch>
                        </pic:blipFill>
                        <pic:spPr>
                          <a:xfrm>
                            <a:off x="0" y="0"/>
                            <a:ext cx="2428875" cy="504825"/>
                          </a:xfrm>
                          <a:prstGeom prst="rect">
                            <a:avLst/>
                          </a:prstGeom>
                          <a:noFill/>
                          <a:ln>
                            <a:noFill/>
                          </a:ln>
                        </pic:spPr>
                      </pic:pic>
                    </a:graphicData>
                  </a:graphic>
                </wp:inline>
              </w:drawing>
            </w:r>
          </w:p>
          <w:p w14:paraId="35421947">
            <w:pPr>
              <w:tabs>
                <w:tab w:val="left" w:pos="900"/>
              </w:tabs>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式中：L</w:t>
            </w:r>
            <w:r>
              <w:rPr>
                <w:rFonts w:ascii="Times New Roman" w:hAnsi="Times New Roman" w:cs="Times New Roman"/>
                <w:color w:val="auto"/>
                <w:sz w:val="24"/>
                <w:vertAlign w:val="subscript"/>
              </w:rPr>
              <w:t>p1</w:t>
            </w:r>
            <w:r>
              <w:rPr>
                <w:rFonts w:ascii="Times New Roman" w:hAnsi="Times New Roman" w:cs="Times New Roman"/>
                <w:color w:val="auto"/>
                <w:sz w:val="24"/>
              </w:rPr>
              <w:t>——靠近开口处（或窗户）室内某倍频带的声压级或A声级，dB；</w:t>
            </w:r>
          </w:p>
          <w:p w14:paraId="399B7A55">
            <w:pPr>
              <w:tabs>
                <w:tab w:val="left" w:pos="900"/>
              </w:tabs>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L</w:t>
            </w:r>
            <w:r>
              <w:rPr>
                <w:rFonts w:ascii="Times New Roman" w:hAnsi="Times New Roman" w:cs="Times New Roman"/>
                <w:color w:val="auto"/>
                <w:sz w:val="24"/>
                <w:vertAlign w:val="subscript"/>
              </w:rPr>
              <w:t>w</w:t>
            </w:r>
            <w:r>
              <w:rPr>
                <w:rFonts w:ascii="Times New Roman" w:hAnsi="Times New Roman" w:cs="Times New Roman"/>
                <w:color w:val="auto"/>
                <w:sz w:val="24"/>
              </w:rPr>
              <w:t xml:space="preserve"> ——点声源声功率级（A计权或倍频带），dB；</w:t>
            </w:r>
          </w:p>
          <w:p w14:paraId="35700F1A">
            <w:pPr>
              <w:tabs>
                <w:tab w:val="left" w:pos="900"/>
              </w:tabs>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Q——指向性因数；通常对无指向性声源，当声源放在房间中心时，Q=1；当放在一面墙的中心时，Q=2；当放在两面墙夹角处时，Q=4；当放在三面墙夹角处时，Q=8；</w:t>
            </w:r>
          </w:p>
          <w:p w14:paraId="3363E52F">
            <w:pPr>
              <w:tabs>
                <w:tab w:val="left" w:pos="900"/>
              </w:tabs>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R——房间常数；RS /</w:t>
            </w:r>
            <w:r>
              <w:rPr>
                <w:rFonts w:hint="eastAsia" w:ascii="Times New Roman" w:hAnsi="Times New Roman" w:cs="Times New Roman"/>
                <w:color w:val="auto"/>
                <w:sz w:val="24"/>
              </w:rPr>
              <w:t>（1-</w:t>
            </w:r>
            <w:r>
              <w:rPr>
                <w:rFonts w:ascii="Times New Roman" w:hAnsi="Times New Roman" w:cs="Times New Roman"/>
                <w:color w:val="auto"/>
                <w:sz w:val="24"/>
              </w:rPr>
              <w:t>α</w:t>
            </w:r>
            <w:r>
              <w:rPr>
                <w:rFonts w:hint="eastAsia" w:ascii="Times New Roman" w:hAnsi="Times New Roman" w:cs="Times New Roman"/>
                <w:color w:val="auto"/>
                <w:sz w:val="24"/>
              </w:rPr>
              <w:t>）</w:t>
            </w:r>
            <w:r>
              <w:rPr>
                <w:rFonts w:ascii="Times New Roman" w:hAnsi="Times New Roman" w:cs="Times New Roman"/>
                <w:color w:val="auto"/>
                <w:sz w:val="24"/>
              </w:rPr>
              <w:t>1，S为房间内表面面积，m</w:t>
            </w:r>
            <w:r>
              <w:rPr>
                <w:rFonts w:ascii="Times New Roman" w:hAnsi="Times New Roman" w:cs="Times New Roman"/>
                <w:color w:val="auto"/>
                <w:sz w:val="24"/>
                <w:vertAlign w:val="superscript"/>
              </w:rPr>
              <w:t>2</w:t>
            </w:r>
            <w:r>
              <w:rPr>
                <w:rFonts w:ascii="Times New Roman" w:hAnsi="Times New Roman" w:cs="Times New Roman"/>
                <w:color w:val="auto"/>
                <w:sz w:val="24"/>
              </w:rPr>
              <w:t>；α为平均吸声系数；</w:t>
            </w:r>
          </w:p>
          <w:p w14:paraId="5BA1E75C">
            <w:pPr>
              <w:tabs>
                <w:tab w:val="left" w:pos="900"/>
              </w:tabs>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r——声源到靠近围护结构某点处的距离，m。</w:t>
            </w:r>
          </w:p>
          <w:p w14:paraId="6650D676">
            <w:pPr>
              <w:pStyle w:val="17"/>
              <w:spacing w:line="360" w:lineRule="auto"/>
              <w:ind w:firstLine="482"/>
              <w:rPr>
                <w:rFonts w:ascii="Times New Roman" w:hAnsi="Times New Roman" w:cs="Times New Roman"/>
                <w:color w:val="auto"/>
                <w:sz w:val="24"/>
              </w:rPr>
            </w:pPr>
            <w:r>
              <w:rPr>
                <w:rFonts w:ascii="Times New Roman" w:hAnsi="Times New Roman" w:cs="Times New Roman"/>
                <w:color w:val="auto"/>
                <w:sz w:val="24"/>
              </w:rPr>
              <w:t>然后按下式计算出所有室内声源在围护结构处产生的i倍频带叠加声压级。</w:t>
            </w:r>
          </w:p>
          <w:p w14:paraId="687329DC">
            <w:pPr>
              <w:spacing w:line="360" w:lineRule="auto"/>
              <w:jc w:val="center"/>
              <w:rPr>
                <w:rFonts w:ascii="Times New Roman" w:hAnsi="Times New Roman" w:cs="Times New Roman"/>
                <w:color w:val="auto"/>
                <w:sz w:val="24"/>
              </w:rPr>
            </w:pPr>
            <w:r>
              <w:rPr>
                <w:color w:val="auto"/>
              </w:rPr>
              <w:drawing>
                <wp:inline distT="0" distB="0" distL="114300" distR="114300">
                  <wp:extent cx="2381250" cy="581025"/>
                  <wp:effectExtent l="0" t="0" r="0" b="952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28"/>
                          <a:stretch>
                            <a:fillRect/>
                          </a:stretch>
                        </pic:blipFill>
                        <pic:spPr>
                          <a:xfrm>
                            <a:off x="0" y="0"/>
                            <a:ext cx="2381250" cy="581025"/>
                          </a:xfrm>
                          <a:prstGeom prst="rect">
                            <a:avLst/>
                          </a:prstGeom>
                          <a:noFill/>
                          <a:ln>
                            <a:noFill/>
                          </a:ln>
                        </pic:spPr>
                      </pic:pic>
                    </a:graphicData>
                  </a:graphic>
                </wp:inline>
              </w:drawing>
            </w:r>
          </w:p>
          <w:p w14:paraId="1DFDD9D8">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式中：L</w:t>
            </w:r>
            <w:r>
              <w:rPr>
                <w:rFonts w:hint="eastAsia" w:ascii="Times New Roman" w:hAnsi="Times New Roman" w:cs="Times New Roman"/>
                <w:color w:val="auto"/>
                <w:sz w:val="24"/>
                <w:vertAlign w:val="subscript"/>
              </w:rPr>
              <w:t>pli</w:t>
            </w:r>
            <w:r>
              <w:rPr>
                <w:rFonts w:hint="eastAsia" w:ascii="Times New Roman" w:hAnsi="Times New Roman" w:cs="Times New Roman"/>
                <w:color w:val="auto"/>
                <w:sz w:val="24"/>
              </w:rPr>
              <w:t>（T）</w:t>
            </w:r>
            <w:r>
              <w:rPr>
                <w:rFonts w:ascii="Times New Roman" w:hAnsi="Times New Roman" w:cs="Times New Roman"/>
                <w:color w:val="auto"/>
                <w:sz w:val="24"/>
              </w:rPr>
              <w:t>——靠近围护结构处室内N个声源i倍频带的叠加声压级，dB；</w:t>
            </w:r>
          </w:p>
          <w:p w14:paraId="1341484D">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L</w:t>
            </w:r>
            <w:r>
              <w:rPr>
                <w:rFonts w:ascii="Times New Roman" w:hAnsi="Times New Roman" w:cs="Times New Roman"/>
                <w:color w:val="auto"/>
                <w:sz w:val="24"/>
                <w:vertAlign w:val="subscript"/>
              </w:rPr>
              <w:t>p</w:t>
            </w:r>
            <w:r>
              <w:rPr>
                <w:rFonts w:hint="eastAsia" w:ascii="Times New Roman" w:hAnsi="Times New Roman" w:cs="Times New Roman"/>
                <w:color w:val="auto"/>
                <w:sz w:val="24"/>
                <w:vertAlign w:val="subscript"/>
              </w:rPr>
              <w:t>l</w:t>
            </w:r>
            <w:r>
              <w:rPr>
                <w:rFonts w:ascii="Times New Roman" w:hAnsi="Times New Roman" w:cs="Times New Roman"/>
                <w:color w:val="auto"/>
                <w:sz w:val="24"/>
                <w:vertAlign w:val="subscript"/>
              </w:rPr>
              <w:t xml:space="preserve">i </w:t>
            </w:r>
            <w:r>
              <w:rPr>
                <w:rFonts w:ascii="Times New Roman" w:hAnsi="Times New Roman" w:cs="Times New Roman"/>
                <w:color w:val="auto"/>
                <w:sz w:val="24"/>
              </w:rPr>
              <w:t>——室内j声源i倍频带的声压级，dB；</w:t>
            </w:r>
          </w:p>
          <w:p w14:paraId="2270F859">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N——室内声源总数。</w:t>
            </w:r>
          </w:p>
          <w:p w14:paraId="5FE48A5E">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在室内近似为扩散声场时，按</w:t>
            </w:r>
            <w:r>
              <w:rPr>
                <w:rFonts w:hint="eastAsia" w:ascii="Times New Roman" w:hAnsi="Times New Roman" w:cs="Times New Roman"/>
                <w:color w:val="auto"/>
                <w:sz w:val="24"/>
              </w:rPr>
              <w:t>下式</w:t>
            </w:r>
            <w:r>
              <w:rPr>
                <w:rFonts w:ascii="Times New Roman" w:hAnsi="Times New Roman" w:cs="Times New Roman"/>
                <w:color w:val="auto"/>
                <w:sz w:val="24"/>
              </w:rPr>
              <w:t>计算出靠近室外围护结构处的声压级：</w:t>
            </w:r>
          </w:p>
          <w:p w14:paraId="346E9514">
            <w:pPr>
              <w:spacing w:line="360" w:lineRule="auto"/>
              <w:jc w:val="center"/>
              <w:rPr>
                <w:rFonts w:ascii="Times New Roman" w:hAnsi="Times New Roman" w:cs="Times New Roman"/>
                <w:color w:val="auto"/>
                <w:sz w:val="24"/>
              </w:rPr>
            </w:pPr>
            <w:r>
              <w:rPr>
                <w:color w:val="auto"/>
              </w:rPr>
              <w:drawing>
                <wp:inline distT="0" distB="0" distL="114300" distR="114300">
                  <wp:extent cx="2324100" cy="276225"/>
                  <wp:effectExtent l="0" t="0" r="0" b="952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29"/>
                          <a:stretch>
                            <a:fillRect/>
                          </a:stretch>
                        </pic:blipFill>
                        <pic:spPr>
                          <a:xfrm>
                            <a:off x="0" y="0"/>
                            <a:ext cx="2324100" cy="276225"/>
                          </a:xfrm>
                          <a:prstGeom prst="rect">
                            <a:avLst/>
                          </a:prstGeom>
                          <a:noFill/>
                          <a:ln>
                            <a:noFill/>
                          </a:ln>
                        </pic:spPr>
                      </pic:pic>
                    </a:graphicData>
                  </a:graphic>
                </wp:inline>
              </w:drawing>
            </w:r>
          </w:p>
          <w:p w14:paraId="7F669B04">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式中：L</w:t>
            </w:r>
            <w:r>
              <w:rPr>
                <w:rFonts w:hint="eastAsia" w:ascii="Times New Roman" w:hAnsi="Times New Roman" w:cs="Times New Roman"/>
                <w:color w:val="auto"/>
                <w:sz w:val="24"/>
                <w:vertAlign w:val="subscript"/>
              </w:rPr>
              <w:t>p2i</w:t>
            </w:r>
            <w:r>
              <w:rPr>
                <w:rFonts w:hint="eastAsia" w:ascii="Times New Roman" w:hAnsi="Times New Roman" w:cs="Times New Roman"/>
                <w:color w:val="auto"/>
                <w:sz w:val="24"/>
              </w:rPr>
              <w:t>（T）</w:t>
            </w:r>
            <w:r>
              <w:rPr>
                <w:rFonts w:ascii="Times New Roman" w:hAnsi="Times New Roman" w:cs="Times New Roman"/>
                <w:color w:val="auto"/>
                <w:sz w:val="24"/>
              </w:rPr>
              <w:t>——靠近围护结构处室外N个声源i倍频带的叠加声压级，dB；</w:t>
            </w:r>
          </w:p>
          <w:p w14:paraId="64891A82">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L</w:t>
            </w:r>
            <w:r>
              <w:rPr>
                <w:rFonts w:hint="eastAsia" w:ascii="Times New Roman" w:hAnsi="Times New Roman" w:cs="Times New Roman"/>
                <w:color w:val="auto"/>
                <w:sz w:val="24"/>
                <w:vertAlign w:val="subscript"/>
              </w:rPr>
              <w:t>pli</w:t>
            </w:r>
            <w:r>
              <w:rPr>
                <w:rFonts w:hint="eastAsia" w:ascii="Times New Roman" w:hAnsi="Times New Roman" w:cs="Times New Roman"/>
                <w:color w:val="auto"/>
                <w:sz w:val="24"/>
              </w:rPr>
              <w:t>（T）</w:t>
            </w:r>
            <w:r>
              <w:rPr>
                <w:rFonts w:ascii="Times New Roman" w:hAnsi="Times New Roman" w:cs="Times New Roman"/>
                <w:color w:val="auto"/>
                <w:sz w:val="24"/>
              </w:rPr>
              <w:t>——靠近围护结构处室内N个声源i倍频带的叠加声压级，dB；</w:t>
            </w:r>
          </w:p>
          <w:p w14:paraId="06674834">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TL</w:t>
            </w:r>
            <w:r>
              <w:rPr>
                <w:rFonts w:ascii="Times New Roman" w:hAnsi="Times New Roman" w:cs="Times New Roman"/>
                <w:color w:val="auto"/>
                <w:sz w:val="24"/>
                <w:vertAlign w:val="subscript"/>
              </w:rPr>
              <w:t>i</w:t>
            </w:r>
            <w:r>
              <w:rPr>
                <w:rFonts w:ascii="Times New Roman" w:hAnsi="Times New Roman" w:cs="Times New Roman"/>
                <w:color w:val="auto"/>
                <w:sz w:val="24"/>
              </w:rPr>
              <w:t xml:space="preserve"> ——围护结构i倍频带的隔声量，dB。</w:t>
            </w:r>
          </w:p>
          <w:p w14:paraId="0CE94677">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③噪声贡献值计算</w:t>
            </w:r>
          </w:p>
          <w:p w14:paraId="5561A602">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设第i个室外声源在预测点产生的A声级为L</w:t>
            </w:r>
            <w:r>
              <w:rPr>
                <w:rFonts w:ascii="Times New Roman" w:hAnsi="Times New Roman" w:cs="Times New Roman"/>
                <w:color w:val="auto"/>
                <w:sz w:val="24"/>
                <w:vertAlign w:val="subscript"/>
              </w:rPr>
              <w:t>Ai</w:t>
            </w:r>
            <w:r>
              <w:rPr>
                <w:rFonts w:ascii="Times New Roman" w:hAnsi="Times New Roman" w:cs="Times New Roman"/>
                <w:color w:val="auto"/>
                <w:sz w:val="24"/>
              </w:rPr>
              <w:t>，在T时间内该声源工作时间为</w:t>
            </w:r>
            <w:r>
              <w:rPr>
                <w:rFonts w:hint="eastAsia" w:ascii="Times New Roman" w:hAnsi="Times New Roman" w:cs="Times New Roman"/>
                <w:color w:val="auto"/>
                <w:sz w:val="24"/>
              </w:rPr>
              <w:t>t</w:t>
            </w:r>
            <w:r>
              <w:rPr>
                <w:rFonts w:hint="eastAsia" w:ascii="Times New Roman" w:hAnsi="Times New Roman" w:cs="Times New Roman"/>
                <w:color w:val="auto"/>
                <w:sz w:val="24"/>
                <w:vertAlign w:val="subscript"/>
              </w:rPr>
              <w:t>i</w:t>
            </w:r>
            <w:r>
              <w:rPr>
                <w:rFonts w:ascii="Times New Roman" w:hAnsi="Times New Roman" w:cs="Times New Roman"/>
                <w:color w:val="auto"/>
                <w:sz w:val="24"/>
              </w:rPr>
              <w:t>；第j个等效室外声源在预测点产生的A声级为L</w:t>
            </w:r>
            <w:r>
              <w:rPr>
                <w:rFonts w:ascii="Times New Roman" w:hAnsi="Times New Roman" w:cs="Times New Roman"/>
                <w:color w:val="auto"/>
                <w:sz w:val="24"/>
                <w:vertAlign w:val="subscript"/>
              </w:rPr>
              <w:t>Aj</w:t>
            </w:r>
            <w:r>
              <w:rPr>
                <w:rFonts w:ascii="Times New Roman" w:hAnsi="Times New Roman" w:cs="Times New Roman"/>
                <w:color w:val="auto"/>
                <w:sz w:val="24"/>
              </w:rPr>
              <w:t>，在T时间内该声源工作时间为t</w:t>
            </w:r>
            <w:r>
              <w:rPr>
                <w:rFonts w:hint="eastAsia" w:ascii="Times New Roman" w:hAnsi="Times New Roman" w:cs="Times New Roman"/>
                <w:color w:val="auto"/>
                <w:sz w:val="24"/>
                <w:vertAlign w:val="subscript"/>
              </w:rPr>
              <w:t>j</w:t>
            </w:r>
            <w:r>
              <w:rPr>
                <w:rFonts w:ascii="Times New Roman" w:hAnsi="Times New Roman" w:cs="Times New Roman"/>
                <w:color w:val="auto"/>
                <w:sz w:val="24"/>
              </w:rPr>
              <w:t>，则拟建工程声源对预测点产生的贡献值（Leqg）为：</w:t>
            </w:r>
          </w:p>
          <w:p w14:paraId="70D5BEB1">
            <w:pPr>
              <w:spacing w:line="360" w:lineRule="auto"/>
              <w:jc w:val="center"/>
              <w:rPr>
                <w:rFonts w:ascii="Times New Roman" w:hAnsi="Times New Roman" w:cs="Times New Roman"/>
                <w:color w:val="auto"/>
                <w:sz w:val="24"/>
              </w:rPr>
            </w:pPr>
            <w:r>
              <w:rPr>
                <w:color w:val="auto"/>
              </w:rPr>
              <w:drawing>
                <wp:inline distT="0" distB="0" distL="114300" distR="114300">
                  <wp:extent cx="3400425" cy="647700"/>
                  <wp:effectExtent l="0" t="0" r="9525" b="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30"/>
                          <a:stretch>
                            <a:fillRect/>
                          </a:stretch>
                        </pic:blipFill>
                        <pic:spPr>
                          <a:xfrm>
                            <a:off x="0" y="0"/>
                            <a:ext cx="3400425" cy="647700"/>
                          </a:xfrm>
                          <a:prstGeom prst="rect">
                            <a:avLst/>
                          </a:prstGeom>
                          <a:noFill/>
                          <a:ln>
                            <a:noFill/>
                          </a:ln>
                        </pic:spPr>
                      </pic:pic>
                    </a:graphicData>
                  </a:graphic>
                </wp:inline>
              </w:drawing>
            </w:r>
          </w:p>
          <w:p w14:paraId="76DDAD47">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式中：L</w:t>
            </w:r>
            <w:r>
              <w:rPr>
                <w:rFonts w:ascii="Times New Roman" w:hAnsi="Times New Roman" w:cs="Times New Roman"/>
                <w:color w:val="auto"/>
                <w:sz w:val="24"/>
                <w:vertAlign w:val="subscript"/>
              </w:rPr>
              <w:t>eqg</w:t>
            </w:r>
            <w:r>
              <w:rPr>
                <w:rFonts w:ascii="Times New Roman" w:hAnsi="Times New Roman" w:cs="Times New Roman"/>
                <w:color w:val="auto"/>
                <w:sz w:val="24"/>
              </w:rPr>
              <w:t>——建设项目声源在预测点产生的噪声贡献值，dB；</w:t>
            </w:r>
          </w:p>
          <w:p w14:paraId="7F451473">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T——用于计算等效声级的时间，s；</w:t>
            </w:r>
          </w:p>
          <w:p w14:paraId="63BA119F">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N——室外声源个数；</w:t>
            </w:r>
          </w:p>
          <w:p w14:paraId="7226A30B">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t</w:t>
            </w:r>
            <w:r>
              <w:rPr>
                <w:rFonts w:hint="eastAsia" w:ascii="Times New Roman" w:hAnsi="Times New Roman" w:cs="Times New Roman"/>
                <w:color w:val="auto"/>
                <w:sz w:val="24"/>
                <w:vertAlign w:val="subscript"/>
              </w:rPr>
              <w:t>i</w:t>
            </w:r>
            <w:r>
              <w:rPr>
                <w:rFonts w:ascii="Times New Roman" w:hAnsi="Times New Roman" w:cs="Times New Roman"/>
                <w:color w:val="auto"/>
                <w:sz w:val="24"/>
              </w:rPr>
              <w:t>——在T时间内i声源工作时间，s；</w:t>
            </w:r>
          </w:p>
          <w:p w14:paraId="1951D38E">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M ——等效室外声源个数；</w:t>
            </w:r>
          </w:p>
          <w:p w14:paraId="27DD83AD">
            <w:pPr>
              <w:spacing w:line="360" w:lineRule="auto"/>
              <w:ind w:firstLine="1200" w:firstLineChars="500"/>
              <w:rPr>
                <w:rFonts w:ascii="Times New Roman" w:hAnsi="Times New Roman" w:cs="Times New Roman"/>
                <w:color w:val="auto"/>
                <w:sz w:val="24"/>
              </w:rPr>
            </w:pPr>
            <w:r>
              <w:rPr>
                <w:rFonts w:ascii="Times New Roman" w:hAnsi="Times New Roman" w:cs="Times New Roman"/>
                <w:color w:val="auto"/>
                <w:sz w:val="24"/>
              </w:rPr>
              <w:t>t</w:t>
            </w:r>
            <w:r>
              <w:rPr>
                <w:rFonts w:hint="eastAsia" w:ascii="Times New Roman" w:hAnsi="Times New Roman" w:cs="Times New Roman"/>
                <w:color w:val="auto"/>
                <w:sz w:val="24"/>
                <w:vertAlign w:val="subscript"/>
              </w:rPr>
              <w:t>j</w:t>
            </w:r>
            <w:r>
              <w:rPr>
                <w:rFonts w:ascii="Times New Roman" w:hAnsi="Times New Roman" w:cs="Times New Roman"/>
                <w:color w:val="auto"/>
                <w:sz w:val="24"/>
              </w:rPr>
              <w:t>——在T时间内j声源工作时间，s。</w:t>
            </w:r>
          </w:p>
          <w:p w14:paraId="6A813945">
            <w:pPr>
              <w:spacing w:line="360" w:lineRule="auto"/>
              <w:ind w:firstLine="480" w:firstLineChars="200"/>
              <w:rPr>
                <w:rFonts w:ascii="Times New Roman" w:hAnsi="Times New Roman" w:cs="Times New Roman"/>
                <w:color w:val="auto"/>
                <w:sz w:val="24"/>
                <w:lang w:val="zh-CN"/>
              </w:rPr>
            </w:pPr>
            <w:r>
              <w:rPr>
                <w:rFonts w:hint="eastAsia" w:ascii="Times New Roman" w:hAnsi="Times New Roman" w:cs="Times New Roman"/>
                <w:color w:val="auto"/>
                <w:sz w:val="24"/>
              </w:rPr>
              <w:t>（4）</w:t>
            </w:r>
            <w:r>
              <w:rPr>
                <w:rFonts w:hint="eastAsia" w:ascii="Times New Roman" w:hAnsi="Times New Roman" w:cs="Times New Roman"/>
                <w:color w:val="auto"/>
                <w:sz w:val="24"/>
                <w:lang w:val="zh-CN"/>
              </w:rPr>
              <w:t>预测结果评价</w:t>
            </w:r>
          </w:p>
          <w:p w14:paraId="2CBD9E11">
            <w:pPr>
              <w:spacing w:line="360" w:lineRule="auto"/>
              <w:ind w:firstLine="480" w:firstLineChars="200"/>
              <w:rPr>
                <w:rFonts w:ascii="Times New Roman" w:hAnsi="Times New Roman" w:cs="Times New Roman"/>
                <w:color w:val="auto"/>
                <w:sz w:val="24"/>
              </w:rPr>
            </w:pPr>
            <w:r>
              <w:rPr>
                <w:rFonts w:ascii="Times New Roman" w:hAnsi="Times New Roman"/>
                <w:color w:val="auto"/>
                <w:sz w:val="24"/>
              </w:rPr>
              <w:t>根据《环境影响评价技术导则</w:t>
            </w:r>
            <w:r>
              <w:rPr>
                <w:rFonts w:hint="eastAsia" w:ascii="Times New Roman" w:hAnsi="Times New Roman"/>
                <w:color w:val="auto"/>
                <w:sz w:val="24"/>
              </w:rPr>
              <w:t>-</w:t>
            </w:r>
            <w:r>
              <w:rPr>
                <w:rFonts w:ascii="Times New Roman" w:hAnsi="Times New Roman"/>
                <w:color w:val="auto"/>
                <w:sz w:val="24"/>
              </w:rPr>
              <w:t>声环境》（HJ2.4-20</w:t>
            </w:r>
            <w:r>
              <w:rPr>
                <w:rFonts w:hint="eastAsia" w:ascii="Times New Roman" w:hAnsi="Times New Roman"/>
                <w:color w:val="auto"/>
                <w:sz w:val="24"/>
              </w:rPr>
              <w:t>21</w:t>
            </w:r>
            <w:r>
              <w:rPr>
                <w:rFonts w:ascii="Times New Roman" w:hAnsi="Times New Roman"/>
                <w:color w:val="auto"/>
                <w:sz w:val="24"/>
              </w:rPr>
              <w:t>）</w:t>
            </w:r>
            <w:r>
              <w:rPr>
                <w:rFonts w:hint="eastAsia" w:ascii="Times New Roman" w:hAnsi="Times New Roman"/>
                <w:color w:val="auto"/>
                <w:sz w:val="24"/>
              </w:rPr>
              <w:t>：“8.5预测和评价内容-8.5.1预测建设项目在施工期和运营期所有声环境保护目标处的噪声贡献值和预测值，评价其超标和达标情况。8.5.2预测和评价建设项目在施工期和运营期厂界噪声贡献值，评价其超标和达标情况。”</w:t>
            </w:r>
            <w:r>
              <w:rPr>
                <w:rFonts w:ascii="Times New Roman" w:hAnsi="Times New Roman"/>
                <w:color w:val="auto"/>
                <w:sz w:val="24"/>
              </w:rPr>
              <w:t>具体</w:t>
            </w:r>
            <w:r>
              <w:rPr>
                <w:rFonts w:ascii="Times New Roman" w:hAnsi="Times New Roman" w:cs="Times New Roman"/>
                <w:color w:val="auto"/>
                <w:sz w:val="24"/>
              </w:rPr>
              <w:t>预测结果详见下表4.</w:t>
            </w:r>
            <w:r>
              <w:rPr>
                <w:rFonts w:hint="eastAsia" w:ascii="Times New Roman" w:hAnsi="Times New Roman" w:cs="Times New Roman"/>
                <w:color w:val="auto"/>
                <w:sz w:val="24"/>
                <w:lang w:val="en-US" w:eastAsia="zh-CN"/>
              </w:rPr>
              <w:t>10</w:t>
            </w:r>
            <w:r>
              <w:rPr>
                <w:rFonts w:ascii="Times New Roman" w:hAnsi="Times New Roman" w:cs="Times New Roman"/>
                <w:color w:val="auto"/>
                <w:sz w:val="24"/>
              </w:rPr>
              <w:t>。</w:t>
            </w:r>
          </w:p>
          <w:p w14:paraId="4E80F91A">
            <w:pPr>
              <w:ind w:firstLine="482" w:firstLineChars="200"/>
              <w:jc w:val="center"/>
              <w:rPr>
                <w:rFonts w:hint="eastAsia" w:ascii="Times New Roman" w:hAnsi="Times New Roman" w:cs="Times New Roman" w:eastAsiaTheme="minorEastAsia"/>
                <w:color w:val="auto"/>
                <w:sz w:val="24"/>
                <w:lang w:eastAsia="zh-CN"/>
              </w:rPr>
            </w:pPr>
            <w:r>
              <w:rPr>
                <w:rFonts w:ascii="Times New Roman" w:hAnsi="Times New Roman" w:cs="Times New Roman"/>
                <w:b/>
                <w:bCs/>
                <w:color w:val="auto"/>
                <w:sz w:val="24"/>
              </w:rPr>
              <w:t>表4.</w:t>
            </w:r>
            <w:r>
              <w:rPr>
                <w:rFonts w:hint="eastAsia" w:ascii="Times New Roman" w:hAnsi="Times New Roman" w:cs="Times New Roman"/>
                <w:b/>
                <w:bCs/>
                <w:color w:val="auto"/>
                <w:sz w:val="24"/>
                <w:lang w:val="en-US" w:eastAsia="zh-CN"/>
              </w:rPr>
              <w:t>10</w:t>
            </w:r>
            <w:r>
              <w:rPr>
                <w:rFonts w:ascii="Times New Roman" w:hAnsi="Times New Roman" w:cs="Times New Roman"/>
                <w:b/>
                <w:bCs/>
                <w:color w:val="auto"/>
                <w:sz w:val="24"/>
              </w:rPr>
              <w:t xml:space="preserve">  厂界噪声预测结果一览表</w:t>
            </w:r>
          </w:p>
          <w:tbl>
            <w:tblPr>
              <w:tblStyle w:val="28"/>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909"/>
              <w:gridCol w:w="909"/>
              <w:gridCol w:w="909"/>
              <w:gridCol w:w="910"/>
              <w:gridCol w:w="910"/>
              <w:gridCol w:w="910"/>
              <w:gridCol w:w="910"/>
              <w:gridCol w:w="910"/>
              <w:gridCol w:w="1098"/>
            </w:tblGrid>
            <w:tr w14:paraId="74C32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3" w:type="dxa"/>
                  <w:vMerge w:val="restart"/>
                  <w:vAlign w:val="center"/>
                </w:tcPr>
                <w:p w14:paraId="71028FE7">
                  <w:pPr>
                    <w:jc w:val="center"/>
                    <w:rPr>
                      <w:rFonts w:ascii="Times New Roman" w:hAnsi="Times New Roman" w:cs="Times New Roman"/>
                      <w:color w:val="auto"/>
                      <w:szCs w:val="21"/>
                    </w:rPr>
                  </w:pPr>
                  <w:r>
                    <w:rPr>
                      <w:rFonts w:hint="eastAsia" w:ascii="Times New Roman" w:hAnsi="Times New Roman" w:cs="Times New Roman"/>
                      <w:color w:val="auto"/>
                      <w:szCs w:val="21"/>
                    </w:rPr>
                    <w:t>厂界</w:t>
                  </w:r>
                </w:p>
                <w:p w14:paraId="63EC06CD">
                  <w:pPr>
                    <w:jc w:val="center"/>
                    <w:rPr>
                      <w:rFonts w:ascii="Times New Roman" w:hAnsi="Times New Roman" w:cs="Times New Roman"/>
                      <w:color w:val="auto"/>
                      <w:szCs w:val="21"/>
                    </w:rPr>
                  </w:pPr>
                  <w:r>
                    <w:rPr>
                      <w:rFonts w:hint="eastAsia" w:ascii="Times New Roman" w:hAnsi="Times New Roman" w:cs="Times New Roman"/>
                      <w:color w:val="auto"/>
                      <w:szCs w:val="21"/>
                    </w:rPr>
                    <w:t>及敏感点</w:t>
                  </w:r>
                </w:p>
              </w:tc>
              <w:tc>
                <w:tcPr>
                  <w:tcW w:w="1818" w:type="dxa"/>
                  <w:gridSpan w:val="2"/>
                  <w:vAlign w:val="center"/>
                </w:tcPr>
                <w:p w14:paraId="0FC5B56C">
                  <w:pPr>
                    <w:jc w:val="center"/>
                    <w:rPr>
                      <w:rFonts w:ascii="Times New Roman" w:hAnsi="Times New Roman" w:cs="Times New Roman"/>
                      <w:color w:val="auto"/>
                      <w:szCs w:val="21"/>
                    </w:rPr>
                  </w:pPr>
                  <w:r>
                    <w:rPr>
                      <w:rFonts w:hint="eastAsia" w:ascii="Times New Roman" w:hAnsi="Times New Roman" w:cs="Times New Roman"/>
                      <w:color w:val="auto"/>
                      <w:szCs w:val="21"/>
                    </w:rPr>
                    <w:t>贡献值</w:t>
                  </w:r>
                </w:p>
              </w:tc>
              <w:tc>
                <w:tcPr>
                  <w:tcW w:w="1819" w:type="dxa"/>
                  <w:gridSpan w:val="2"/>
                  <w:vAlign w:val="center"/>
                </w:tcPr>
                <w:p w14:paraId="29C0233F">
                  <w:pPr>
                    <w:jc w:val="center"/>
                    <w:rPr>
                      <w:rFonts w:ascii="Times New Roman" w:hAnsi="Times New Roman" w:cs="Times New Roman"/>
                      <w:color w:val="auto"/>
                      <w:szCs w:val="21"/>
                    </w:rPr>
                  </w:pPr>
                  <w:r>
                    <w:rPr>
                      <w:rFonts w:hint="eastAsia" w:ascii="Times New Roman" w:hAnsi="Times New Roman" w:cs="Times New Roman"/>
                      <w:color w:val="auto"/>
                      <w:szCs w:val="21"/>
                    </w:rPr>
                    <w:t>背景值</w:t>
                  </w:r>
                </w:p>
              </w:tc>
              <w:tc>
                <w:tcPr>
                  <w:tcW w:w="1820" w:type="dxa"/>
                  <w:gridSpan w:val="2"/>
                  <w:vAlign w:val="center"/>
                </w:tcPr>
                <w:p w14:paraId="308955B3">
                  <w:pPr>
                    <w:jc w:val="center"/>
                    <w:rPr>
                      <w:rFonts w:ascii="Times New Roman" w:hAnsi="Times New Roman" w:cs="Times New Roman"/>
                      <w:color w:val="auto"/>
                      <w:szCs w:val="21"/>
                    </w:rPr>
                  </w:pPr>
                  <w:r>
                    <w:rPr>
                      <w:rFonts w:hint="eastAsia" w:ascii="Times New Roman" w:hAnsi="Times New Roman" w:cs="Times New Roman"/>
                      <w:color w:val="auto"/>
                      <w:szCs w:val="21"/>
                    </w:rPr>
                    <w:t>预测值</w:t>
                  </w:r>
                </w:p>
              </w:tc>
              <w:tc>
                <w:tcPr>
                  <w:tcW w:w="1820" w:type="dxa"/>
                  <w:gridSpan w:val="2"/>
                  <w:vAlign w:val="center"/>
                </w:tcPr>
                <w:p w14:paraId="69F4DED2">
                  <w:pPr>
                    <w:jc w:val="center"/>
                    <w:rPr>
                      <w:rFonts w:ascii="Times New Roman" w:hAnsi="Times New Roman" w:cs="Times New Roman"/>
                      <w:color w:val="auto"/>
                      <w:szCs w:val="21"/>
                    </w:rPr>
                  </w:pPr>
                  <w:r>
                    <w:rPr>
                      <w:rFonts w:hint="eastAsia" w:ascii="Times New Roman" w:hAnsi="Times New Roman" w:cs="Times New Roman"/>
                      <w:color w:val="auto"/>
                      <w:szCs w:val="21"/>
                    </w:rPr>
                    <w:t>执行标准</w:t>
                  </w:r>
                </w:p>
              </w:tc>
              <w:tc>
                <w:tcPr>
                  <w:tcW w:w="1098" w:type="dxa"/>
                  <w:vMerge w:val="restart"/>
                  <w:vAlign w:val="center"/>
                </w:tcPr>
                <w:p w14:paraId="4203A401">
                  <w:pPr>
                    <w:jc w:val="center"/>
                    <w:rPr>
                      <w:rFonts w:ascii="Times New Roman" w:hAnsi="Times New Roman" w:cs="Times New Roman"/>
                      <w:color w:val="auto"/>
                      <w:szCs w:val="21"/>
                    </w:rPr>
                  </w:pPr>
                  <w:r>
                    <w:rPr>
                      <w:rFonts w:hint="eastAsia" w:ascii="Times New Roman" w:hAnsi="Times New Roman" w:cs="Times New Roman"/>
                      <w:color w:val="auto"/>
                      <w:szCs w:val="21"/>
                    </w:rPr>
                    <w:t>达标情况</w:t>
                  </w:r>
                </w:p>
              </w:tc>
            </w:tr>
            <w:tr w14:paraId="61BFA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3" w:type="dxa"/>
                  <w:vMerge w:val="continue"/>
                  <w:vAlign w:val="center"/>
                </w:tcPr>
                <w:p w14:paraId="0B42941F">
                  <w:pPr>
                    <w:jc w:val="center"/>
                    <w:rPr>
                      <w:rFonts w:ascii="Times New Roman" w:hAnsi="Times New Roman" w:cs="Times New Roman"/>
                      <w:color w:val="auto"/>
                      <w:szCs w:val="21"/>
                    </w:rPr>
                  </w:pPr>
                </w:p>
              </w:tc>
              <w:tc>
                <w:tcPr>
                  <w:tcW w:w="909" w:type="dxa"/>
                  <w:vAlign w:val="center"/>
                </w:tcPr>
                <w:p w14:paraId="4CE6B596">
                  <w:pPr>
                    <w:jc w:val="center"/>
                    <w:rPr>
                      <w:rFonts w:ascii="Times New Roman" w:hAnsi="Times New Roman" w:cs="Times New Roman"/>
                      <w:color w:val="auto"/>
                      <w:szCs w:val="21"/>
                    </w:rPr>
                  </w:pPr>
                  <w:r>
                    <w:rPr>
                      <w:rFonts w:ascii="Times New Roman" w:hAnsi="Times New Roman" w:cs="Times New Roman"/>
                      <w:color w:val="auto"/>
                      <w:szCs w:val="21"/>
                    </w:rPr>
                    <w:t>昼间</w:t>
                  </w:r>
                </w:p>
              </w:tc>
              <w:tc>
                <w:tcPr>
                  <w:tcW w:w="909" w:type="dxa"/>
                  <w:vAlign w:val="center"/>
                </w:tcPr>
                <w:p w14:paraId="617D66FF">
                  <w:pPr>
                    <w:jc w:val="center"/>
                    <w:rPr>
                      <w:rFonts w:ascii="Times New Roman" w:hAnsi="Times New Roman" w:cs="Times New Roman"/>
                      <w:color w:val="auto"/>
                      <w:szCs w:val="21"/>
                    </w:rPr>
                  </w:pPr>
                  <w:r>
                    <w:rPr>
                      <w:rFonts w:ascii="Times New Roman" w:hAnsi="Times New Roman" w:cs="Times New Roman"/>
                      <w:color w:val="auto"/>
                      <w:szCs w:val="21"/>
                    </w:rPr>
                    <w:t>夜间</w:t>
                  </w:r>
                </w:p>
              </w:tc>
              <w:tc>
                <w:tcPr>
                  <w:tcW w:w="909" w:type="dxa"/>
                  <w:vAlign w:val="center"/>
                </w:tcPr>
                <w:p w14:paraId="4596DC22">
                  <w:pPr>
                    <w:jc w:val="center"/>
                    <w:rPr>
                      <w:rFonts w:ascii="Times New Roman" w:hAnsi="Times New Roman" w:cs="Times New Roman"/>
                      <w:color w:val="auto"/>
                      <w:szCs w:val="21"/>
                    </w:rPr>
                  </w:pPr>
                  <w:r>
                    <w:rPr>
                      <w:rFonts w:ascii="Times New Roman" w:hAnsi="Times New Roman" w:cs="Times New Roman"/>
                      <w:color w:val="auto"/>
                      <w:szCs w:val="21"/>
                    </w:rPr>
                    <w:t>昼间</w:t>
                  </w:r>
                </w:p>
              </w:tc>
              <w:tc>
                <w:tcPr>
                  <w:tcW w:w="910" w:type="dxa"/>
                  <w:vAlign w:val="center"/>
                </w:tcPr>
                <w:p w14:paraId="25CB64E6">
                  <w:pPr>
                    <w:jc w:val="center"/>
                    <w:rPr>
                      <w:rFonts w:ascii="Times New Roman" w:hAnsi="Times New Roman" w:cs="Times New Roman"/>
                      <w:color w:val="auto"/>
                      <w:szCs w:val="21"/>
                    </w:rPr>
                  </w:pPr>
                  <w:r>
                    <w:rPr>
                      <w:rFonts w:ascii="Times New Roman" w:hAnsi="Times New Roman" w:cs="Times New Roman"/>
                      <w:color w:val="auto"/>
                      <w:szCs w:val="21"/>
                    </w:rPr>
                    <w:t>夜间</w:t>
                  </w:r>
                </w:p>
              </w:tc>
              <w:tc>
                <w:tcPr>
                  <w:tcW w:w="910" w:type="dxa"/>
                  <w:vAlign w:val="center"/>
                </w:tcPr>
                <w:p w14:paraId="7A7203B6">
                  <w:pPr>
                    <w:jc w:val="center"/>
                    <w:rPr>
                      <w:rFonts w:ascii="Times New Roman" w:hAnsi="Times New Roman" w:cs="Times New Roman"/>
                      <w:color w:val="auto"/>
                      <w:szCs w:val="21"/>
                    </w:rPr>
                  </w:pPr>
                  <w:r>
                    <w:rPr>
                      <w:rFonts w:ascii="Times New Roman" w:hAnsi="Times New Roman" w:cs="Times New Roman"/>
                      <w:color w:val="auto"/>
                      <w:szCs w:val="21"/>
                    </w:rPr>
                    <w:t>昼间</w:t>
                  </w:r>
                </w:p>
              </w:tc>
              <w:tc>
                <w:tcPr>
                  <w:tcW w:w="910" w:type="dxa"/>
                  <w:vAlign w:val="center"/>
                </w:tcPr>
                <w:p w14:paraId="4D3A7BFA">
                  <w:pPr>
                    <w:jc w:val="center"/>
                    <w:rPr>
                      <w:rFonts w:ascii="Times New Roman" w:hAnsi="Times New Roman" w:cs="Times New Roman"/>
                      <w:color w:val="auto"/>
                      <w:szCs w:val="21"/>
                    </w:rPr>
                  </w:pPr>
                  <w:r>
                    <w:rPr>
                      <w:rFonts w:ascii="Times New Roman" w:hAnsi="Times New Roman" w:cs="Times New Roman"/>
                      <w:color w:val="auto"/>
                      <w:szCs w:val="21"/>
                    </w:rPr>
                    <w:t>夜间</w:t>
                  </w:r>
                </w:p>
              </w:tc>
              <w:tc>
                <w:tcPr>
                  <w:tcW w:w="910" w:type="dxa"/>
                  <w:vAlign w:val="center"/>
                </w:tcPr>
                <w:p w14:paraId="00E8D33C">
                  <w:pPr>
                    <w:jc w:val="center"/>
                    <w:rPr>
                      <w:rFonts w:ascii="Times New Roman" w:hAnsi="Times New Roman" w:cs="Times New Roman"/>
                      <w:color w:val="auto"/>
                      <w:szCs w:val="21"/>
                    </w:rPr>
                  </w:pPr>
                  <w:r>
                    <w:rPr>
                      <w:rFonts w:ascii="Times New Roman" w:hAnsi="Times New Roman" w:cs="Times New Roman"/>
                      <w:color w:val="auto"/>
                      <w:szCs w:val="21"/>
                    </w:rPr>
                    <w:t>昼间</w:t>
                  </w:r>
                </w:p>
              </w:tc>
              <w:tc>
                <w:tcPr>
                  <w:tcW w:w="910" w:type="dxa"/>
                  <w:vAlign w:val="center"/>
                </w:tcPr>
                <w:p w14:paraId="7B8D5404">
                  <w:pPr>
                    <w:jc w:val="center"/>
                    <w:rPr>
                      <w:rFonts w:ascii="Times New Roman" w:hAnsi="Times New Roman" w:cs="Times New Roman"/>
                      <w:color w:val="auto"/>
                      <w:szCs w:val="21"/>
                    </w:rPr>
                  </w:pPr>
                  <w:r>
                    <w:rPr>
                      <w:rFonts w:ascii="Times New Roman" w:hAnsi="Times New Roman" w:cs="Times New Roman"/>
                      <w:color w:val="auto"/>
                      <w:szCs w:val="21"/>
                    </w:rPr>
                    <w:t>夜间</w:t>
                  </w:r>
                </w:p>
              </w:tc>
              <w:tc>
                <w:tcPr>
                  <w:tcW w:w="1098" w:type="dxa"/>
                  <w:vMerge w:val="continue"/>
                  <w:vAlign w:val="center"/>
                </w:tcPr>
                <w:p w14:paraId="064E92CE">
                  <w:pPr>
                    <w:jc w:val="center"/>
                    <w:rPr>
                      <w:rFonts w:ascii="Times New Roman" w:hAnsi="Times New Roman" w:cs="Times New Roman"/>
                      <w:color w:val="auto"/>
                      <w:szCs w:val="21"/>
                    </w:rPr>
                  </w:pPr>
                </w:p>
              </w:tc>
            </w:tr>
            <w:tr w14:paraId="06BA6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3" w:type="dxa"/>
                  <w:vAlign w:val="center"/>
                </w:tcPr>
                <w:p w14:paraId="56CA54C1">
                  <w:pPr>
                    <w:jc w:val="center"/>
                    <w:rPr>
                      <w:rFonts w:ascii="Times New Roman" w:hAnsi="Times New Roman" w:cs="Times New Roman"/>
                      <w:color w:val="auto"/>
                      <w:szCs w:val="21"/>
                    </w:rPr>
                  </w:pPr>
                  <w:r>
                    <w:rPr>
                      <w:rFonts w:ascii="Times New Roman" w:hAnsi="Times New Roman" w:cs="Times New Roman"/>
                      <w:color w:val="auto"/>
                      <w:szCs w:val="21"/>
                    </w:rPr>
                    <w:t>厂界东侧</w:t>
                  </w:r>
                </w:p>
              </w:tc>
              <w:tc>
                <w:tcPr>
                  <w:tcW w:w="909" w:type="dxa"/>
                  <w:vAlign w:val="center"/>
                </w:tcPr>
                <w:p w14:paraId="2D210CC3">
                  <w:pPr>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48</w:t>
                  </w:r>
                </w:p>
              </w:tc>
              <w:tc>
                <w:tcPr>
                  <w:tcW w:w="909" w:type="dxa"/>
                  <w:vAlign w:val="center"/>
                </w:tcPr>
                <w:p w14:paraId="037CB496">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09" w:type="dxa"/>
                  <w:vAlign w:val="center"/>
                </w:tcPr>
                <w:p w14:paraId="4AE39579">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6BD1BF17">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4AD273C1">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48</w:t>
                  </w:r>
                </w:p>
              </w:tc>
              <w:tc>
                <w:tcPr>
                  <w:tcW w:w="910" w:type="dxa"/>
                  <w:vAlign w:val="center"/>
                </w:tcPr>
                <w:p w14:paraId="5ACC345D">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6E79257B">
                  <w:pPr>
                    <w:jc w:val="center"/>
                    <w:rPr>
                      <w:rFonts w:hint="eastAsia" w:ascii="Times New Roman" w:hAnsi="Times New Roman" w:cs="Times New Roman" w:eastAsiaTheme="minorEastAsia"/>
                      <w:color w:val="auto"/>
                      <w:szCs w:val="21"/>
                      <w:lang w:eastAsia="zh-CN"/>
                    </w:rPr>
                  </w:pPr>
                  <w:r>
                    <w:rPr>
                      <w:rFonts w:ascii="Times New Roman" w:hAnsi="Times New Roman" w:cs="Times New Roman"/>
                      <w:color w:val="auto"/>
                      <w:szCs w:val="21"/>
                    </w:rPr>
                    <w:t>6</w:t>
                  </w:r>
                  <w:r>
                    <w:rPr>
                      <w:rFonts w:hint="eastAsia" w:ascii="Times New Roman" w:hAnsi="Times New Roman" w:cs="Times New Roman"/>
                      <w:color w:val="auto"/>
                      <w:szCs w:val="21"/>
                      <w:lang w:val="en-US" w:eastAsia="zh-CN"/>
                    </w:rPr>
                    <w:t>0</w:t>
                  </w:r>
                </w:p>
              </w:tc>
              <w:tc>
                <w:tcPr>
                  <w:tcW w:w="910" w:type="dxa"/>
                  <w:vAlign w:val="center"/>
                </w:tcPr>
                <w:p w14:paraId="4D77DE07">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1098" w:type="dxa"/>
                  <w:vAlign w:val="center"/>
                </w:tcPr>
                <w:p w14:paraId="0A9A35A9">
                  <w:pPr>
                    <w:jc w:val="center"/>
                    <w:rPr>
                      <w:rFonts w:ascii="Times New Roman" w:hAnsi="Times New Roman" w:cs="Times New Roman"/>
                      <w:color w:val="auto"/>
                      <w:szCs w:val="21"/>
                    </w:rPr>
                  </w:pPr>
                  <w:r>
                    <w:rPr>
                      <w:rFonts w:ascii="Times New Roman" w:hAnsi="Times New Roman" w:cs="Times New Roman"/>
                      <w:color w:val="auto"/>
                      <w:szCs w:val="21"/>
                    </w:rPr>
                    <w:t>达标</w:t>
                  </w:r>
                </w:p>
              </w:tc>
            </w:tr>
            <w:tr w14:paraId="6E78F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3" w:type="dxa"/>
                  <w:vAlign w:val="center"/>
                </w:tcPr>
                <w:p w14:paraId="1EC4FFDF">
                  <w:pPr>
                    <w:jc w:val="center"/>
                    <w:rPr>
                      <w:rFonts w:ascii="Times New Roman" w:hAnsi="Times New Roman" w:cs="Times New Roman"/>
                      <w:color w:val="auto"/>
                      <w:szCs w:val="21"/>
                    </w:rPr>
                  </w:pPr>
                  <w:r>
                    <w:rPr>
                      <w:rFonts w:ascii="Times New Roman" w:hAnsi="Times New Roman" w:cs="Times New Roman"/>
                      <w:color w:val="auto"/>
                      <w:szCs w:val="21"/>
                    </w:rPr>
                    <w:t>厂界南侧</w:t>
                  </w:r>
                </w:p>
              </w:tc>
              <w:tc>
                <w:tcPr>
                  <w:tcW w:w="909" w:type="dxa"/>
                  <w:vAlign w:val="center"/>
                </w:tcPr>
                <w:p w14:paraId="2D00B81B">
                  <w:pPr>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47</w:t>
                  </w:r>
                </w:p>
              </w:tc>
              <w:tc>
                <w:tcPr>
                  <w:tcW w:w="909" w:type="dxa"/>
                  <w:vAlign w:val="center"/>
                </w:tcPr>
                <w:p w14:paraId="7BEE088A">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09" w:type="dxa"/>
                  <w:vAlign w:val="center"/>
                </w:tcPr>
                <w:p w14:paraId="5FA42C3C">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4638FBA2">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1FB36096">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47</w:t>
                  </w:r>
                </w:p>
              </w:tc>
              <w:tc>
                <w:tcPr>
                  <w:tcW w:w="910" w:type="dxa"/>
                  <w:vAlign w:val="center"/>
                </w:tcPr>
                <w:p w14:paraId="74C41770">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26DC053D">
                  <w:pPr>
                    <w:jc w:val="center"/>
                    <w:rPr>
                      <w:rFonts w:ascii="Times New Roman" w:hAnsi="Times New Roman" w:cs="Times New Roman"/>
                      <w:color w:val="auto"/>
                      <w:szCs w:val="21"/>
                    </w:rPr>
                  </w:pPr>
                  <w:r>
                    <w:rPr>
                      <w:rFonts w:ascii="Times New Roman" w:hAnsi="Times New Roman" w:cs="Times New Roman"/>
                      <w:color w:val="auto"/>
                      <w:szCs w:val="21"/>
                    </w:rPr>
                    <w:t>6</w:t>
                  </w:r>
                  <w:r>
                    <w:rPr>
                      <w:rFonts w:hint="eastAsia" w:ascii="Times New Roman" w:hAnsi="Times New Roman" w:cs="Times New Roman"/>
                      <w:color w:val="auto"/>
                      <w:szCs w:val="21"/>
                      <w:lang w:val="en-US" w:eastAsia="zh-CN"/>
                    </w:rPr>
                    <w:t>0</w:t>
                  </w:r>
                </w:p>
              </w:tc>
              <w:tc>
                <w:tcPr>
                  <w:tcW w:w="910" w:type="dxa"/>
                  <w:vAlign w:val="center"/>
                </w:tcPr>
                <w:p w14:paraId="6349EAE5">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1098" w:type="dxa"/>
                  <w:vAlign w:val="center"/>
                </w:tcPr>
                <w:p w14:paraId="1C25682E">
                  <w:pPr>
                    <w:jc w:val="center"/>
                    <w:rPr>
                      <w:rFonts w:ascii="Times New Roman" w:hAnsi="Times New Roman" w:cs="Times New Roman"/>
                      <w:color w:val="auto"/>
                      <w:szCs w:val="21"/>
                    </w:rPr>
                  </w:pPr>
                  <w:r>
                    <w:rPr>
                      <w:rFonts w:ascii="Times New Roman" w:hAnsi="Times New Roman" w:cs="Times New Roman"/>
                      <w:color w:val="auto"/>
                      <w:szCs w:val="21"/>
                    </w:rPr>
                    <w:t>达标</w:t>
                  </w:r>
                </w:p>
              </w:tc>
            </w:tr>
            <w:tr w14:paraId="7E9D3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263" w:type="dxa"/>
                  <w:vAlign w:val="center"/>
                </w:tcPr>
                <w:p w14:paraId="1B0449BD">
                  <w:pPr>
                    <w:jc w:val="center"/>
                    <w:rPr>
                      <w:rFonts w:ascii="Times New Roman" w:hAnsi="Times New Roman" w:cs="Times New Roman"/>
                      <w:color w:val="auto"/>
                      <w:szCs w:val="21"/>
                    </w:rPr>
                  </w:pPr>
                  <w:r>
                    <w:rPr>
                      <w:rFonts w:ascii="Times New Roman" w:hAnsi="Times New Roman" w:cs="Times New Roman"/>
                      <w:color w:val="auto"/>
                      <w:szCs w:val="21"/>
                    </w:rPr>
                    <w:t>厂界西侧</w:t>
                  </w:r>
                </w:p>
              </w:tc>
              <w:tc>
                <w:tcPr>
                  <w:tcW w:w="909" w:type="dxa"/>
                  <w:vAlign w:val="center"/>
                </w:tcPr>
                <w:p w14:paraId="1B9A5F6A">
                  <w:pPr>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46</w:t>
                  </w:r>
                </w:p>
              </w:tc>
              <w:tc>
                <w:tcPr>
                  <w:tcW w:w="909" w:type="dxa"/>
                  <w:vAlign w:val="center"/>
                </w:tcPr>
                <w:p w14:paraId="6F3FBEBA">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09" w:type="dxa"/>
                  <w:vAlign w:val="center"/>
                </w:tcPr>
                <w:p w14:paraId="63DFE3E9">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6E9427C6">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527EF29F">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46</w:t>
                  </w:r>
                </w:p>
              </w:tc>
              <w:tc>
                <w:tcPr>
                  <w:tcW w:w="910" w:type="dxa"/>
                  <w:vAlign w:val="center"/>
                </w:tcPr>
                <w:p w14:paraId="2DBA467D">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4632D28D">
                  <w:pPr>
                    <w:jc w:val="center"/>
                    <w:rPr>
                      <w:rFonts w:ascii="Times New Roman" w:hAnsi="Times New Roman" w:cs="Times New Roman"/>
                      <w:color w:val="auto"/>
                      <w:szCs w:val="21"/>
                    </w:rPr>
                  </w:pPr>
                  <w:r>
                    <w:rPr>
                      <w:rFonts w:ascii="Times New Roman" w:hAnsi="Times New Roman" w:cs="Times New Roman"/>
                      <w:color w:val="auto"/>
                      <w:szCs w:val="21"/>
                    </w:rPr>
                    <w:t>6</w:t>
                  </w:r>
                  <w:r>
                    <w:rPr>
                      <w:rFonts w:hint="eastAsia" w:ascii="Times New Roman" w:hAnsi="Times New Roman" w:cs="Times New Roman"/>
                      <w:color w:val="auto"/>
                      <w:szCs w:val="21"/>
                      <w:lang w:val="en-US" w:eastAsia="zh-CN"/>
                    </w:rPr>
                    <w:t>0</w:t>
                  </w:r>
                </w:p>
              </w:tc>
              <w:tc>
                <w:tcPr>
                  <w:tcW w:w="910" w:type="dxa"/>
                  <w:vAlign w:val="center"/>
                </w:tcPr>
                <w:p w14:paraId="2EF1C80B">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1098" w:type="dxa"/>
                  <w:vAlign w:val="center"/>
                </w:tcPr>
                <w:p w14:paraId="08A30958">
                  <w:pPr>
                    <w:jc w:val="center"/>
                    <w:rPr>
                      <w:rFonts w:ascii="Times New Roman" w:hAnsi="Times New Roman" w:cs="Times New Roman"/>
                      <w:color w:val="auto"/>
                      <w:szCs w:val="21"/>
                    </w:rPr>
                  </w:pPr>
                  <w:r>
                    <w:rPr>
                      <w:rFonts w:ascii="Times New Roman" w:hAnsi="Times New Roman" w:cs="Times New Roman"/>
                      <w:color w:val="auto"/>
                      <w:szCs w:val="21"/>
                    </w:rPr>
                    <w:t>达标</w:t>
                  </w:r>
                </w:p>
              </w:tc>
            </w:tr>
            <w:tr w14:paraId="79197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3" w:type="dxa"/>
                  <w:vAlign w:val="center"/>
                </w:tcPr>
                <w:p w14:paraId="62AA928C">
                  <w:pPr>
                    <w:jc w:val="center"/>
                    <w:rPr>
                      <w:rFonts w:ascii="Times New Roman" w:hAnsi="Times New Roman" w:cs="Times New Roman"/>
                      <w:color w:val="auto"/>
                      <w:szCs w:val="21"/>
                    </w:rPr>
                  </w:pPr>
                  <w:r>
                    <w:rPr>
                      <w:rFonts w:ascii="Times New Roman" w:hAnsi="Times New Roman" w:cs="Times New Roman"/>
                      <w:color w:val="auto"/>
                      <w:szCs w:val="21"/>
                    </w:rPr>
                    <w:t>厂界北侧</w:t>
                  </w:r>
                </w:p>
              </w:tc>
              <w:tc>
                <w:tcPr>
                  <w:tcW w:w="909" w:type="dxa"/>
                  <w:vAlign w:val="center"/>
                </w:tcPr>
                <w:p w14:paraId="08ED3E67">
                  <w:pPr>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50</w:t>
                  </w:r>
                </w:p>
              </w:tc>
              <w:tc>
                <w:tcPr>
                  <w:tcW w:w="909" w:type="dxa"/>
                  <w:vAlign w:val="center"/>
                </w:tcPr>
                <w:p w14:paraId="13928ABC">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09" w:type="dxa"/>
                  <w:vAlign w:val="center"/>
                </w:tcPr>
                <w:p w14:paraId="034611C0">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2B55F94F">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3A8F4D7D">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50</w:t>
                  </w:r>
                </w:p>
              </w:tc>
              <w:tc>
                <w:tcPr>
                  <w:tcW w:w="910" w:type="dxa"/>
                  <w:vAlign w:val="center"/>
                </w:tcPr>
                <w:p w14:paraId="5092FC76">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910" w:type="dxa"/>
                  <w:vAlign w:val="center"/>
                </w:tcPr>
                <w:p w14:paraId="2C4C5403">
                  <w:pPr>
                    <w:jc w:val="center"/>
                    <w:rPr>
                      <w:rFonts w:ascii="Times New Roman" w:hAnsi="Times New Roman" w:cs="Times New Roman"/>
                      <w:color w:val="auto"/>
                      <w:szCs w:val="21"/>
                    </w:rPr>
                  </w:pPr>
                  <w:r>
                    <w:rPr>
                      <w:rFonts w:ascii="Times New Roman" w:hAnsi="Times New Roman" w:cs="Times New Roman"/>
                      <w:color w:val="auto"/>
                      <w:szCs w:val="21"/>
                    </w:rPr>
                    <w:t>6</w:t>
                  </w:r>
                  <w:r>
                    <w:rPr>
                      <w:rFonts w:hint="eastAsia" w:ascii="Times New Roman" w:hAnsi="Times New Roman" w:cs="Times New Roman"/>
                      <w:color w:val="auto"/>
                      <w:szCs w:val="21"/>
                      <w:lang w:val="en-US" w:eastAsia="zh-CN"/>
                    </w:rPr>
                    <w:t>0</w:t>
                  </w:r>
                </w:p>
              </w:tc>
              <w:tc>
                <w:tcPr>
                  <w:tcW w:w="910" w:type="dxa"/>
                  <w:vAlign w:val="center"/>
                </w:tcPr>
                <w:p w14:paraId="0FEC2DD7">
                  <w:pPr>
                    <w:jc w:val="center"/>
                    <w:rPr>
                      <w:rFonts w:ascii="Times New Roman" w:hAnsi="Times New Roman" w:cs="Times New Roman"/>
                      <w:color w:val="auto"/>
                      <w:szCs w:val="21"/>
                    </w:rPr>
                  </w:pPr>
                  <w:r>
                    <w:rPr>
                      <w:rFonts w:hint="eastAsia" w:ascii="Times New Roman" w:hAnsi="Times New Roman" w:cs="Times New Roman"/>
                      <w:color w:val="auto"/>
                      <w:szCs w:val="21"/>
                    </w:rPr>
                    <w:t>/</w:t>
                  </w:r>
                </w:p>
              </w:tc>
              <w:tc>
                <w:tcPr>
                  <w:tcW w:w="1098" w:type="dxa"/>
                  <w:vAlign w:val="center"/>
                </w:tcPr>
                <w:p w14:paraId="1D7F9105">
                  <w:pPr>
                    <w:jc w:val="center"/>
                    <w:rPr>
                      <w:rFonts w:ascii="Times New Roman" w:hAnsi="Times New Roman" w:cs="Times New Roman"/>
                      <w:color w:val="auto"/>
                      <w:szCs w:val="21"/>
                    </w:rPr>
                  </w:pPr>
                  <w:r>
                    <w:rPr>
                      <w:rFonts w:ascii="Times New Roman" w:hAnsi="Times New Roman" w:cs="Times New Roman"/>
                      <w:color w:val="auto"/>
                      <w:szCs w:val="21"/>
                    </w:rPr>
                    <w:t>达标</w:t>
                  </w:r>
                </w:p>
              </w:tc>
            </w:tr>
            <w:tr w14:paraId="71DA2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38" w:type="dxa"/>
                  <w:gridSpan w:val="10"/>
                  <w:vAlign w:val="center"/>
                </w:tcPr>
                <w:p w14:paraId="6D6F10E4">
                  <w:pPr>
                    <w:keepNext w:val="0"/>
                    <w:keepLines w:val="0"/>
                    <w:pageBreakBefore w:val="0"/>
                    <w:widowControl w:val="0"/>
                    <w:kinsoku/>
                    <w:wordWrap/>
                    <w:overflowPunct/>
                    <w:topLinePunct w:val="0"/>
                    <w:autoSpaceDE/>
                    <w:autoSpaceDN/>
                    <w:bidi w:val="0"/>
                    <w:adjustRightInd/>
                    <w:snapToGrid/>
                    <w:ind w:firstLine="422" w:firstLineChars="200"/>
                    <w:jc w:val="both"/>
                    <w:textAlignment w:val="auto"/>
                    <w:rPr>
                      <w:rFonts w:hint="eastAsia" w:ascii="Times New Roman" w:hAnsi="Times New Roman" w:cs="Times New Roman" w:eastAsiaTheme="minorEastAsia"/>
                      <w:color w:val="auto"/>
                      <w:szCs w:val="21"/>
                      <w:lang w:eastAsia="zh-CN"/>
                    </w:rPr>
                  </w:pPr>
                  <w:r>
                    <w:rPr>
                      <w:rFonts w:hint="eastAsia" w:ascii="Times New Roman" w:hAnsi="Times New Roman" w:cs="Times New Roman"/>
                      <w:b/>
                      <w:bCs/>
                      <w:color w:val="auto"/>
                      <w:szCs w:val="21"/>
                      <w:lang w:eastAsia="zh-CN"/>
                    </w:rPr>
                    <w:t>注：</w:t>
                  </w:r>
                  <w:r>
                    <w:rPr>
                      <w:rFonts w:hint="eastAsia" w:ascii="Times New Roman" w:hAnsi="Times New Roman" w:cs="Times New Roman"/>
                      <w:color w:val="auto"/>
                      <w:szCs w:val="21"/>
                      <w:lang w:eastAsia="zh-CN"/>
                    </w:rPr>
                    <w:t>本项目夜间不进行检测服务。</w:t>
                  </w:r>
                </w:p>
              </w:tc>
            </w:tr>
          </w:tbl>
          <w:p w14:paraId="126D8A37">
            <w:pPr>
              <w:adjustRightInd w:val="0"/>
              <w:snapToGrid w:val="0"/>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rPr>
              <w:t>由上表可见，项目运营期昼间各厂界噪声预测值满足《工业企业厂界环境噪声排放标准》（GB12348-2008）表1中</w:t>
            </w:r>
            <w:r>
              <w:rPr>
                <w:rFonts w:hint="eastAsia"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rPr>
              <w:t>类标准限值</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szCs w:val="24"/>
              </w:rPr>
              <w:t>项目的建设不会改变区域声环境功能，项目运营噪声对周围声环境影响较小。</w:t>
            </w:r>
          </w:p>
          <w:p w14:paraId="5D27CB77">
            <w:pPr>
              <w:adjustRightInd w:val="0"/>
              <w:snapToGrid w:val="0"/>
              <w:spacing w:line="360" w:lineRule="auto"/>
              <w:ind w:firstLine="480" w:firstLineChars="200"/>
              <w:rPr>
                <w:rFonts w:ascii="Times New Roman" w:hAnsi="Times New Roman" w:eastAsia="宋体" w:cs="Times New Roman"/>
                <w:color w:val="auto"/>
                <w:sz w:val="24"/>
                <w:lang w:val="zh-CN"/>
              </w:rPr>
            </w:pPr>
            <w:r>
              <w:rPr>
                <w:rFonts w:hint="eastAsia" w:ascii="Times New Roman" w:hAnsi="Times New Roman" w:eastAsia="宋体" w:cs="Times New Roman"/>
                <w:color w:val="auto"/>
                <w:sz w:val="24"/>
              </w:rPr>
              <w:t>（4）</w:t>
            </w:r>
            <w:r>
              <w:rPr>
                <w:rFonts w:hint="eastAsia" w:ascii="Times New Roman" w:hAnsi="Times New Roman" w:eastAsia="宋体" w:cs="Times New Roman"/>
                <w:color w:val="auto"/>
                <w:sz w:val="24"/>
                <w:lang w:val="zh-CN"/>
              </w:rPr>
              <w:t>噪声排放检测</w:t>
            </w:r>
          </w:p>
          <w:p w14:paraId="5345032D">
            <w:pPr>
              <w:adjustRightInd w:val="0"/>
              <w:snapToGrid w:val="0"/>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建设</w:t>
            </w:r>
            <w:r>
              <w:rPr>
                <w:rFonts w:ascii="Times New Roman" w:hAnsi="Times New Roman" w:eastAsia="宋体" w:cs="Times New Roman"/>
                <w:color w:val="auto"/>
                <w:sz w:val="24"/>
              </w:rPr>
              <w:t>项目噪声</w:t>
            </w:r>
            <w:r>
              <w:rPr>
                <w:rFonts w:hint="eastAsia" w:ascii="Times New Roman" w:hAnsi="Times New Roman" w:eastAsia="宋体" w:cs="Times New Roman"/>
                <w:color w:val="auto"/>
                <w:sz w:val="24"/>
              </w:rPr>
              <w:t>检测</w:t>
            </w:r>
            <w:r>
              <w:rPr>
                <w:rFonts w:ascii="Times New Roman" w:hAnsi="Times New Roman" w:eastAsia="宋体" w:cs="Times New Roman"/>
                <w:color w:val="auto"/>
                <w:sz w:val="24"/>
              </w:rPr>
              <w:t>计划如下表4.</w:t>
            </w:r>
            <w:r>
              <w:rPr>
                <w:rFonts w:hint="eastAsia" w:ascii="Times New Roman" w:hAnsi="Times New Roman" w:eastAsia="宋体" w:cs="Times New Roman"/>
                <w:color w:val="auto"/>
                <w:sz w:val="24"/>
              </w:rPr>
              <w:t>1</w:t>
            </w:r>
            <w:r>
              <w:rPr>
                <w:rFonts w:hint="eastAsia" w:ascii="Times New Roman" w:hAnsi="Times New Roman" w:eastAsia="宋体" w:cs="Times New Roman"/>
                <w:color w:val="auto"/>
                <w:sz w:val="24"/>
                <w:lang w:val="en-US" w:eastAsia="zh-CN"/>
              </w:rPr>
              <w:t>1</w:t>
            </w:r>
            <w:r>
              <w:rPr>
                <w:rFonts w:ascii="Times New Roman" w:hAnsi="Times New Roman" w:eastAsia="宋体" w:cs="Times New Roman"/>
                <w:color w:val="auto"/>
                <w:sz w:val="24"/>
              </w:rPr>
              <w:t>所示。</w:t>
            </w:r>
          </w:p>
          <w:p w14:paraId="4D448C67">
            <w:pPr>
              <w:jc w:val="center"/>
              <w:rPr>
                <w:rFonts w:ascii="Times New Roman" w:hAnsi="Times New Roman" w:cs="Times New Roman"/>
                <w:b/>
                <w:bCs/>
                <w:color w:val="auto"/>
                <w:sz w:val="24"/>
              </w:rPr>
            </w:pPr>
            <w:r>
              <w:rPr>
                <w:rFonts w:ascii="Times New Roman" w:hAnsi="Times New Roman" w:cs="Times New Roman"/>
                <w:b/>
                <w:bCs/>
                <w:color w:val="auto"/>
                <w:sz w:val="24"/>
              </w:rPr>
              <w:t>表4.</w:t>
            </w:r>
            <w:r>
              <w:rPr>
                <w:rFonts w:hint="eastAsia" w:ascii="Times New Roman" w:hAnsi="Times New Roman" w:cs="Times New Roman"/>
                <w:b/>
                <w:bCs/>
                <w:color w:val="auto"/>
                <w:sz w:val="24"/>
              </w:rPr>
              <w:t>1</w:t>
            </w:r>
            <w:r>
              <w:rPr>
                <w:rFonts w:hint="eastAsia" w:ascii="Times New Roman" w:hAnsi="Times New Roman" w:cs="Times New Roman"/>
                <w:b/>
                <w:bCs/>
                <w:color w:val="auto"/>
                <w:sz w:val="24"/>
                <w:lang w:val="en-US" w:eastAsia="zh-CN"/>
              </w:rPr>
              <w:t>1</w:t>
            </w:r>
            <w:r>
              <w:rPr>
                <w:rFonts w:ascii="Times New Roman" w:hAnsi="Times New Roman" w:cs="Times New Roman"/>
                <w:b/>
                <w:bCs/>
                <w:color w:val="auto"/>
                <w:sz w:val="24"/>
              </w:rPr>
              <w:t xml:space="preserve">  噪声</w:t>
            </w:r>
            <w:r>
              <w:rPr>
                <w:rFonts w:hint="eastAsia" w:ascii="Times New Roman" w:hAnsi="Times New Roman" w:cs="Times New Roman"/>
                <w:b/>
                <w:bCs/>
                <w:color w:val="auto"/>
                <w:sz w:val="24"/>
              </w:rPr>
              <w:t>检测</w:t>
            </w:r>
            <w:r>
              <w:rPr>
                <w:rFonts w:ascii="Times New Roman" w:hAnsi="Times New Roman" w:cs="Times New Roman"/>
                <w:b/>
                <w:bCs/>
                <w:color w:val="auto"/>
                <w:sz w:val="24"/>
              </w:rPr>
              <w:t>计划表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0"/>
              <w:gridCol w:w="1950"/>
              <w:gridCol w:w="1362"/>
              <w:gridCol w:w="2411"/>
              <w:gridCol w:w="2078"/>
            </w:tblGrid>
            <w:tr w14:paraId="6162C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4" w:type="dxa"/>
                  <w:vAlign w:val="center"/>
                </w:tcPr>
                <w:p w14:paraId="48CE0734">
                  <w:pPr>
                    <w:jc w:val="center"/>
                    <w:rPr>
                      <w:rFonts w:ascii="Times New Roman" w:hAnsi="Times New Roman" w:cs="Times New Roman"/>
                      <w:color w:val="auto"/>
                      <w:szCs w:val="21"/>
                    </w:rPr>
                  </w:pPr>
                  <w:r>
                    <w:rPr>
                      <w:rFonts w:hint="eastAsia" w:ascii="Times New Roman" w:hAnsi="Times New Roman" w:cs="Times New Roman"/>
                      <w:color w:val="auto"/>
                      <w:szCs w:val="21"/>
                    </w:rPr>
                    <w:t>检测</w:t>
                  </w:r>
                  <w:r>
                    <w:rPr>
                      <w:rFonts w:ascii="Times New Roman" w:hAnsi="Times New Roman" w:cs="Times New Roman"/>
                      <w:color w:val="auto"/>
                      <w:szCs w:val="21"/>
                    </w:rPr>
                    <w:t>点位置</w:t>
                  </w:r>
                </w:p>
              </w:tc>
              <w:tc>
                <w:tcPr>
                  <w:tcW w:w="1905" w:type="dxa"/>
                  <w:vAlign w:val="center"/>
                </w:tcPr>
                <w:p w14:paraId="211A5E6D">
                  <w:pPr>
                    <w:jc w:val="center"/>
                    <w:rPr>
                      <w:rFonts w:ascii="Times New Roman" w:hAnsi="Times New Roman" w:cs="Times New Roman"/>
                      <w:color w:val="auto"/>
                      <w:szCs w:val="21"/>
                    </w:rPr>
                  </w:pPr>
                  <w:r>
                    <w:rPr>
                      <w:rFonts w:hint="eastAsia" w:ascii="Times New Roman" w:hAnsi="Times New Roman" w:cs="Times New Roman"/>
                      <w:color w:val="auto"/>
                      <w:szCs w:val="21"/>
                    </w:rPr>
                    <w:t>检测</w:t>
                  </w:r>
                  <w:r>
                    <w:rPr>
                      <w:rFonts w:ascii="Times New Roman" w:hAnsi="Times New Roman" w:cs="Times New Roman"/>
                      <w:color w:val="auto"/>
                      <w:szCs w:val="21"/>
                    </w:rPr>
                    <w:t>指标</w:t>
                  </w:r>
                </w:p>
              </w:tc>
              <w:tc>
                <w:tcPr>
                  <w:tcW w:w="1330" w:type="dxa"/>
                  <w:vAlign w:val="center"/>
                </w:tcPr>
                <w:p w14:paraId="7F19C68F">
                  <w:pPr>
                    <w:jc w:val="center"/>
                    <w:rPr>
                      <w:rFonts w:ascii="Times New Roman" w:hAnsi="Times New Roman" w:cs="Times New Roman"/>
                      <w:color w:val="auto"/>
                      <w:szCs w:val="21"/>
                    </w:rPr>
                  </w:pPr>
                  <w:r>
                    <w:rPr>
                      <w:rFonts w:hint="eastAsia" w:ascii="Times New Roman" w:hAnsi="Times New Roman" w:cs="Times New Roman"/>
                      <w:color w:val="auto"/>
                      <w:szCs w:val="21"/>
                    </w:rPr>
                    <w:t>检测</w:t>
                  </w:r>
                  <w:r>
                    <w:rPr>
                      <w:rFonts w:ascii="Times New Roman" w:hAnsi="Times New Roman" w:cs="Times New Roman"/>
                      <w:color w:val="auto"/>
                      <w:szCs w:val="21"/>
                    </w:rPr>
                    <w:t>频次</w:t>
                  </w:r>
                </w:p>
              </w:tc>
              <w:tc>
                <w:tcPr>
                  <w:tcW w:w="2355" w:type="dxa"/>
                  <w:vAlign w:val="center"/>
                </w:tcPr>
                <w:p w14:paraId="34C4D4F9">
                  <w:pPr>
                    <w:jc w:val="center"/>
                    <w:rPr>
                      <w:rFonts w:ascii="Times New Roman" w:hAnsi="Times New Roman" w:cs="Times New Roman"/>
                      <w:color w:val="auto"/>
                      <w:szCs w:val="21"/>
                    </w:rPr>
                  </w:pPr>
                  <w:r>
                    <w:rPr>
                      <w:rFonts w:hint="eastAsia" w:ascii="Times New Roman" w:hAnsi="Times New Roman" w:cs="Times New Roman"/>
                      <w:color w:val="auto"/>
                      <w:szCs w:val="21"/>
                    </w:rPr>
                    <w:t>检测</w:t>
                  </w:r>
                  <w:r>
                    <w:rPr>
                      <w:rFonts w:ascii="Times New Roman" w:hAnsi="Times New Roman" w:cs="Times New Roman"/>
                      <w:color w:val="auto"/>
                      <w:szCs w:val="21"/>
                    </w:rPr>
                    <w:t>天数</w:t>
                  </w:r>
                </w:p>
              </w:tc>
              <w:tc>
                <w:tcPr>
                  <w:tcW w:w="2030" w:type="dxa"/>
                  <w:vAlign w:val="center"/>
                </w:tcPr>
                <w:p w14:paraId="7888B0E4">
                  <w:pPr>
                    <w:jc w:val="center"/>
                    <w:rPr>
                      <w:rFonts w:ascii="Times New Roman" w:hAnsi="Times New Roman" w:cs="Times New Roman"/>
                      <w:color w:val="auto"/>
                      <w:szCs w:val="21"/>
                    </w:rPr>
                  </w:pPr>
                  <w:r>
                    <w:rPr>
                      <w:rFonts w:ascii="Times New Roman" w:hAnsi="Times New Roman" w:cs="Times New Roman"/>
                      <w:color w:val="auto"/>
                      <w:szCs w:val="21"/>
                    </w:rPr>
                    <w:t>依据</w:t>
                  </w:r>
                </w:p>
              </w:tc>
            </w:tr>
            <w:tr w14:paraId="0AC39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4" w:type="dxa"/>
                  <w:vAlign w:val="center"/>
                </w:tcPr>
                <w:p w14:paraId="27DBF04A">
                  <w:pPr>
                    <w:jc w:val="center"/>
                    <w:rPr>
                      <w:rFonts w:ascii="Times New Roman" w:hAnsi="Times New Roman" w:cs="Times New Roman"/>
                      <w:color w:val="auto"/>
                      <w:szCs w:val="21"/>
                    </w:rPr>
                  </w:pPr>
                  <w:r>
                    <w:rPr>
                      <w:rFonts w:ascii="Times New Roman" w:hAnsi="Times New Roman" w:cs="Times New Roman"/>
                      <w:color w:val="auto"/>
                      <w:szCs w:val="21"/>
                    </w:rPr>
                    <w:t>厂界四周各布设一个噪声</w:t>
                  </w:r>
                  <w:r>
                    <w:rPr>
                      <w:rFonts w:hint="eastAsia" w:ascii="Times New Roman" w:hAnsi="Times New Roman" w:cs="Times New Roman"/>
                      <w:color w:val="auto"/>
                      <w:szCs w:val="21"/>
                    </w:rPr>
                    <w:t>检测</w:t>
                  </w:r>
                  <w:r>
                    <w:rPr>
                      <w:rFonts w:ascii="Times New Roman" w:hAnsi="Times New Roman" w:cs="Times New Roman"/>
                      <w:color w:val="auto"/>
                      <w:szCs w:val="21"/>
                    </w:rPr>
                    <w:t>点</w:t>
                  </w:r>
                </w:p>
              </w:tc>
              <w:tc>
                <w:tcPr>
                  <w:tcW w:w="1905" w:type="dxa"/>
                  <w:vAlign w:val="center"/>
                </w:tcPr>
                <w:p w14:paraId="4E05D98C">
                  <w:pPr>
                    <w:jc w:val="center"/>
                    <w:rPr>
                      <w:rFonts w:ascii="Times New Roman" w:hAnsi="Times New Roman" w:cs="Times New Roman"/>
                      <w:color w:val="auto"/>
                      <w:szCs w:val="21"/>
                    </w:rPr>
                  </w:pPr>
                  <w:r>
                    <w:rPr>
                      <w:rFonts w:ascii="Times New Roman" w:hAnsi="Times New Roman" w:cs="Times New Roman"/>
                      <w:color w:val="auto"/>
                      <w:szCs w:val="21"/>
                    </w:rPr>
                    <w:t>等效连续A声级</w:t>
                  </w:r>
                </w:p>
              </w:tc>
              <w:tc>
                <w:tcPr>
                  <w:tcW w:w="1330" w:type="dxa"/>
                  <w:vAlign w:val="center"/>
                </w:tcPr>
                <w:p w14:paraId="797CF37B">
                  <w:pPr>
                    <w:jc w:val="center"/>
                    <w:rPr>
                      <w:rFonts w:ascii="Times New Roman" w:hAnsi="Times New Roman" w:cs="Times New Roman"/>
                      <w:color w:val="auto"/>
                      <w:szCs w:val="21"/>
                    </w:rPr>
                  </w:pPr>
                  <w:r>
                    <w:rPr>
                      <w:rFonts w:ascii="Times New Roman" w:hAnsi="Times New Roman" w:cs="Times New Roman"/>
                      <w:color w:val="auto"/>
                      <w:szCs w:val="21"/>
                    </w:rPr>
                    <w:t>每季度一次</w:t>
                  </w:r>
                </w:p>
              </w:tc>
              <w:tc>
                <w:tcPr>
                  <w:tcW w:w="2355" w:type="dxa"/>
                  <w:vAlign w:val="center"/>
                </w:tcPr>
                <w:p w14:paraId="5E8E8D59">
                  <w:pPr>
                    <w:jc w:val="center"/>
                    <w:rPr>
                      <w:rFonts w:ascii="Times New Roman" w:hAnsi="Times New Roman" w:cs="Times New Roman"/>
                      <w:color w:val="auto"/>
                      <w:szCs w:val="21"/>
                    </w:rPr>
                  </w:pPr>
                  <w:r>
                    <w:rPr>
                      <w:rFonts w:ascii="Times New Roman" w:hAnsi="Times New Roman" w:cs="Times New Roman"/>
                      <w:color w:val="auto"/>
                      <w:szCs w:val="21"/>
                    </w:rPr>
                    <w:t>连续1天，昼夜各一次</w:t>
                  </w:r>
                </w:p>
              </w:tc>
              <w:tc>
                <w:tcPr>
                  <w:tcW w:w="2030" w:type="dxa"/>
                  <w:vAlign w:val="center"/>
                </w:tcPr>
                <w:p w14:paraId="378847DA">
                  <w:pPr>
                    <w:jc w:val="center"/>
                    <w:rPr>
                      <w:rFonts w:ascii="Times New Roman" w:hAnsi="Times New Roman" w:cs="Times New Roman"/>
                      <w:color w:val="auto"/>
                      <w:szCs w:val="21"/>
                    </w:rPr>
                  </w:pPr>
                  <w:r>
                    <w:rPr>
                      <w:rFonts w:ascii="Times New Roman" w:hAnsi="Times New Roman" w:cs="Times New Roman"/>
                      <w:color w:val="auto"/>
                      <w:szCs w:val="21"/>
                    </w:rPr>
                    <w:t>《排污单位自行</w:t>
                  </w:r>
                  <w:r>
                    <w:rPr>
                      <w:rFonts w:hint="eastAsia" w:ascii="Times New Roman" w:hAnsi="Times New Roman" w:cs="Times New Roman"/>
                      <w:color w:val="auto"/>
                      <w:szCs w:val="21"/>
                    </w:rPr>
                    <w:t>检测</w:t>
                  </w:r>
                  <w:r>
                    <w:rPr>
                      <w:rFonts w:ascii="Times New Roman" w:hAnsi="Times New Roman" w:cs="Times New Roman"/>
                      <w:color w:val="auto"/>
                      <w:szCs w:val="21"/>
                    </w:rPr>
                    <w:t>技术指南-总则》（HJ819-2017）</w:t>
                  </w:r>
                </w:p>
              </w:tc>
            </w:tr>
          </w:tbl>
          <w:p w14:paraId="4B3D20F1">
            <w:pPr>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4、固体废物</w:t>
            </w:r>
          </w:p>
          <w:p w14:paraId="59EB69C1">
            <w:pPr>
              <w:pStyle w:val="51"/>
              <w:ind w:firstLine="480"/>
              <w:rPr>
                <w:rFonts w:ascii="Times New Roman" w:hAnsi="Times New Roman" w:cs="Times New Roman"/>
                <w:color w:val="auto"/>
                <w:szCs w:val="24"/>
              </w:rPr>
            </w:pPr>
            <w:r>
              <w:rPr>
                <w:rFonts w:ascii="Times New Roman" w:hAnsi="Times New Roman" w:cs="Times New Roman"/>
                <w:color w:val="auto"/>
                <w:szCs w:val="24"/>
              </w:rPr>
              <w:t>项目固废主要为生活垃圾、一般工业固体废物</w:t>
            </w:r>
            <w:r>
              <w:rPr>
                <w:rFonts w:hint="eastAsia" w:ascii="Times New Roman" w:hAnsi="Times New Roman" w:cs="Times New Roman"/>
                <w:color w:val="auto"/>
                <w:szCs w:val="24"/>
              </w:rPr>
              <w:t>和</w:t>
            </w:r>
            <w:r>
              <w:rPr>
                <w:rFonts w:ascii="Times New Roman" w:hAnsi="Times New Roman" w:cs="Times New Roman"/>
                <w:color w:val="auto"/>
                <w:szCs w:val="24"/>
              </w:rPr>
              <w:t>危险废物。</w:t>
            </w:r>
          </w:p>
          <w:p w14:paraId="393D798F">
            <w:pPr>
              <w:pStyle w:val="51"/>
              <w:ind w:firstLine="480"/>
              <w:rPr>
                <w:rFonts w:ascii="Times New Roman" w:hAnsi="Times New Roman" w:cs="Times New Roman"/>
                <w:color w:val="auto"/>
                <w:szCs w:val="24"/>
              </w:rPr>
            </w:pPr>
            <w:r>
              <w:rPr>
                <w:rFonts w:hint="eastAsia" w:ascii="Times New Roman" w:hAnsi="Times New Roman" w:cs="Times New Roman"/>
                <w:color w:val="auto"/>
                <w:szCs w:val="24"/>
              </w:rPr>
              <w:t>4.1</w:t>
            </w:r>
            <w:r>
              <w:rPr>
                <w:rFonts w:ascii="Times New Roman" w:hAnsi="Times New Roman" w:cs="Times New Roman"/>
                <w:color w:val="auto"/>
                <w:szCs w:val="24"/>
              </w:rPr>
              <w:t>生活垃圾</w:t>
            </w:r>
          </w:p>
          <w:p w14:paraId="40688E71">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项目</w:t>
            </w:r>
            <w:r>
              <w:rPr>
                <w:rFonts w:hint="eastAsia" w:ascii="Times New Roman" w:hAnsi="Times New Roman" w:cs="Times New Roman"/>
                <w:color w:val="auto"/>
                <w:sz w:val="24"/>
                <w:lang w:eastAsia="zh-CN"/>
              </w:rPr>
              <w:t>劳动定员</w:t>
            </w:r>
            <w:r>
              <w:rPr>
                <w:rFonts w:hint="eastAsia" w:ascii="Times New Roman" w:hAnsi="Times New Roman" w:cs="Times New Roman"/>
                <w:color w:val="auto"/>
                <w:sz w:val="24"/>
                <w:lang w:val="en-US" w:eastAsia="zh-CN"/>
              </w:rPr>
              <w:t>5人</w:t>
            </w:r>
            <w:r>
              <w:rPr>
                <w:rFonts w:ascii="Times New Roman" w:hAnsi="Times New Roman" w:cs="Times New Roman"/>
                <w:color w:val="auto"/>
                <w:sz w:val="24"/>
              </w:rPr>
              <w:t>，生活垃圾按0.5kg/人</w:t>
            </w:r>
            <w:r>
              <w:rPr>
                <w:rFonts w:hint="eastAsia" w:ascii="Times New Roman" w:hAnsi="Times New Roman" w:cs="Times New Roman"/>
                <w:color w:val="auto"/>
                <w:sz w:val="24"/>
              </w:rPr>
              <w:t>·</w:t>
            </w:r>
            <w:r>
              <w:rPr>
                <w:rFonts w:ascii="Times New Roman" w:hAnsi="Times New Roman" w:cs="Times New Roman"/>
                <w:color w:val="auto"/>
                <w:sz w:val="24"/>
              </w:rPr>
              <w:t>d计，年工作</w:t>
            </w:r>
            <w:r>
              <w:rPr>
                <w:rFonts w:hint="eastAsia" w:ascii="Times New Roman" w:hAnsi="Times New Roman" w:cs="Times New Roman"/>
                <w:color w:val="auto"/>
                <w:sz w:val="24"/>
                <w:lang w:val="en-US" w:eastAsia="zh-CN"/>
              </w:rPr>
              <w:t>250</w:t>
            </w:r>
            <w:r>
              <w:rPr>
                <w:rFonts w:ascii="Times New Roman" w:hAnsi="Times New Roman" w:cs="Times New Roman"/>
                <w:color w:val="auto"/>
                <w:sz w:val="24"/>
              </w:rPr>
              <w:t>天，则生活垃圾产生量为</w:t>
            </w:r>
            <w:r>
              <w:rPr>
                <w:rFonts w:hint="eastAsia" w:ascii="Times New Roman" w:hAnsi="Times New Roman" w:cs="Times New Roman"/>
                <w:color w:val="auto"/>
                <w:sz w:val="24"/>
                <w:lang w:val="en-US" w:eastAsia="zh-CN"/>
              </w:rPr>
              <w:t>0.625</w:t>
            </w:r>
            <w:r>
              <w:rPr>
                <w:rFonts w:ascii="Times New Roman" w:hAnsi="Times New Roman" w:cs="Times New Roman"/>
                <w:color w:val="auto"/>
                <w:sz w:val="24"/>
              </w:rPr>
              <w:t>t/a。集中收集后定期交由环卫部门统一清运处置。</w:t>
            </w:r>
          </w:p>
          <w:p w14:paraId="3B284981">
            <w:pPr>
              <w:pStyle w:val="51"/>
              <w:ind w:firstLine="480"/>
              <w:rPr>
                <w:rFonts w:ascii="Times New Roman" w:hAnsi="Times New Roman" w:cs="Times New Roman"/>
                <w:color w:val="auto"/>
                <w:szCs w:val="24"/>
              </w:rPr>
            </w:pPr>
            <w:r>
              <w:rPr>
                <w:rFonts w:hint="eastAsia" w:ascii="Times New Roman" w:hAnsi="Times New Roman" w:cs="Times New Roman"/>
                <w:color w:val="auto"/>
                <w:szCs w:val="24"/>
              </w:rPr>
              <w:t>4.2</w:t>
            </w:r>
            <w:r>
              <w:rPr>
                <w:rFonts w:ascii="Times New Roman" w:hAnsi="Times New Roman" w:cs="Times New Roman"/>
                <w:color w:val="auto"/>
                <w:szCs w:val="24"/>
              </w:rPr>
              <w:t>一般工业固体废物</w:t>
            </w:r>
          </w:p>
          <w:p w14:paraId="265FFCBF">
            <w:pPr>
              <w:pStyle w:val="51"/>
              <w:ind w:firstLine="480"/>
              <w:rPr>
                <w:rFonts w:hint="eastAsia" w:ascii="Times New Roman" w:hAnsi="Times New Roman" w:cs="Times New Roman" w:eastAsiaTheme="minorEastAsia"/>
                <w:color w:val="auto"/>
                <w:szCs w:val="24"/>
                <w:lang w:eastAsia="zh-CN"/>
              </w:rPr>
            </w:pPr>
            <w:r>
              <w:rPr>
                <w:rFonts w:hint="eastAsia" w:ascii="Times New Roman" w:hAnsi="Times New Roman" w:cs="Times New Roman"/>
                <w:color w:val="auto"/>
                <w:szCs w:val="24"/>
              </w:rPr>
              <w:t>（1）</w:t>
            </w:r>
            <w:r>
              <w:rPr>
                <w:rFonts w:hint="eastAsia" w:ascii="Times New Roman" w:hAnsi="Times New Roman" w:cs="Times New Roman"/>
                <w:color w:val="auto"/>
                <w:szCs w:val="24"/>
                <w:lang w:eastAsia="zh-CN"/>
              </w:rPr>
              <w:t>废</w:t>
            </w:r>
            <w:r>
              <w:rPr>
                <w:rFonts w:hint="eastAsia" w:ascii="Times New Roman" w:hAnsi="Times New Roman" w:cs="Times New Roman"/>
                <w:color w:val="auto"/>
                <w:szCs w:val="24"/>
                <w:lang w:val="en-US" w:eastAsia="zh-CN"/>
              </w:rPr>
              <w:t>阻燃剂</w:t>
            </w:r>
            <w:r>
              <w:rPr>
                <w:rFonts w:hint="eastAsia" w:ascii="Times New Roman" w:hAnsi="Times New Roman" w:cs="Times New Roman"/>
                <w:color w:val="auto"/>
                <w:szCs w:val="24"/>
                <w:lang w:eastAsia="zh-CN"/>
              </w:rPr>
              <w:t>等</w:t>
            </w:r>
          </w:p>
          <w:p w14:paraId="397021CD">
            <w:pPr>
              <w:pStyle w:val="51"/>
              <w:ind w:firstLine="480"/>
              <w:rPr>
                <w:rFonts w:ascii="Times New Roman" w:hAnsi="Times New Roman" w:cs="Times New Roman"/>
                <w:color w:val="auto"/>
                <w:szCs w:val="24"/>
              </w:rPr>
            </w:pPr>
            <w:r>
              <w:rPr>
                <w:rFonts w:hint="eastAsia" w:ascii="Times New Roman" w:hAnsi="Times New Roman" w:eastAsia="宋体" w:cs="Times New Roman"/>
                <w:color w:val="auto"/>
                <w:szCs w:val="24"/>
                <w:lang w:val="zh-CN"/>
              </w:rPr>
              <w:t>试样燃烧会产生一定量的废</w:t>
            </w:r>
            <w:r>
              <w:rPr>
                <w:rFonts w:hint="eastAsia" w:ascii="Times New Roman" w:hAnsi="Times New Roman" w:eastAsia="宋体" w:cs="Times New Roman"/>
                <w:color w:val="auto"/>
                <w:szCs w:val="24"/>
                <w:lang w:val="en-US" w:eastAsia="zh-CN"/>
              </w:rPr>
              <w:t>实验品</w:t>
            </w:r>
            <w:r>
              <w:rPr>
                <w:rFonts w:hint="eastAsia" w:ascii="Times New Roman" w:hAnsi="Times New Roman" w:eastAsia="宋体" w:cs="Times New Roman"/>
                <w:color w:val="auto"/>
                <w:szCs w:val="24"/>
                <w:lang w:val="zh-CN"/>
              </w:rPr>
              <w:t>等，</w:t>
            </w:r>
            <w:r>
              <w:rPr>
                <w:rFonts w:ascii="Times New Roman" w:hAnsi="Times New Roman" w:eastAsia="宋体" w:cs="Times New Roman"/>
                <w:color w:val="auto"/>
                <w:szCs w:val="24"/>
                <w:lang w:val="zh-CN"/>
              </w:rPr>
              <w:t>本项目</w:t>
            </w:r>
            <w:r>
              <w:rPr>
                <w:rFonts w:hint="eastAsia" w:ascii="Times New Roman" w:hAnsi="Times New Roman" w:eastAsia="宋体" w:cs="Times New Roman"/>
                <w:color w:val="auto"/>
                <w:szCs w:val="24"/>
                <w:lang w:eastAsia="zh-CN"/>
              </w:rPr>
              <w:t>运营期废</w:t>
            </w:r>
            <w:r>
              <w:rPr>
                <w:rFonts w:hint="eastAsia" w:ascii="Times New Roman" w:hAnsi="Times New Roman" w:eastAsia="宋体" w:cs="Times New Roman"/>
                <w:color w:val="auto"/>
                <w:szCs w:val="24"/>
                <w:lang w:val="en-US" w:eastAsia="zh-CN"/>
              </w:rPr>
              <w:t>实验品</w:t>
            </w:r>
            <w:r>
              <w:rPr>
                <w:rFonts w:hint="eastAsia" w:ascii="Times New Roman" w:hAnsi="Times New Roman" w:eastAsia="宋体" w:cs="Times New Roman"/>
                <w:color w:val="auto"/>
                <w:szCs w:val="24"/>
                <w:lang w:eastAsia="zh-CN"/>
              </w:rPr>
              <w:t>等产生量约为</w:t>
            </w:r>
            <w:r>
              <w:rPr>
                <w:rFonts w:hint="eastAsia" w:ascii="Times New Roman" w:hAnsi="Times New Roman" w:eastAsia="宋体" w:cs="Times New Roman"/>
                <w:color w:val="auto"/>
                <w:szCs w:val="24"/>
                <w:lang w:val="en-US" w:eastAsia="zh-CN"/>
              </w:rPr>
              <w:t>60kg/a</w:t>
            </w:r>
            <w:r>
              <w:rPr>
                <w:rFonts w:ascii="Times New Roman" w:hAnsi="Times New Roman" w:cs="Times New Roman"/>
                <w:color w:val="auto"/>
                <w:szCs w:val="24"/>
              </w:rPr>
              <w:t>。</w:t>
            </w:r>
          </w:p>
          <w:p w14:paraId="16F0379C">
            <w:pPr>
              <w:pStyle w:val="51"/>
              <w:ind w:firstLine="480"/>
              <w:rPr>
                <w:rFonts w:ascii="Times New Roman" w:hAnsi="Times New Roman" w:cs="Times New Roman"/>
                <w:color w:val="auto"/>
                <w:szCs w:val="24"/>
              </w:rPr>
            </w:pPr>
            <w:r>
              <w:rPr>
                <w:rFonts w:hint="eastAsia" w:ascii="Times New Roman" w:hAnsi="Times New Roman" w:cs="Times New Roman"/>
                <w:color w:val="auto"/>
                <w:szCs w:val="24"/>
              </w:rPr>
              <w:t>4.3</w:t>
            </w:r>
            <w:r>
              <w:rPr>
                <w:rFonts w:ascii="Times New Roman" w:hAnsi="Times New Roman" w:cs="Times New Roman"/>
                <w:color w:val="auto"/>
                <w:szCs w:val="24"/>
              </w:rPr>
              <w:t>危险废物</w:t>
            </w:r>
          </w:p>
          <w:p w14:paraId="16C385AD">
            <w:pPr>
              <w:pStyle w:val="51"/>
              <w:ind w:firstLine="480"/>
              <w:rPr>
                <w:rFonts w:ascii="Times New Roman" w:hAnsi="Times New Roman" w:cs="Times New Roman"/>
                <w:color w:val="auto"/>
                <w:szCs w:val="24"/>
              </w:rPr>
            </w:pPr>
            <w:r>
              <w:rPr>
                <w:rFonts w:hint="eastAsia" w:ascii="Times New Roman" w:hAnsi="Times New Roman" w:cs="Times New Roman"/>
                <w:color w:val="auto"/>
                <w:szCs w:val="24"/>
              </w:rPr>
              <w:t>（1）</w:t>
            </w:r>
            <w:r>
              <w:rPr>
                <w:rFonts w:ascii="Times New Roman" w:hAnsi="Times New Roman" w:cs="Times New Roman"/>
                <w:color w:val="auto"/>
                <w:szCs w:val="24"/>
              </w:rPr>
              <w:t>废活性炭</w:t>
            </w:r>
          </w:p>
          <w:p w14:paraId="29ED4BE0">
            <w:pPr>
              <w:pStyle w:val="51"/>
              <w:ind w:firstLine="480"/>
              <w:rPr>
                <w:rFonts w:ascii="Times New Roman" w:hAnsi="Times New Roman" w:cs="Times New Roman"/>
                <w:color w:val="auto"/>
                <w:szCs w:val="24"/>
              </w:rPr>
            </w:pPr>
            <w:r>
              <w:rPr>
                <w:rFonts w:ascii="Times New Roman" w:hAnsi="Times New Roman" w:cs="Times New Roman"/>
                <w:color w:val="auto"/>
                <w:szCs w:val="24"/>
              </w:rPr>
              <w:t>根据物料平衡，本项目被活性炭的吸附的废气量为</w:t>
            </w:r>
            <w:r>
              <w:rPr>
                <w:rFonts w:hint="eastAsia" w:ascii="Times New Roman" w:hAnsi="Times New Roman" w:cs="Times New Roman"/>
                <w:color w:val="auto"/>
                <w:szCs w:val="24"/>
                <w:lang w:val="en-US" w:eastAsia="zh-CN"/>
              </w:rPr>
              <w:t>8.69535kg</w:t>
            </w:r>
            <w:r>
              <w:rPr>
                <w:rFonts w:ascii="Times New Roman" w:hAnsi="Times New Roman" w:cs="Times New Roman"/>
                <w:color w:val="auto"/>
                <w:szCs w:val="24"/>
              </w:rPr>
              <w:t>/a。根据《简明通风设计手册》（中国建筑工业出版社，孙一坚主编）</w:t>
            </w:r>
            <w:r>
              <w:rPr>
                <w:rFonts w:hint="eastAsia" w:eastAsia="宋体" w:cs="宋体"/>
                <w:color w:val="auto"/>
                <w:szCs w:val="24"/>
              </w:rPr>
              <w:t>：“活性</w:t>
            </w:r>
            <w:r>
              <w:rPr>
                <w:rFonts w:ascii="Times New Roman" w:hAnsi="Times New Roman" w:cs="Times New Roman"/>
                <w:color w:val="auto"/>
                <w:szCs w:val="24"/>
              </w:rPr>
              <w:t>炭的有效吸附量qe＝0.25g/g-活性炭</w:t>
            </w:r>
            <w:r>
              <w:rPr>
                <w:rFonts w:hint="eastAsia" w:eastAsia="宋体" w:cs="宋体"/>
                <w:color w:val="auto"/>
                <w:szCs w:val="24"/>
              </w:rPr>
              <w:t>”</w:t>
            </w:r>
            <w:r>
              <w:rPr>
                <w:rFonts w:ascii="Times New Roman" w:hAnsi="Times New Roman" w:cs="Times New Roman"/>
                <w:color w:val="auto"/>
                <w:szCs w:val="24"/>
              </w:rPr>
              <w:t>。因此吸附</w:t>
            </w:r>
            <w:r>
              <w:rPr>
                <w:rFonts w:hint="eastAsia" w:ascii="Times New Roman" w:hAnsi="Times New Roman" w:cs="Times New Roman"/>
                <w:color w:val="auto"/>
                <w:szCs w:val="24"/>
                <w:lang w:val="en-US" w:eastAsia="zh-CN"/>
              </w:rPr>
              <w:t>8.69535kg</w:t>
            </w:r>
            <w:r>
              <w:rPr>
                <w:rFonts w:ascii="Times New Roman" w:hAnsi="Times New Roman" w:cs="Times New Roman"/>
                <w:color w:val="auto"/>
                <w:szCs w:val="24"/>
              </w:rPr>
              <w:t>/a的废气需要理论活性炭量为：</w:t>
            </w:r>
            <w:r>
              <w:rPr>
                <w:rFonts w:hint="eastAsia" w:ascii="Times New Roman" w:hAnsi="Times New Roman" w:cs="Times New Roman"/>
                <w:color w:val="auto"/>
                <w:szCs w:val="24"/>
                <w:lang w:val="en-US" w:eastAsia="zh-CN"/>
              </w:rPr>
              <w:t>2.2348</w:t>
            </w:r>
            <w:r>
              <w:rPr>
                <w:rFonts w:ascii="Times New Roman" w:hAnsi="Times New Roman" w:cs="Times New Roman"/>
                <w:color w:val="auto"/>
                <w:szCs w:val="24"/>
              </w:rPr>
              <w:t>/0.25＝</w:t>
            </w:r>
            <w:r>
              <w:rPr>
                <w:rFonts w:hint="eastAsia" w:ascii="Times New Roman" w:hAnsi="Times New Roman" w:cs="Times New Roman"/>
                <w:color w:val="auto"/>
                <w:szCs w:val="24"/>
                <w:lang w:val="en-US" w:eastAsia="zh-CN"/>
              </w:rPr>
              <w:t>0.035</w:t>
            </w:r>
            <w:r>
              <w:rPr>
                <w:rFonts w:ascii="Times New Roman" w:hAnsi="Times New Roman" w:cs="Times New Roman"/>
                <w:color w:val="auto"/>
                <w:szCs w:val="24"/>
              </w:rPr>
              <w:t>t/a。本项目拟设置</w:t>
            </w:r>
            <w:r>
              <w:rPr>
                <w:rFonts w:hint="eastAsia" w:ascii="Times New Roman" w:hAnsi="Times New Roman" w:cs="Times New Roman"/>
                <w:color w:val="auto"/>
                <w:szCs w:val="24"/>
              </w:rPr>
              <w:t>二级活性炭</w:t>
            </w:r>
            <w:r>
              <w:rPr>
                <w:rFonts w:ascii="Times New Roman" w:hAnsi="Times New Roman" w:cs="Times New Roman"/>
                <w:color w:val="auto"/>
                <w:szCs w:val="24"/>
              </w:rPr>
              <w:t>，装置所装活性炭容量为</w:t>
            </w:r>
            <w:r>
              <w:rPr>
                <w:rFonts w:hint="eastAsia" w:ascii="Times New Roman" w:hAnsi="Times New Roman" w:cs="Times New Roman"/>
                <w:color w:val="auto"/>
                <w:szCs w:val="24"/>
                <w:lang w:val="en-US" w:eastAsia="zh-CN"/>
              </w:rPr>
              <w:t>2</w:t>
            </w:r>
            <w:r>
              <w:rPr>
                <w:rFonts w:hint="eastAsia" w:ascii="Times New Roman" w:hAnsi="Times New Roman" w:cs="Times New Roman"/>
                <w:color w:val="auto"/>
                <w:szCs w:val="24"/>
              </w:rPr>
              <w:t>0</w:t>
            </w:r>
            <w:r>
              <w:rPr>
                <w:rFonts w:ascii="Times New Roman" w:hAnsi="Times New Roman" w:cs="Times New Roman"/>
                <w:color w:val="auto"/>
                <w:szCs w:val="24"/>
              </w:rPr>
              <w:t>kg/a，</w:t>
            </w:r>
            <w:r>
              <w:rPr>
                <w:rFonts w:hint="eastAsia" w:ascii="Times New Roman" w:hAnsi="Times New Roman" w:cs="Times New Roman"/>
                <w:color w:val="auto"/>
                <w:szCs w:val="24"/>
                <w:lang w:val="en-US" w:eastAsia="zh-CN"/>
              </w:rPr>
              <w:t>35</w:t>
            </w:r>
            <w:r>
              <w:rPr>
                <w:rFonts w:ascii="Times New Roman" w:hAnsi="Times New Roman" w:cs="Times New Roman"/>
                <w:color w:val="auto"/>
                <w:szCs w:val="24"/>
              </w:rPr>
              <w:t>/</w:t>
            </w:r>
            <w:r>
              <w:rPr>
                <w:rFonts w:hint="eastAsia" w:ascii="Times New Roman" w:hAnsi="Times New Roman" w:cs="Times New Roman"/>
                <w:color w:val="auto"/>
                <w:szCs w:val="24"/>
                <w:lang w:val="en-US" w:eastAsia="zh-CN"/>
              </w:rPr>
              <w:t>2</w:t>
            </w:r>
            <w:r>
              <w:rPr>
                <w:rFonts w:ascii="Times New Roman" w:hAnsi="Times New Roman" w:cs="Times New Roman"/>
                <w:color w:val="auto"/>
                <w:szCs w:val="24"/>
              </w:rPr>
              <w:t>0</w:t>
            </w:r>
            <w:r>
              <w:rPr>
                <w:rFonts w:hint="eastAsia" w:eastAsia="宋体" w:cs="宋体"/>
                <w:color w:val="auto"/>
                <w:szCs w:val="24"/>
              </w:rPr>
              <w:t>≈</w:t>
            </w:r>
            <w:r>
              <w:rPr>
                <w:rFonts w:hint="eastAsia" w:ascii="Times New Roman" w:hAnsi="Times New Roman" w:eastAsia="宋体" w:cs="Times New Roman"/>
                <w:color w:val="auto"/>
                <w:szCs w:val="24"/>
                <w:lang w:val="en-US" w:eastAsia="zh-CN"/>
              </w:rPr>
              <w:t>2</w:t>
            </w:r>
            <w:r>
              <w:rPr>
                <w:rFonts w:ascii="Times New Roman" w:hAnsi="Times New Roman" w:cs="Times New Roman"/>
                <w:color w:val="auto"/>
                <w:szCs w:val="24"/>
              </w:rPr>
              <w:t>次，</w:t>
            </w:r>
            <w:r>
              <w:rPr>
                <w:rFonts w:hint="eastAsia" w:ascii="Times New Roman" w:hAnsi="Times New Roman" w:cs="Times New Roman"/>
                <w:color w:val="auto"/>
                <w:szCs w:val="24"/>
                <w:lang w:val="en-US" w:eastAsia="zh-CN"/>
              </w:rPr>
              <w:t>250</w:t>
            </w:r>
            <w:r>
              <w:rPr>
                <w:rFonts w:ascii="Times New Roman" w:hAnsi="Times New Roman" w:cs="Times New Roman"/>
                <w:color w:val="auto"/>
                <w:szCs w:val="24"/>
              </w:rPr>
              <w:t>d/</w:t>
            </w:r>
            <w:r>
              <w:rPr>
                <w:rFonts w:hint="eastAsia" w:ascii="Times New Roman" w:hAnsi="Times New Roman" w:cs="Times New Roman"/>
                <w:color w:val="auto"/>
                <w:szCs w:val="24"/>
                <w:lang w:val="en-US" w:eastAsia="zh-CN"/>
              </w:rPr>
              <w:t>2</w:t>
            </w:r>
            <w:r>
              <w:rPr>
                <w:rFonts w:ascii="Times New Roman" w:hAnsi="Times New Roman" w:cs="Times New Roman"/>
                <w:color w:val="auto"/>
                <w:szCs w:val="24"/>
              </w:rPr>
              <w:t>次＝</w:t>
            </w:r>
            <w:r>
              <w:rPr>
                <w:rFonts w:hint="eastAsia" w:ascii="Times New Roman" w:hAnsi="Times New Roman" w:cs="Times New Roman"/>
                <w:color w:val="auto"/>
                <w:szCs w:val="24"/>
                <w:lang w:val="en-US" w:eastAsia="zh-CN"/>
              </w:rPr>
              <w:t>125</w:t>
            </w:r>
            <w:r>
              <w:rPr>
                <w:rFonts w:ascii="Times New Roman" w:hAnsi="Times New Roman" w:cs="Times New Roman"/>
                <w:color w:val="auto"/>
                <w:szCs w:val="24"/>
              </w:rPr>
              <w:t>d/次，因此本项目达产后活性炭装置更换周期</w:t>
            </w:r>
            <w:r>
              <w:rPr>
                <w:rFonts w:hint="eastAsia" w:ascii="Times New Roman" w:hAnsi="Times New Roman" w:cs="Times New Roman"/>
                <w:color w:val="auto"/>
                <w:szCs w:val="24"/>
              </w:rPr>
              <w:t>16</w:t>
            </w:r>
            <w:r>
              <w:rPr>
                <w:rFonts w:ascii="Times New Roman" w:hAnsi="Times New Roman" w:cs="Times New Roman"/>
                <w:color w:val="auto"/>
                <w:szCs w:val="24"/>
              </w:rPr>
              <w:t>d/次，则本项目废活性炭产生量</w:t>
            </w:r>
            <w:r>
              <w:rPr>
                <w:rFonts w:hint="eastAsia" w:ascii="Times New Roman" w:hAnsi="Times New Roman" w:cs="Times New Roman"/>
                <w:color w:val="auto"/>
                <w:szCs w:val="24"/>
                <w:lang w:eastAsia="zh-CN"/>
              </w:rPr>
              <w:t>约</w:t>
            </w:r>
            <w:r>
              <w:rPr>
                <w:rFonts w:ascii="Times New Roman" w:hAnsi="Times New Roman" w:cs="Times New Roman"/>
                <w:color w:val="auto"/>
                <w:szCs w:val="24"/>
              </w:rPr>
              <w:t>为</w:t>
            </w:r>
            <w:r>
              <w:rPr>
                <w:rFonts w:hint="eastAsia" w:ascii="Times New Roman" w:hAnsi="Times New Roman" w:cs="Times New Roman"/>
                <w:color w:val="auto"/>
                <w:szCs w:val="24"/>
                <w:lang w:val="en-US" w:eastAsia="zh-CN"/>
              </w:rPr>
              <w:t>0.044</w:t>
            </w:r>
            <w:r>
              <w:rPr>
                <w:rFonts w:ascii="Times New Roman" w:hAnsi="Times New Roman" w:cs="Times New Roman"/>
                <w:color w:val="auto"/>
                <w:szCs w:val="24"/>
              </w:rPr>
              <w:t>t/a。对照《国家危险废物名录（202</w:t>
            </w:r>
            <w:r>
              <w:rPr>
                <w:rFonts w:hint="eastAsia" w:ascii="Times New Roman" w:hAnsi="Times New Roman" w:cs="Times New Roman"/>
                <w:color w:val="auto"/>
                <w:szCs w:val="24"/>
                <w:lang w:val="en-US" w:eastAsia="zh-CN"/>
              </w:rPr>
              <w:t>5</w:t>
            </w:r>
            <w:r>
              <w:rPr>
                <w:rFonts w:ascii="Times New Roman" w:hAnsi="Times New Roman" w:cs="Times New Roman"/>
                <w:color w:val="auto"/>
                <w:szCs w:val="24"/>
              </w:rPr>
              <w:t>年版）》，废活性炭属于危险废物，废物类别为HW49其他废物，废物代码为900-039-49，更换下来的废活性炭收集后委托具有危险废物处理资质单位处置。</w:t>
            </w:r>
          </w:p>
          <w:p w14:paraId="74B93EBD">
            <w:pPr>
              <w:pStyle w:val="51"/>
              <w:ind w:firstLine="480"/>
              <w:rPr>
                <w:rFonts w:hint="eastAsia" w:ascii="Times New Roman" w:hAnsi="Times New Roman" w:eastAsia="宋体" w:cs="Times New Roman"/>
                <w:bCs/>
                <w:color w:val="auto"/>
                <w:szCs w:val="24"/>
                <w:lang w:val="en-US" w:eastAsia="zh-CN"/>
              </w:rPr>
            </w:pPr>
            <w:r>
              <w:rPr>
                <w:rFonts w:hint="eastAsia" w:ascii="Times New Roman" w:hAnsi="Times New Roman" w:eastAsia="宋体" w:cs="Times New Roman"/>
                <w:bCs/>
                <w:color w:val="auto"/>
                <w:szCs w:val="24"/>
              </w:rPr>
              <w:t>（2）废</w:t>
            </w:r>
            <w:r>
              <w:rPr>
                <w:rFonts w:hint="eastAsia" w:ascii="Times New Roman" w:hAnsi="Times New Roman" w:eastAsia="宋体" w:cs="Times New Roman"/>
                <w:bCs/>
                <w:color w:val="auto"/>
                <w:szCs w:val="24"/>
                <w:lang w:eastAsia="zh-CN"/>
              </w:rPr>
              <w:t>药剂瓶</w:t>
            </w:r>
          </w:p>
          <w:p w14:paraId="060B5AEA">
            <w:pPr>
              <w:pStyle w:val="51"/>
              <w:ind w:firstLine="480"/>
              <w:rPr>
                <w:rFonts w:ascii="Times New Roman" w:hAnsi="Times New Roman" w:cs="Times New Roman"/>
                <w:color w:val="auto"/>
                <w:szCs w:val="24"/>
              </w:rPr>
            </w:pPr>
            <w:r>
              <w:rPr>
                <w:rFonts w:hint="eastAsia" w:ascii="Times New Roman" w:hAnsi="Times New Roman" w:eastAsia="宋体" w:cs="Times New Roman"/>
                <w:bCs/>
                <w:color w:val="auto"/>
                <w:szCs w:val="24"/>
              </w:rPr>
              <w:t>本项目酚酞</w:t>
            </w:r>
            <w:r>
              <w:rPr>
                <w:rFonts w:hint="eastAsia" w:ascii="Times New Roman" w:hAnsi="Times New Roman" w:eastAsia="宋体" w:cs="Times New Roman"/>
                <w:bCs/>
                <w:color w:val="auto"/>
                <w:szCs w:val="24"/>
                <w:lang w:eastAsia="zh-CN"/>
              </w:rPr>
              <w:t>等</w:t>
            </w:r>
            <w:r>
              <w:rPr>
                <w:rFonts w:hint="eastAsia" w:ascii="Times New Roman" w:hAnsi="Times New Roman" w:eastAsia="宋体" w:cs="Times New Roman"/>
                <w:bCs/>
                <w:color w:val="auto"/>
                <w:szCs w:val="24"/>
              </w:rPr>
              <w:t>使用</w:t>
            </w:r>
            <w:r>
              <w:rPr>
                <w:rFonts w:hint="eastAsia" w:ascii="Times New Roman" w:hAnsi="Times New Roman" w:eastAsia="宋体" w:cs="Times New Roman"/>
                <w:bCs/>
                <w:color w:val="auto"/>
                <w:szCs w:val="24"/>
                <w:lang w:eastAsia="zh-CN"/>
              </w:rPr>
              <w:t>瓶装</w:t>
            </w:r>
            <w:r>
              <w:rPr>
                <w:rFonts w:hint="eastAsia" w:ascii="Times New Roman" w:hAnsi="Times New Roman" w:eastAsia="宋体" w:cs="Times New Roman"/>
                <w:bCs/>
                <w:color w:val="auto"/>
                <w:szCs w:val="24"/>
              </w:rPr>
              <w:t>，使用过后会产生废</w:t>
            </w:r>
            <w:r>
              <w:rPr>
                <w:rFonts w:hint="eastAsia" w:ascii="Times New Roman" w:hAnsi="Times New Roman" w:eastAsia="宋体" w:cs="Times New Roman"/>
                <w:bCs/>
                <w:color w:val="auto"/>
                <w:szCs w:val="24"/>
                <w:lang w:eastAsia="zh-CN"/>
              </w:rPr>
              <w:t>药剂瓶</w:t>
            </w:r>
            <w:r>
              <w:rPr>
                <w:rFonts w:hint="eastAsia" w:ascii="Times New Roman" w:hAnsi="Times New Roman" w:eastAsia="宋体" w:cs="Times New Roman"/>
                <w:bCs/>
                <w:color w:val="auto"/>
                <w:szCs w:val="24"/>
              </w:rPr>
              <w:t>，</w:t>
            </w:r>
            <w:r>
              <w:rPr>
                <w:rFonts w:hint="eastAsia" w:ascii="Times New Roman" w:hAnsi="Times New Roman" w:cs="Times New Roman"/>
                <w:color w:val="auto"/>
                <w:szCs w:val="24"/>
              </w:rPr>
              <w:t>预计</w:t>
            </w:r>
            <w:r>
              <w:rPr>
                <w:rFonts w:hint="eastAsia" w:ascii="Times New Roman" w:hAnsi="Times New Roman" w:eastAsia="宋体" w:cs="Times New Roman"/>
                <w:bCs/>
                <w:color w:val="auto"/>
                <w:szCs w:val="24"/>
              </w:rPr>
              <w:t>废</w:t>
            </w:r>
            <w:r>
              <w:rPr>
                <w:rFonts w:hint="eastAsia" w:ascii="Times New Roman" w:hAnsi="Times New Roman" w:eastAsia="宋体" w:cs="Times New Roman"/>
                <w:bCs/>
                <w:color w:val="auto"/>
                <w:szCs w:val="24"/>
                <w:lang w:eastAsia="zh-CN"/>
              </w:rPr>
              <w:t>药剂瓶</w:t>
            </w:r>
            <w:r>
              <w:rPr>
                <w:rFonts w:hint="eastAsia" w:ascii="Times New Roman" w:hAnsi="Times New Roman" w:cs="Times New Roman"/>
                <w:color w:val="auto"/>
                <w:szCs w:val="24"/>
              </w:rPr>
              <w:t>产生量</w:t>
            </w:r>
            <w:r>
              <w:rPr>
                <w:rFonts w:hint="eastAsia" w:ascii="Times New Roman" w:hAnsi="Times New Roman" w:cs="Times New Roman"/>
                <w:color w:val="auto"/>
                <w:szCs w:val="24"/>
                <w:lang w:eastAsia="zh-CN"/>
              </w:rPr>
              <w:t>约</w:t>
            </w:r>
            <w:r>
              <w:rPr>
                <w:rFonts w:hint="eastAsia" w:ascii="Times New Roman" w:hAnsi="Times New Roman" w:cs="Times New Roman"/>
                <w:color w:val="auto"/>
                <w:szCs w:val="24"/>
              </w:rPr>
              <w:t>为</w:t>
            </w:r>
            <w:r>
              <w:rPr>
                <w:rFonts w:hint="eastAsia" w:ascii="Times New Roman" w:hAnsi="Times New Roman" w:cs="Times New Roman"/>
                <w:color w:val="auto"/>
                <w:szCs w:val="24"/>
                <w:lang w:val="en-US" w:eastAsia="zh-CN"/>
              </w:rPr>
              <w:t>0.05t</w:t>
            </w:r>
            <w:r>
              <w:rPr>
                <w:rFonts w:hint="eastAsia" w:ascii="Times New Roman" w:hAnsi="Times New Roman" w:cs="Times New Roman"/>
                <w:color w:val="auto"/>
                <w:szCs w:val="24"/>
              </w:rPr>
              <w:t>/</w:t>
            </w:r>
            <w:r>
              <w:rPr>
                <w:rFonts w:hint="eastAsia" w:ascii="Times New Roman" w:hAnsi="Times New Roman" w:cs="Times New Roman"/>
                <w:color w:val="auto"/>
                <w:szCs w:val="24"/>
                <w:lang w:val="en-US" w:eastAsia="zh-CN"/>
              </w:rPr>
              <w:t>a</w:t>
            </w:r>
            <w:r>
              <w:rPr>
                <w:rFonts w:hint="eastAsia" w:ascii="Times New Roman" w:hAnsi="Times New Roman" w:cs="Times New Roman"/>
                <w:color w:val="auto"/>
                <w:szCs w:val="24"/>
              </w:rPr>
              <w:t>。</w:t>
            </w:r>
            <w:r>
              <w:rPr>
                <w:rFonts w:ascii="Times New Roman" w:hAnsi="Times New Roman" w:cs="Times New Roman"/>
                <w:color w:val="auto"/>
                <w:szCs w:val="24"/>
              </w:rPr>
              <w:t>对照《国家危险废物名录（202</w:t>
            </w:r>
            <w:r>
              <w:rPr>
                <w:rFonts w:hint="eastAsia" w:ascii="Times New Roman" w:hAnsi="Times New Roman" w:cs="Times New Roman"/>
                <w:color w:val="auto"/>
                <w:szCs w:val="24"/>
                <w:lang w:val="en-US" w:eastAsia="zh-CN"/>
              </w:rPr>
              <w:t>5</w:t>
            </w:r>
            <w:r>
              <w:rPr>
                <w:rFonts w:ascii="Times New Roman" w:hAnsi="Times New Roman" w:cs="Times New Roman"/>
                <w:color w:val="auto"/>
                <w:szCs w:val="24"/>
              </w:rPr>
              <w:t>年版）》，</w:t>
            </w:r>
            <w:r>
              <w:rPr>
                <w:rFonts w:hint="eastAsia" w:ascii="Times New Roman" w:hAnsi="Times New Roman" w:eastAsia="宋体" w:cs="Times New Roman"/>
                <w:bCs/>
                <w:color w:val="auto"/>
                <w:szCs w:val="24"/>
              </w:rPr>
              <w:t>废</w:t>
            </w:r>
            <w:r>
              <w:rPr>
                <w:rFonts w:hint="eastAsia" w:ascii="Times New Roman" w:hAnsi="Times New Roman" w:eastAsia="宋体" w:cs="Times New Roman"/>
                <w:bCs/>
                <w:color w:val="auto"/>
                <w:szCs w:val="24"/>
                <w:lang w:eastAsia="zh-CN"/>
              </w:rPr>
              <w:t>药剂瓶</w:t>
            </w:r>
            <w:r>
              <w:rPr>
                <w:rFonts w:ascii="Times New Roman" w:hAnsi="Times New Roman" w:cs="Times New Roman"/>
                <w:color w:val="auto"/>
                <w:szCs w:val="24"/>
              </w:rPr>
              <w:t>属于危险废物，废物类别为HW49其他废物，废物代码为900-041-49，更换下来的</w:t>
            </w:r>
            <w:r>
              <w:rPr>
                <w:rFonts w:hint="eastAsia" w:ascii="Times New Roman" w:hAnsi="Times New Roman" w:eastAsia="宋体" w:cs="Times New Roman"/>
                <w:bCs/>
                <w:color w:val="auto"/>
                <w:szCs w:val="24"/>
              </w:rPr>
              <w:t>废</w:t>
            </w:r>
            <w:r>
              <w:rPr>
                <w:rFonts w:hint="eastAsia" w:ascii="Times New Roman" w:hAnsi="Times New Roman" w:eastAsia="宋体" w:cs="Times New Roman"/>
                <w:bCs/>
                <w:color w:val="auto"/>
                <w:szCs w:val="24"/>
                <w:lang w:eastAsia="zh-CN"/>
              </w:rPr>
              <w:t>药剂瓶</w:t>
            </w:r>
            <w:r>
              <w:rPr>
                <w:rFonts w:ascii="Times New Roman" w:hAnsi="Times New Roman" w:cs="Times New Roman"/>
                <w:color w:val="auto"/>
                <w:szCs w:val="24"/>
              </w:rPr>
              <w:t>收集后委托具有危险废物处理资质单位处置。</w:t>
            </w:r>
          </w:p>
          <w:p w14:paraId="0EB4CDC0">
            <w:pPr>
              <w:spacing w:line="360" w:lineRule="auto"/>
              <w:ind w:firstLine="420" w:firstLineChars="200"/>
              <w:rPr>
                <w:rFonts w:hint="default" w:ascii="Times New Roman" w:hAnsi="Times New Roman" w:cs="Times New Roman" w:eastAsiaTheme="minorEastAsia"/>
                <w:color w:val="auto"/>
                <w:sz w:val="24"/>
                <w:lang w:val="en-US" w:eastAsia="zh-CN"/>
              </w:rPr>
            </w:pPr>
            <w:r>
              <w:rPr>
                <w:rFonts w:hint="eastAsia" w:ascii="Times New Roman" w:hAnsi="Times New Roman" w:eastAsia="宋体" w:cs="Times New Roman"/>
                <w:bCs/>
                <w:color w:val="auto"/>
                <w:szCs w:val="24"/>
              </w:rPr>
              <w:t>（3</w:t>
            </w:r>
            <w:r>
              <w:rPr>
                <w:rFonts w:hint="eastAsia" w:ascii="Times New Roman" w:hAnsi="Times New Roman" w:cs="Times New Roman"/>
                <w:color w:val="auto"/>
                <w:sz w:val="24"/>
                <w:lang w:val="en-AU" w:eastAsia="zh-CN"/>
              </w:rPr>
              <w:t>实验废液</w:t>
            </w:r>
          </w:p>
          <w:p w14:paraId="626803CE">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实验过程会产生少量实验废液和清洗废液</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highlight w:val="none"/>
              </w:rPr>
              <w:t>产生量约为</w:t>
            </w:r>
            <w:r>
              <w:rPr>
                <w:rFonts w:hint="eastAsia" w:ascii="Times New Roman" w:hAnsi="Times New Roman" w:cs="Times New Roman"/>
                <w:color w:val="auto"/>
                <w:sz w:val="24"/>
                <w:highlight w:val="none"/>
                <w:lang w:val="en-US" w:eastAsia="zh-CN"/>
              </w:rPr>
              <w:t>500L</w:t>
            </w:r>
            <w:r>
              <w:rPr>
                <w:rFonts w:hint="default" w:ascii="Times New Roman" w:hAnsi="Times New Roman" w:cs="Times New Roman"/>
                <w:color w:val="auto"/>
                <w:sz w:val="24"/>
                <w:highlight w:val="none"/>
              </w:rPr>
              <w:t>/a</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szCs w:val="24"/>
                <w:highlight w:val="none"/>
                <w:lang w:eastAsia="zh-CN"/>
              </w:rPr>
              <w:t>对照</w:t>
            </w:r>
            <w:r>
              <w:rPr>
                <w:rFonts w:hint="default" w:ascii="Times New Roman" w:hAnsi="Times New Roman" w:cs="Times New Roman"/>
                <w:color w:val="auto"/>
                <w:sz w:val="24"/>
                <w:szCs w:val="24"/>
                <w:highlight w:val="none"/>
              </w:rPr>
              <w:t>《国家危险废物名录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年版</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lang w:val="en-AU" w:eastAsia="zh-CN"/>
              </w:rPr>
              <w:t>实验废液</w:t>
            </w:r>
            <w:r>
              <w:rPr>
                <w:rFonts w:hint="default" w:ascii="Times New Roman" w:hAnsi="Times New Roman" w:cs="Times New Roman"/>
                <w:color w:val="auto"/>
                <w:sz w:val="24"/>
                <w:szCs w:val="24"/>
                <w:highlight w:val="none"/>
                <w:lang w:val="en-US" w:eastAsia="zh-CN"/>
              </w:rPr>
              <w:t>属于危险废物，废物类别为HW</w:t>
            </w:r>
            <w:r>
              <w:rPr>
                <w:rFonts w:hint="eastAsia" w:ascii="Times New Roman" w:hAnsi="Times New Roman" w:cs="Times New Roman"/>
                <w:color w:val="auto"/>
                <w:sz w:val="24"/>
                <w:szCs w:val="24"/>
                <w:highlight w:val="none"/>
                <w:lang w:val="en-US" w:eastAsia="zh-CN"/>
              </w:rPr>
              <w:t>49其他废物</w:t>
            </w:r>
            <w:r>
              <w:rPr>
                <w:rFonts w:hint="default" w:ascii="Times New Roman" w:hAnsi="Times New Roman" w:cs="Times New Roman"/>
                <w:color w:val="auto"/>
                <w:sz w:val="24"/>
                <w:szCs w:val="24"/>
                <w:highlight w:val="none"/>
                <w:lang w:val="en-US" w:eastAsia="zh-CN"/>
              </w:rPr>
              <w:t>，废物代码为900-0</w:t>
            </w:r>
            <w:r>
              <w:rPr>
                <w:rFonts w:hint="eastAsia" w:ascii="Times New Roman" w:hAnsi="Times New Roman" w:cs="Times New Roman"/>
                <w:color w:val="auto"/>
                <w:sz w:val="24"/>
                <w:szCs w:val="24"/>
                <w:highlight w:val="none"/>
                <w:lang w:val="en-US" w:eastAsia="zh-CN"/>
              </w:rPr>
              <w:t>47</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49</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lang w:val="en-AU" w:eastAsia="zh-CN"/>
              </w:rPr>
              <w:t>实验废液</w:t>
            </w:r>
            <w:r>
              <w:rPr>
                <w:rFonts w:hint="default" w:ascii="Times New Roman" w:hAnsi="Times New Roman" w:cs="Times New Roman"/>
                <w:color w:val="auto"/>
                <w:sz w:val="24"/>
                <w:szCs w:val="24"/>
                <w:highlight w:val="none"/>
              </w:rPr>
              <w:t>经收集后暂存于车间内危险废物暂存库内，委托具有危险废物处理资质单位处置。</w:t>
            </w:r>
          </w:p>
          <w:p w14:paraId="6A2EE997">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AU"/>
              </w:rPr>
              <w:t>根据《建设项目危险废物环境影响评价指南》（公告</w:t>
            </w:r>
            <w:r>
              <w:rPr>
                <w:rFonts w:ascii="Times New Roman" w:hAnsi="Times New Roman" w:cs="Times New Roman"/>
                <w:color w:val="auto"/>
                <w:sz w:val="24"/>
              </w:rPr>
              <w:t>2017第43号，2017年10月01日实施，环境保护部</w:t>
            </w:r>
            <w:r>
              <w:rPr>
                <w:rFonts w:ascii="Times New Roman" w:hAnsi="Times New Roman" w:cs="Times New Roman"/>
                <w:color w:val="auto"/>
                <w:sz w:val="24"/>
                <w:lang w:val="en-AU"/>
              </w:rPr>
              <w:t>）</w:t>
            </w:r>
            <w:r>
              <w:rPr>
                <w:rFonts w:hint="eastAsia" w:ascii="Times New Roman" w:hAnsi="Times New Roman" w:cs="Times New Roman"/>
                <w:color w:val="auto"/>
                <w:sz w:val="24"/>
                <w:lang w:val="en-AU"/>
              </w:rPr>
              <w:t>、《排污许可证申请与核发技术规范</w:t>
            </w:r>
            <w:r>
              <w:rPr>
                <w:rFonts w:hint="eastAsia" w:ascii="Times New Roman" w:hAnsi="Times New Roman" w:cs="Times New Roman"/>
                <w:color w:val="auto"/>
                <w:sz w:val="24"/>
              </w:rPr>
              <w:t>-</w:t>
            </w:r>
            <w:r>
              <w:rPr>
                <w:rFonts w:hint="eastAsia" w:ascii="Times New Roman" w:hAnsi="Times New Roman" w:cs="Times New Roman"/>
                <w:color w:val="auto"/>
                <w:sz w:val="24"/>
                <w:lang w:val="en-AU"/>
              </w:rPr>
              <w:t>工业固体废物（试行）》（HJ1200-2021）等</w:t>
            </w:r>
            <w:r>
              <w:rPr>
                <w:rFonts w:ascii="Times New Roman" w:hAnsi="Times New Roman" w:cs="Times New Roman"/>
                <w:color w:val="auto"/>
                <w:sz w:val="24"/>
                <w:lang w:val="en-AU"/>
              </w:rPr>
              <w:t>，本项目危险废物汇总表见表</w:t>
            </w:r>
            <w:r>
              <w:rPr>
                <w:rFonts w:ascii="Times New Roman" w:hAnsi="Times New Roman" w:cs="Times New Roman"/>
                <w:color w:val="auto"/>
                <w:sz w:val="24"/>
              </w:rPr>
              <w:t>4.</w:t>
            </w:r>
            <w:r>
              <w:rPr>
                <w:rFonts w:hint="eastAsia" w:ascii="Times New Roman" w:hAnsi="Times New Roman" w:cs="Times New Roman"/>
                <w:color w:val="auto"/>
                <w:sz w:val="24"/>
              </w:rPr>
              <w:t>1</w:t>
            </w:r>
            <w:r>
              <w:rPr>
                <w:rFonts w:hint="eastAsia" w:ascii="Times New Roman" w:hAnsi="Times New Roman" w:cs="Times New Roman"/>
                <w:color w:val="auto"/>
                <w:sz w:val="24"/>
                <w:lang w:val="en-US" w:eastAsia="zh-CN"/>
              </w:rPr>
              <w:t>2</w:t>
            </w:r>
            <w:r>
              <w:rPr>
                <w:rFonts w:ascii="Times New Roman" w:hAnsi="Times New Roman" w:cs="Times New Roman"/>
                <w:color w:val="auto"/>
                <w:sz w:val="24"/>
              </w:rPr>
              <w:t>。</w:t>
            </w:r>
          </w:p>
          <w:p w14:paraId="7CE4BD34">
            <w:pPr>
              <w:jc w:val="center"/>
              <w:rPr>
                <w:rFonts w:ascii="Times New Roman" w:hAnsi="Times New Roman" w:cs="Times New Roman"/>
                <w:b/>
                <w:bCs/>
                <w:color w:val="auto"/>
                <w:sz w:val="24"/>
              </w:rPr>
            </w:pPr>
          </w:p>
          <w:p w14:paraId="1B3DD447">
            <w:pPr>
              <w:jc w:val="center"/>
              <w:rPr>
                <w:rFonts w:ascii="Times New Roman" w:hAnsi="Times New Roman" w:cs="Times New Roman"/>
                <w:b/>
                <w:bCs/>
                <w:color w:val="auto"/>
                <w:sz w:val="24"/>
              </w:rPr>
            </w:pPr>
            <w:r>
              <w:rPr>
                <w:rFonts w:ascii="Times New Roman" w:hAnsi="Times New Roman" w:cs="Times New Roman"/>
                <w:b/>
                <w:bCs/>
                <w:color w:val="auto"/>
                <w:sz w:val="24"/>
              </w:rPr>
              <w:t>表4.</w:t>
            </w:r>
            <w:r>
              <w:rPr>
                <w:rFonts w:hint="eastAsia" w:ascii="Times New Roman" w:hAnsi="Times New Roman" w:cs="Times New Roman"/>
                <w:b/>
                <w:bCs/>
                <w:color w:val="auto"/>
                <w:sz w:val="24"/>
              </w:rPr>
              <w:t>1</w:t>
            </w:r>
            <w:r>
              <w:rPr>
                <w:rFonts w:hint="eastAsia" w:ascii="Times New Roman" w:hAnsi="Times New Roman" w:cs="Times New Roman"/>
                <w:b/>
                <w:bCs/>
                <w:color w:val="auto"/>
                <w:sz w:val="24"/>
                <w:lang w:val="en-US" w:eastAsia="zh-CN"/>
              </w:rPr>
              <w:t>2</w:t>
            </w:r>
            <w:r>
              <w:rPr>
                <w:rFonts w:ascii="Times New Roman" w:hAnsi="Times New Roman" w:cs="Times New Roman"/>
                <w:b/>
                <w:bCs/>
                <w:color w:val="auto"/>
                <w:sz w:val="24"/>
              </w:rPr>
              <w:t xml:space="preserve">  建设项目危险废物汇总表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457"/>
              <w:gridCol w:w="1056"/>
              <w:gridCol w:w="1295"/>
              <w:gridCol w:w="1058"/>
              <w:gridCol w:w="1057"/>
              <w:gridCol w:w="1058"/>
              <w:gridCol w:w="1057"/>
              <w:gridCol w:w="1059"/>
            </w:tblGrid>
            <w:tr w14:paraId="6A8D6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1C850F88">
                  <w:pPr>
                    <w:pStyle w:val="34"/>
                    <w:jc w:val="center"/>
                    <w:rPr>
                      <w:color w:val="auto"/>
                      <w:sz w:val="21"/>
                      <w:szCs w:val="21"/>
                    </w:rPr>
                  </w:pPr>
                  <w:r>
                    <w:rPr>
                      <w:color w:val="auto"/>
                      <w:sz w:val="21"/>
                      <w:szCs w:val="21"/>
                    </w:rPr>
                    <w:t>序号</w:t>
                  </w:r>
                </w:p>
              </w:tc>
              <w:tc>
                <w:tcPr>
                  <w:tcW w:w="1457" w:type="dxa"/>
                  <w:vAlign w:val="center"/>
                </w:tcPr>
                <w:p w14:paraId="1CAC8089">
                  <w:pPr>
                    <w:pStyle w:val="34"/>
                    <w:jc w:val="center"/>
                    <w:rPr>
                      <w:color w:val="auto"/>
                      <w:sz w:val="21"/>
                      <w:szCs w:val="21"/>
                    </w:rPr>
                  </w:pPr>
                  <w:r>
                    <w:rPr>
                      <w:color w:val="auto"/>
                      <w:sz w:val="21"/>
                      <w:szCs w:val="21"/>
                    </w:rPr>
                    <w:t>危险废物</w:t>
                  </w:r>
                </w:p>
                <w:p w14:paraId="485207EE">
                  <w:pPr>
                    <w:pStyle w:val="34"/>
                    <w:jc w:val="center"/>
                    <w:rPr>
                      <w:color w:val="auto"/>
                      <w:sz w:val="21"/>
                      <w:szCs w:val="21"/>
                    </w:rPr>
                  </w:pPr>
                  <w:r>
                    <w:rPr>
                      <w:color w:val="auto"/>
                      <w:sz w:val="21"/>
                      <w:szCs w:val="21"/>
                    </w:rPr>
                    <w:t>名称</w:t>
                  </w:r>
                </w:p>
              </w:tc>
              <w:tc>
                <w:tcPr>
                  <w:tcW w:w="1056" w:type="dxa"/>
                  <w:vAlign w:val="center"/>
                </w:tcPr>
                <w:p w14:paraId="66961BB9">
                  <w:pPr>
                    <w:pStyle w:val="34"/>
                    <w:jc w:val="center"/>
                    <w:rPr>
                      <w:color w:val="auto"/>
                      <w:sz w:val="21"/>
                      <w:szCs w:val="21"/>
                    </w:rPr>
                  </w:pPr>
                  <w:r>
                    <w:rPr>
                      <w:color w:val="auto"/>
                      <w:sz w:val="21"/>
                      <w:szCs w:val="21"/>
                    </w:rPr>
                    <w:t>危险废物类别</w:t>
                  </w:r>
                </w:p>
              </w:tc>
              <w:tc>
                <w:tcPr>
                  <w:tcW w:w="1295" w:type="dxa"/>
                  <w:vAlign w:val="center"/>
                </w:tcPr>
                <w:p w14:paraId="68EAE125">
                  <w:pPr>
                    <w:pStyle w:val="34"/>
                    <w:jc w:val="center"/>
                    <w:rPr>
                      <w:color w:val="auto"/>
                      <w:sz w:val="21"/>
                      <w:szCs w:val="21"/>
                    </w:rPr>
                  </w:pPr>
                  <w:r>
                    <w:rPr>
                      <w:color w:val="auto"/>
                      <w:sz w:val="21"/>
                      <w:szCs w:val="21"/>
                    </w:rPr>
                    <w:t>危险废物代码</w:t>
                  </w:r>
                </w:p>
              </w:tc>
              <w:tc>
                <w:tcPr>
                  <w:tcW w:w="1058" w:type="dxa"/>
                  <w:vAlign w:val="center"/>
                </w:tcPr>
                <w:p w14:paraId="1DDFB3AB">
                  <w:pPr>
                    <w:pStyle w:val="34"/>
                    <w:jc w:val="center"/>
                    <w:rPr>
                      <w:color w:val="auto"/>
                      <w:sz w:val="21"/>
                      <w:szCs w:val="21"/>
                    </w:rPr>
                  </w:pPr>
                  <w:r>
                    <w:rPr>
                      <w:color w:val="auto"/>
                      <w:sz w:val="21"/>
                      <w:szCs w:val="21"/>
                    </w:rPr>
                    <w:t>产生量（吨/年</w:t>
                  </w:r>
                  <w:r>
                    <w:rPr>
                      <w:rFonts w:hint="eastAsia"/>
                      <w:color w:val="auto"/>
                      <w:sz w:val="21"/>
                      <w:szCs w:val="21"/>
                      <w:lang w:val="en-US" w:eastAsia="zh-CN"/>
                    </w:rPr>
                    <w:t>orL/a</w:t>
                  </w:r>
                  <w:r>
                    <w:rPr>
                      <w:color w:val="auto"/>
                      <w:sz w:val="21"/>
                      <w:szCs w:val="21"/>
                    </w:rPr>
                    <w:t>）</w:t>
                  </w:r>
                </w:p>
              </w:tc>
              <w:tc>
                <w:tcPr>
                  <w:tcW w:w="1057" w:type="dxa"/>
                  <w:vAlign w:val="center"/>
                </w:tcPr>
                <w:p w14:paraId="710278C8">
                  <w:pPr>
                    <w:pStyle w:val="34"/>
                    <w:jc w:val="center"/>
                    <w:rPr>
                      <w:color w:val="auto"/>
                      <w:sz w:val="21"/>
                      <w:szCs w:val="21"/>
                    </w:rPr>
                  </w:pPr>
                  <w:r>
                    <w:rPr>
                      <w:rFonts w:hint="eastAsia"/>
                      <w:color w:val="auto"/>
                      <w:sz w:val="21"/>
                      <w:szCs w:val="21"/>
                    </w:rPr>
                    <w:t>产生</w:t>
                  </w:r>
                </w:p>
                <w:p w14:paraId="0B1ED50D">
                  <w:pPr>
                    <w:pStyle w:val="34"/>
                    <w:jc w:val="center"/>
                    <w:rPr>
                      <w:color w:val="auto"/>
                      <w:sz w:val="21"/>
                      <w:szCs w:val="21"/>
                    </w:rPr>
                  </w:pPr>
                  <w:r>
                    <w:rPr>
                      <w:rFonts w:hint="eastAsia"/>
                      <w:color w:val="auto"/>
                      <w:sz w:val="21"/>
                      <w:szCs w:val="21"/>
                    </w:rPr>
                    <w:t>环节</w:t>
                  </w:r>
                </w:p>
              </w:tc>
              <w:tc>
                <w:tcPr>
                  <w:tcW w:w="1058" w:type="dxa"/>
                  <w:vAlign w:val="center"/>
                </w:tcPr>
                <w:p w14:paraId="3A3E2D8A">
                  <w:pPr>
                    <w:pStyle w:val="34"/>
                    <w:jc w:val="center"/>
                    <w:rPr>
                      <w:color w:val="auto"/>
                      <w:sz w:val="21"/>
                      <w:szCs w:val="21"/>
                    </w:rPr>
                  </w:pPr>
                  <w:r>
                    <w:rPr>
                      <w:rFonts w:hint="eastAsia"/>
                      <w:color w:val="auto"/>
                      <w:sz w:val="21"/>
                      <w:szCs w:val="21"/>
                    </w:rPr>
                    <w:t>物理性状</w:t>
                  </w:r>
                </w:p>
              </w:tc>
              <w:tc>
                <w:tcPr>
                  <w:tcW w:w="1057" w:type="dxa"/>
                  <w:vAlign w:val="center"/>
                </w:tcPr>
                <w:p w14:paraId="03D2AA14">
                  <w:pPr>
                    <w:pStyle w:val="34"/>
                    <w:jc w:val="center"/>
                    <w:rPr>
                      <w:color w:val="auto"/>
                      <w:sz w:val="21"/>
                      <w:szCs w:val="21"/>
                    </w:rPr>
                  </w:pPr>
                  <w:r>
                    <w:rPr>
                      <w:color w:val="auto"/>
                      <w:sz w:val="21"/>
                      <w:szCs w:val="21"/>
                    </w:rPr>
                    <w:t>危险特性</w:t>
                  </w:r>
                </w:p>
              </w:tc>
              <w:tc>
                <w:tcPr>
                  <w:tcW w:w="1059" w:type="dxa"/>
                  <w:vAlign w:val="center"/>
                </w:tcPr>
                <w:p w14:paraId="4FEC107B">
                  <w:pPr>
                    <w:pStyle w:val="34"/>
                    <w:jc w:val="center"/>
                    <w:rPr>
                      <w:color w:val="auto"/>
                      <w:sz w:val="21"/>
                      <w:szCs w:val="21"/>
                    </w:rPr>
                  </w:pPr>
                  <w:r>
                    <w:rPr>
                      <w:color w:val="auto"/>
                      <w:sz w:val="21"/>
                      <w:szCs w:val="21"/>
                    </w:rPr>
                    <w:t>污染防治措施*</w:t>
                  </w:r>
                  <w:r>
                    <w:rPr>
                      <w:rFonts w:hint="eastAsia"/>
                      <w:color w:val="auto"/>
                      <w:sz w:val="21"/>
                      <w:szCs w:val="21"/>
                    </w:rPr>
                    <w:t>（去向）</w:t>
                  </w:r>
                </w:p>
              </w:tc>
            </w:tr>
            <w:tr w14:paraId="7815B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05E3F350">
                  <w:pPr>
                    <w:pStyle w:val="34"/>
                    <w:jc w:val="center"/>
                    <w:rPr>
                      <w:color w:val="auto"/>
                      <w:sz w:val="21"/>
                      <w:szCs w:val="21"/>
                    </w:rPr>
                  </w:pPr>
                  <w:r>
                    <w:rPr>
                      <w:rFonts w:hint="eastAsia"/>
                      <w:color w:val="auto"/>
                      <w:sz w:val="21"/>
                      <w:szCs w:val="21"/>
                    </w:rPr>
                    <w:t>1</w:t>
                  </w:r>
                </w:p>
              </w:tc>
              <w:tc>
                <w:tcPr>
                  <w:tcW w:w="1457" w:type="dxa"/>
                  <w:vAlign w:val="center"/>
                </w:tcPr>
                <w:p w14:paraId="0F8A9F81">
                  <w:pPr>
                    <w:pStyle w:val="34"/>
                    <w:jc w:val="center"/>
                    <w:rPr>
                      <w:color w:val="auto"/>
                      <w:sz w:val="21"/>
                      <w:szCs w:val="21"/>
                    </w:rPr>
                  </w:pPr>
                  <w:r>
                    <w:rPr>
                      <w:color w:val="auto"/>
                      <w:sz w:val="21"/>
                      <w:szCs w:val="21"/>
                    </w:rPr>
                    <w:t>废活性炭</w:t>
                  </w:r>
                </w:p>
              </w:tc>
              <w:tc>
                <w:tcPr>
                  <w:tcW w:w="1056" w:type="dxa"/>
                  <w:vAlign w:val="center"/>
                </w:tcPr>
                <w:p w14:paraId="4A68F9FE">
                  <w:pPr>
                    <w:pStyle w:val="34"/>
                    <w:jc w:val="center"/>
                    <w:rPr>
                      <w:color w:val="auto"/>
                      <w:sz w:val="21"/>
                      <w:szCs w:val="21"/>
                    </w:rPr>
                  </w:pPr>
                  <w:r>
                    <w:rPr>
                      <w:color w:val="auto"/>
                      <w:sz w:val="21"/>
                      <w:szCs w:val="21"/>
                    </w:rPr>
                    <w:t>HW49</w:t>
                  </w:r>
                </w:p>
              </w:tc>
              <w:tc>
                <w:tcPr>
                  <w:tcW w:w="1295" w:type="dxa"/>
                  <w:vAlign w:val="center"/>
                </w:tcPr>
                <w:p w14:paraId="49D337FA">
                  <w:pPr>
                    <w:pStyle w:val="34"/>
                    <w:jc w:val="center"/>
                    <w:rPr>
                      <w:color w:val="auto"/>
                      <w:sz w:val="21"/>
                      <w:szCs w:val="21"/>
                    </w:rPr>
                  </w:pPr>
                  <w:r>
                    <w:rPr>
                      <w:color w:val="auto"/>
                      <w:sz w:val="21"/>
                      <w:szCs w:val="21"/>
                    </w:rPr>
                    <w:t>900-039-49</w:t>
                  </w:r>
                </w:p>
              </w:tc>
              <w:tc>
                <w:tcPr>
                  <w:tcW w:w="1058" w:type="dxa"/>
                  <w:vAlign w:val="center"/>
                </w:tcPr>
                <w:p w14:paraId="4D473DA9">
                  <w:pPr>
                    <w:pStyle w:val="34"/>
                    <w:jc w:val="center"/>
                    <w:rPr>
                      <w:color w:val="auto"/>
                      <w:sz w:val="21"/>
                      <w:szCs w:val="21"/>
                    </w:rPr>
                  </w:pPr>
                  <w:r>
                    <w:rPr>
                      <w:rFonts w:hint="eastAsia"/>
                      <w:color w:val="auto"/>
                      <w:sz w:val="21"/>
                      <w:szCs w:val="21"/>
                      <w:lang w:val="en-US" w:eastAsia="zh-CN"/>
                    </w:rPr>
                    <w:t>0.044</w:t>
                  </w:r>
                </w:p>
              </w:tc>
              <w:tc>
                <w:tcPr>
                  <w:tcW w:w="1057" w:type="dxa"/>
                  <w:vAlign w:val="center"/>
                </w:tcPr>
                <w:p w14:paraId="259BD376">
                  <w:pPr>
                    <w:pStyle w:val="34"/>
                    <w:jc w:val="center"/>
                    <w:rPr>
                      <w:color w:val="auto"/>
                      <w:sz w:val="21"/>
                      <w:szCs w:val="21"/>
                    </w:rPr>
                  </w:pPr>
                  <w:r>
                    <w:rPr>
                      <w:color w:val="auto"/>
                      <w:sz w:val="21"/>
                      <w:szCs w:val="21"/>
                    </w:rPr>
                    <w:t>有机废气吸附</w:t>
                  </w:r>
                </w:p>
              </w:tc>
              <w:tc>
                <w:tcPr>
                  <w:tcW w:w="1058" w:type="dxa"/>
                  <w:vAlign w:val="center"/>
                </w:tcPr>
                <w:p w14:paraId="0F45F85F">
                  <w:pPr>
                    <w:jc w:val="center"/>
                    <w:rPr>
                      <w:rFonts w:ascii="Times New Roman" w:hAnsi="Times New Roman" w:cs="Times New Roman"/>
                      <w:color w:val="auto"/>
                      <w:sz w:val="21"/>
                      <w:szCs w:val="21"/>
                    </w:rPr>
                  </w:pPr>
                  <w:r>
                    <w:rPr>
                      <w:rFonts w:ascii="Times New Roman" w:hAnsi="Times New Roman" w:cs="Times New Roman"/>
                      <w:color w:val="auto"/>
                      <w:sz w:val="21"/>
                      <w:szCs w:val="21"/>
                    </w:rPr>
                    <w:t>固</w:t>
                  </w:r>
                  <w:r>
                    <w:rPr>
                      <w:rFonts w:hint="eastAsia" w:cs="Times New Roman"/>
                      <w:color w:val="auto"/>
                      <w:sz w:val="21"/>
                      <w:szCs w:val="21"/>
                    </w:rPr>
                    <w:t>态</w:t>
                  </w:r>
                </w:p>
              </w:tc>
              <w:tc>
                <w:tcPr>
                  <w:tcW w:w="1057" w:type="dxa"/>
                  <w:vAlign w:val="center"/>
                </w:tcPr>
                <w:p w14:paraId="0E588E0B">
                  <w:pPr>
                    <w:pStyle w:val="34"/>
                    <w:jc w:val="center"/>
                    <w:rPr>
                      <w:color w:val="auto"/>
                      <w:sz w:val="21"/>
                      <w:szCs w:val="21"/>
                    </w:rPr>
                  </w:pPr>
                  <w:r>
                    <w:rPr>
                      <w:color w:val="auto"/>
                      <w:sz w:val="21"/>
                      <w:szCs w:val="21"/>
                    </w:rPr>
                    <w:t>T</w:t>
                  </w:r>
                </w:p>
              </w:tc>
              <w:tc>
                <w:tcPr>
                  <w:tcW w:w="1059" w:type="dxa"/>
                  <w:vMerge w:val="restart"/>
                  <w:vAlign w:val="center"/>
                </w:tcPr>
                <w:p w14:paraId="7A595426">
                  <w:pPr>
                    <w:pStyle w:val="34"/>
                    <w:jc w:val="center"/>
                    <w:rPr>
                      <w:color w:val="auto"/>
                      <w:sz w:val="21"/>
                      <w:szCs w:val="21"/>
                    </w:rPr>
                  </w:pPr>
                  <w:r>
                    <w:rPr>
                      <w:color w:val="auto"/>
                      <w:sz w:val="21"/>
                      <w:szCs w:val="21"/>
                    </w:rPr>
                    <w:t>存放于危险废物暂存间内，委托具有危险废物处理资质单位处置</w:t>
                  </w:r>
                </w:p>
              </w:tc>
            </w:tr>
            <w:tr w14:paraId="7A6F8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Align w:val="center"/>
                </w:tcPr>
                <w:p w14:paraId="3EAF87AF">
                  <w:pPr>
                    <w:pStyle w:val="34"/>
                    <w:jc w:val="center"/>
                    <w:rPr>
                      <w:color w:val="auto"/>
                      <w:sz w:val="21"/>
                      <w:szCs w:val="21"/>
                    </w:rPr>
                  </w:pPr>
                  <w:r>
                    <w:rPr>
                      <w:rFonts w:hint="eastAsia"/>
                      <w:color w:val="auto"/>
                      <w:sz w:val="21"/>
                      <w:szCs w:val="21"/>
                    </w:rPr>
                    <w:t>2</w:t>
                  </w:r>
                </w:p>
              </w:tc>
              <w:tc>
                <w:tcPr>
                  <w:tcW w:w="1457" w:type="dxa"/>
                  <w:vAlign w:val="center"/>
                </w:tcPr>
                <w:p w14:paraId="587569AD">
                  <w:pPr>
                    <w:pStyle w:val="34"/>
                    <w:jc w:val="center"/>
                    <w:rPr>
                      <w:rFonts w:hint="eastAsia" w:eastAsia="宋体"/>
                      <w:color w:val="auto"/>
                      <w:sz w:val="21"/>
                      <w:szCs w:val="21"/>
                      <w:lang w:eastAsia="zh-CN"/>
                    </w:rPr>
                  </w:pPr>
                  <w:r>
                    <w:rPr>
                      <w:rFonts w:hint="eastAsia"/>
                      <w:bCs/>
                      <w:color w:val="auto"/>
                      <w:sz w:val="21"/>
                      <w:szCs w:val="21"/>
                      <w:lang w:eastAsia="zh-CN"/>
                    </w:rPr>
                    <w:t>废药剂瓶</w:t>
                  </w:r>
                </w:p>
              </w:tc>
              <w:tc>
                <w:tcPr>
                  <w:tcW w:w="1056" w:type="dxa"/>
                  <w:vAlign w:val="center"/>
                </w:tcPr>
                <w:p w14:paraId="14FBCABD">
                  <w:pPr>
                    <w:pStyle w:val="34"/>
                    <w:jc w:val="center"/>
                    <w:rPr>
                      <w:color w:val="auto"/>
                      <w:sz w:val="21"/>
                      <w:szCs w:val="21"/>
                    </w:rPr>
                  </w:pPr>
                  <w:r>
                    <w:rPr>
                      <w:color w:val="auto"/>
                      <w:sz w:val="21"/>
                      <w:szCs w:val="21"/>
                    </w:rPr>
                    <w:t>HW49</w:t>
                  </w:r>
                </w:p>
              </w:tc>
              <w:tc>
                <w:tcPr>
                  <w:tcW w:w="1295" w:type="dxa"/>
                  <w:vAlign w:val="center"/>
                </w:tcPr>
                <w:p w14:paraId="67E1B061">
                  <w:pPr>
                    <w:pStyle w:val="34"/>
                    <w:jc w:val="center"/>
                    <w:rPr>
                      <w:color w:val="auto"/>
                      <w:sz w:val="21"/>
                      <w:szCs w:val="21"/>
                    </w:rPr>
                  </w:pPr>
                  <w:r>
                    <w:rPr>
                      <w:color w:val="auto"/>
                      <w:sz w:val="21"/>
                      <w:szCs w:val="21"/>
                    </w:rPr>
                    <w:t>900-041-49</w:t>
                  </w:r>
                </w:p>
              </w:tc>
              <w:tc>
                <w:tcPr>
                  <w:tcW w:w="1058" w:type="dxa"/>
                  <w:vAlign w:val="center"/>
                </w:tcPr>
                <w:p w14:paraId="644BEAB3">
                  <w:pPr>
                    <w:pStyle w:val="34"/>
                    <w:jc w:val="center"/>
                    <w:rPr>
                      <w:rFonts w:hint="eastAsia" w:eastAsia="宋体"/>
                      <w:color w:val="auto"/>
                      <w:sz w:val="21"/>
                      <w:szCs w:val="21"/>
                      <w:lang w:eastAsia="zh-CN"/>
                    </w:rPr>
                  </w:pPr>
                  <w:r>
                    <w:rPr>
                      <w:rFonts w:hint="eastAsia"/>
                      <w:color w:val="auto"/>
                      <w:sz w:val="21"/>
                      <w:szCs w:val="21"/>
                    </w:rPr>
                    <w:t>0.0</w:t>
                  </w:r>
                  <w:r>
                    <w:rPr>
                      <w:rFonts w:hint="eastAsia"/>
                      <w:color w:val="auto"/>
                      <w:sz w:val="21"/>
                      <w:szCs w:val="21"/>
                      <w:lang w:val="en-US" w:eastAsia="zh-CN"/>
                    </w:rPr>
                    <w:t>5</w:t>
                  </w:r>
                </w:p>
              </w:tc>
              <w:tc>
                <w:tcPr>
                  <w:tcW w:w="1057" w:type="dxa"/>
                  <w:vAlign w:val="center"/>
                </w:tcPr>
                <w:p w14:paraId="4E6FBAA8">
                  <w:pPr>
                    <w:pStyle w:val="34"/>
                    <w:jc w:val="center"/>
                    <w:rPr>
                      <w:rFonts w:hint="eastAsia" w:eastAsia="宋体"/>
                      <w:color w:val="auto"/>
                      <w:sz w:val="21"/>
                      <w:szCs w:val="21"/>
                      <w:lang w:eastAsia="zh-CN"/>
                    </w:rPr>
                  </w:pPr>
                  <w:r>
                    <w:rPr>
                      <w:rFonts w:hint="eastAsia"/>
                      <w:color w:val="auto"/>
                      <w:sz w:val="21"/>
                      <w:szCs w:val="21"/>
                      <w:lang w:eastAsia="zh-CN"/>
                    </w:rPr>
                    <w:t>药剂等盛装</w:t>
                  </w:r>
                </w:p>
              </w:tc>
              <w:tc>
                <w:tcPr>
                  <w:tcW w:w="1058" w:type="dxa"/>
                  <w:vAlign w:val="center"/>
                </w:tcPr>
                <w:p w14:paraId="265C21E7">
                  <w:pPr>
                    <w:pStyle w:val="34"/>
                    <w:jc w:val="center"/>
                    <w:rPr>
                      <w:color w:val="auto"/>
                      <w:sz w:val="21"/>
                      <w:szCs w:val="21"/>
                    </w:rPr>
                  </w:pPr>
                  <w:r>
                    <w:rPr>
                      <w:rFonts w:hint="eastAsia"/>
                      <w:color w:val="auto"/>
                      <w:sz w:val="21"/>
                      <w:szCs w:val="21"/>
                    </w:rPr>
                    <w:t>固态</w:t>
                  </w:r>
                </w:p>
              </w:tc>
              <w:tc>
                <w:tcPr>
                  <w:tcW w:w="1057" w:type="dxa"/>
                  <w:vAlign w:val="center"/>
                </w:tcPr>
                <w:p w14:paraId="03C6F0F0">
                  <w:pPr>
                    <w:pStyle w:val="34"/>
                    <w:jc w:val="center"/>
                    <w:rPr>
                      <w:color w:val="auto"/>
                      <w:sz w:val="21"/>
                      <w:szCs w:val="21"/>
                    </w:rPr>
                  </w:pPr>
                  <w:r>
                    <w:rPr>
                      <w:color w:val="auto"/>
                      <w:sz w:val="21"/>
                      <w:szCs w:val="21"/>
                    </w:rPr>
                    <w:t>T/In</w:t>
                  </w:r>
                </w:p>
              </w:tc>
              <w:tc>
                <w:tcPr>
                  <w:tcW w:w="1059" w:type="dxa"/>
                  <w:vMerge w:val="continue"/>
                  <w:vAlign w:val="center"/>
                </w:tcPr>
                <w:p w14:paraId="220946BB">
                  <w:pPr>
                    <w:pStyle w:val="34"/>
                    <w:jc w:val="center"/>
                    <w:rPr>
                      <w:color w:val="auto"/>
                      <w:sz w:val="21"/>
                      <w:szCs w:val="21"/>
                    </w:rPr>
                  </w:pPr>
                </w:p>
              </w:tc>
            </w:tr>
            <w:tr w14:paraId="7E752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54" w:type="dxa"/>
                  <w:vAlign w:val="center"/>
                </w:tcPr>
                <w:p w14:paraId="5E1FCA14">
                  <w:pPr>
                    <w:pStyle w:val="34"/>
                    <w:jc w:val="center"/>
                    <w:rPr>
                      <w:color w:val="auto"/>
                      <w:sz w:val="21"/>
                      <w:szCs w:val="21"/>
                    </w:rPr>
                  </w:pPr>
                  <w:r>
                    <w:rPr>
                      <w:rFonts w:hint="eastAsia"/>
                      <w:color w:val="auto"/>
                      <w:sz w:val="21"/>
                      <w:szCs w:val="21"/>
                    </w:rPr>
                    <w:t>3</w:t>
                  </w:r>
                </w:p>
              </w:tc>
              <w:tc>
                <w:tcPr>
                  <w:tcW w:w="1457" w:type="dxa"/>
                  <w:shd w:val="clear" w:color="auto" w:fill="auto"/>
                  <w:vAlign w:val="center"/>
                </w:tcPr>
                <w:p w14:paraId="09D1EADF">
                  <w:pPr>
                    <w:pStyle w:val="34"/>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实验废液</w:t>
                  </w:r>
                </w:p>
              </w:tc>
              <w:tc>
                <w:tcPr>
                  <w:tcW w:w="1056" w:type="dxa"/>
                  <w:shd w:val="clear" w:color="auto" w:fill="auto"/>
                  <w:vAlign w:val="center"/>
                </w:tcPr>
                <w:p w14:paraId="320B378F">
                  <w:pPr>
                    <w:pStyle w:val="34"/>
                    <w:jc w:val="center"/>
                    <w:rPr>
                      <w:rFonts w:hint="default" w:ascii="Times New Roman" w:hAnsi="Times New Roman" w:eastAsia="宋体" w:cs="Times New Roman"/>
                      <w:color w:val="auto"/>
                      <w:kern w:val="2"/>
                      <w:sz w:val="21"/>
                      <w:szCs w:val="21"/>
                      <w:lang w:val="en-US" w:eastAsia="zh-CN" w:bidi="ar-SA"/>
                    </w:rPr>
                  </w:pPr>
                  <w:r>
                    <w:rPr>
                      <w:color w:val="auto"/>
                      <w:sz w:val="21"/>
                      <w:szCs w:val="21"/>
                    </w:rPr>
                    <w:t>HW49</w:t>
                  </w:r>
                </w:p>
              </w:tc>
              <w:tc>
                <w:tcPr>
                  <w:tcW w:w="1295" w:type="dxa"/>
                  <w:shd w:val="clear" w:color="auto" w:fill="auto"/>
                  <w:vAlign w:val="center"/>
                </w:tcPr>
                <w:p w14:paraId="12BD8669">
                  <w:pPr>
                    <w:pStyle w:val="34"/>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900-0</w:t>
                  </w:r>
                  <w:r>
                    <w:rPr>
                      <w:rFonts w:hint="eastAsia" w:ascii="Times New Roman" w:hAnsi="Times New Roman" w:cs="Times New Roman"/>
                      <w:color w:val="auto"/>
                      <w:sz w:val="21"/>
                      <w:szCs w:val="21"/>
                      <w:highlight w:val="none"/>
                      <w:lang w:val="en-US" w:eastAsia="zh-CN"/>
                    </w:rPr>
                    <w:t>47</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49</w:t>
                  </w:r>
                </w:p>
              </w:tc>
              <w:tc>
                <w:tcPr>
                  <w:tcW w:w="1058" w:type="dxa"/>
                  <w:shd w:val="clear" w:color="auto" w:fill="auto"/>
                  <w:vAlign w:val="center"/>
                </w:tcPr>
                <w:p w14:paraId="03CC1295">
                  <w:pPr>
                    <w:pStyle w:val="34"/>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500</w:t>
                  </w:r>
                </w:p>
              </w:tc>
              <w:tc>
                <w:tcPr>
                  <w:tcW w:w="1057" w:type="dxa"/>
                  <w:shd w:val="clear" w:color="auto" w:fill="auto"/>
                  <w:vAlign w:val="center"/>
                </w:tcPr>
                <w:p w14:paraId="17E6BFDA">
                  <w:pPr>
                    <w:pStyle w:val="34"/>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废液</w:t>
                  </w:r>
                </w:p>
              </w:tc>
              <w:tc>
                <w:tcPr>
                  <w:tcW w:w="1058" w:type="dxa"/>
                  <w:shd w:val="clear" w:color="auto" w:fill="auto"/>
                  <w:vAlign w:val="center"/>
                </w:tcPr>
                <w:p w14:paraId="69E072B8">
                  <w:pPr>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eastAsia="zh-CN"/>
                    </w:rPr>
                    <w:t>液</w:t>
                  </w:r>
                  <w:r>
                    <w:rPr>
                      <w:rFonts w:hint="eastAsia" w:cs="Times New Roman"/>
                      <w:color w:val="auto"/>
                      <w:sz w:val="21"/>
                      <w:szCs w:val="21"/>
                    </w:rPr>
                    <w:t>态</w:t>
                  </w:r>
                </w:p>
              </w:tc>
              <w:tc>
                <w:tcPr>
                  <w:tcW w:w="1057" w:type="dxa"/>
                  <w:shd w:val="clear" w:color="auto" w:fill="auto"/>
                  <w:vAlign w:val="center"/>
                </w:tcPr>
                <w:p w14:paraId="4925F65B">
                  <w:pPr>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T/C/I/R</w:t>
                  </w:r>
                </w:p>
              </w:tc>
              <w:tc>
                <w:tcPr>
                  <w:tcW w:w="1059" w:type="dxa"/>
                  <w:vMerge w:val="continue"/>
                  <w:vAlign w:val="center"/>
                </w:tcPr>
                <w:p w14:paraId="39EFEDF0">
                  <w:pPr>
                    <w:pStyle w:val="34"/>
                    <w:jc w:val="center"/>
                    <w:rPr>
                      <w:color w:val="auto"/>
                      <w:sz w:val="21"/>
                      <w:szCs w:val="21"/>
                    </w:rPr>
                  </w:pPr>
                </w:p>
              </w:tc>
            </w:tr>
            <w:tr w14:paraId="47EC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51" w:type="dxa"/>
                  <w:gridSpan w:val="9"/>
                  <w:vAlign w:val="center"/>
                </w:tcPr>
                <w:p w14:paraId="59E5436C">
                  <w:pPr>
                    <w:pStyle w:val="34"/>
                    <w:ind w:firstLine="422" w:firstLineChars="200"/>
                    <w:jc w:val="left"/>
                    <w:rPr>
                      <w:color w:val="auto"/>
                      <w:sz w:val="21"/>
                      <w:szCs w:val="21"/>
                    </w:rPr>
                  </w:pPr>
                  <w:r>
                    <w:rPr>
                      <w:b/>
                      <w:bCs/>
                      <w:color w:val="auto"/>
                      <w:sz w:val="21"/>
                      <w:szCs w:val="21"/>
                    </w:rPr>
                    <w:t>*注：</w:t>
                  </w:r>
                  <w:r>
                    <w:rPr>
                      <w:color w:val="auto"/>
                      <w:sz w:val="21"/>
                      <w:szCs w:val="21"/>
                    </w:rPr>
                    <w:t>污染防治措施一栏中应列明各类危险废物的贮存、利用或处置的具体方式。对同一贮存区同时存放多种危险废物的，应明确分类、分区、包装存放的具体要求。</w:t>
                  </w:r>
                </w:p>
              </w:tc>
            </w:tr>
          </w:tbl>
          <w:p w14:paraId="29BE553C">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AU"/>
              </w:rPr>
              <w:t>根据</w:t>
            </w:r>
            <w:r>
              <w:rPr>
                <w:rFonts w:hint="eastAsia" w:ascii="Times New Roman" w:hAnsi="Times New Roman" w:cs="Times New Roman"/>
                <w:color w:val="auto"/>
                <w:sz w:val="24"/>
                <w:lang w:val="en-AU"/>
              </w:rPr>
              <w:t>《排污许可证申请与核发技术规范</w:t>
            </w:r>
            <w:r>
              <w:rPr>
                <w:rFonts w:hint="eastAsia" w:ascii="Times New Roman" w:hAnsi="Times New Roman" w:cs="Times New Roman"/>
                <w:color w:val="auto"/>
                <w:sz w:val="24"/>
              </w:rPr>
              <w:t>-</w:t>
            </w:r>
            <w:r>
              <w:rPr>
                <w:rFonts w:hint="eastAsia" w:ascii="Times New Roman" w:hAnsi="Times New Roman" w:cs="Times New Roman"/>
                <w:color w:val="auto"/>
                <w:sz w:val="24"/>
                <w:lang w:val="en-AU"/>
              </w:rPr>
              <w:t>工业固体废物（试行）》（HJ1200-2021）</w:t>
            </w:r>
            <w:r>
              <w:rPr>
                <w:rFonts w:ascii="Times New Roman" w:hAnsi="Times New Roman" w:cs="Times New Roman"/>
                <w:color w:val="auto"/>
                <w:sz w:val="24"/>
                <w:lang w:val="en-AU"/>
              </w:rPr>
              <w:t>，本项目</w:t>
            </w:r>
            <w:r>
              <w:rPr>
                <w:rFonts w:hint="eastAsia" w:ascii="Times New Roman" w:hAnsi="Times New Roman" w:cs="Times New Roman"/>
                <w:color w:val="auto"/>
                <w:sz w:val="24"/>
                <w:lang w:val="en-AU"/>
              </w:rPr>
              <w:t>一般工业固体废物</w:t>
            </w:r>
            <w:r>
              <w:rPr>
                <w:rFonts w:ascii="Times New Roman" w:hAnsi="Times New Roman" w:cs="Times New Roman"/>
                <w:color w:val="auto"/>
                <w:sz w:val="24"/>
                <w:lang w:val="en-AU"/>
              </w:rPr>
              <w:t>汇总表见表</w:t>
            </w:r>
            <w:r>
              <w:rPr>
                <w:rFonts w:ascii="Times New Roman" w:hAnsi="Times New Roman" w:cs="Times New Roman"/>
                <w:color w:val="auto"/>
                <w:sz w:val="24"/>
              </w:rPr>
              <w:t>4.</w:t>
            </w:r>
            <w:r>
              <w:rPr>
                <w:rFonts w:hint="eastAsia" w:ascii="Times New Roman" w:hAnsi="Times New Roman" w:cs="Times New Roman"/>
                <w:color w:val="auto"/>
                <w:sz w:val="24"/>
              </w:rPr>
              <w:t>1</w:t>
            </w:r>
            <w:r>
              <w:rPr>
                <w:rFonts w:hint="eastAsia" w:ascii="Times New Roman" w:hAnsi="Times New Roman" w:cs="Times New Roman"/>
                <w:color w:val="auto"/>
                <w:sz w:val="24"/>
                <w:lang w:val="en-US" w:eastAsia="zh-CN"/>
              </w:rPr>
              <w:t>3</w:t>
            </w:r>
            <w:r>
              <w:rPr>
                <w:rFonts w:ascii="Times New Roman" w:hAnsi="Times New Roman" w:cs="Times New Roman"/>
                <w:color w:val="auto"/>
                <w:sz w:val="24"/>
              </w:rPr>
              <w:t>。</w:t>
            </w:r>
          </w:p>
          <w:p w14:paraId="797DC3FB">
            <w:pPr>
              <w:jc w:val="center"/>
              <w:rPr>
                <w:rFonts w:ascii="Times New Roman" w:hAnsi="Times New Roman" w:cs="Times New Roman"/>
                <w:b/>
                <w:bCs/>
                <w:color w:val="auto"/>
                <w:sz w:val="24"/>
              </w:rPr>
            </w:pPr>
            <w:r>
              <w:rPr>
                <w:rFonts w:ascii="Times New Roman" w:hAnsi="Times New Roman" w:cs="Times New Roman"/>
                <w:b/>
                <w:bCs/>
                <w:color w:val="auto"/>
                <w:sz w:val="24"/>
              </w:rPr>
              <w:t>表4.</w:t>
            </w:r>
            <w:r>
              <w:rPr>
                <w:rFonts w:hint="eastAsia" w:ascii="Times New Roman" w:hAnsi="Times New Roman" w:cs="Times New Roman"/>
                <w:b/>
                <w:bCs/>
                <w:color w:val="auto"/>
                <w:sz w:val="24"/>
              </w:rPr>
              <w:t>1</w:t>
            </w:r>
            <w:r>
              <w:rPr>
                <w:rFonts w:hint="eastAsia" w:ascii="Times New Roman" w:hAnsi="Times New Roman" w:cs="Times New Roman"/>
                <w:b/>
                <w:bCs/>
                <w:color w:val="auto"/>
                <w:sz w:val="24"/>
                <w:lang w:val="en-US" w:eastAsia="zh-CN"/>
              </w:rPr>
              <w:t>3</w:t>
            </w:r>
            <w:r>
              <w:rPr>
                <w:rFonts w:ascii="Times New Roman" w:hAnsi="Times New Roman" w:cs="Times New Roman"/>
                <w:b/>
                <w:bCs/>
                <w:color w:val="auto"/>
                <w:sz w:val="24"/>
              </w:rPr>
              <w:t xml:space="preserve">  建设项目</w:t>
            </w:r>
            <w:r>
              <w:rPr>
                <w:rFonts w:hint="eastAsia" w:ascii="Times New Roman" w:hAnsi="Times New Roman" w:cs="Times New Roman"/>
                <w:b/>
                <w:bCs/>
                <w:color w:val="auto"/>
                <w:sz w:val="24"/>
              </w:rPr>
              <w:t>一般工业固体废物</w:t>
            </w:r>
            <w:r>
              <w:rPr>
                <w:rFonts w:ascii="Times New Roman" w:hAnsi="Times New Roman" w:cs="Times New Roman"/>
                <w:b/>
                <w:bCs/>
                <w:color w:val="auto"/>
                <w:sz w:val="24"/>
              </w:rPr>
              <w:t>汇总表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993"/>
              <w:gridCol w:w="1577"/>
              <w:gridCol w:w="1815"/>
              <w:gridCol w:w="1271"/>
              <w:gridCol w:w="2386"/>
            </w:tblGrid>
            <w:tr w14:paraId="6FAFB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4D38AB8A">
                  <w:pPr>
                    <w:pStyle w:val="34"/>
                    <w:jc w:val="center"/>
                    <w:rPr>
                      <w:color w:val="auto"/>
                      <w:sz w:val="21"/>
                      <w:szCs w:val="21"/>
                    </w:rPr>
                  </w:pPr>
                  <w:r>
                    <w:rPr>
                      <w:color w:val="auto"/>
                      <w:sz w:val="21"/>
                      <w:szCs w:val="21"/>
                    </w:rPr>
                    <w:t>序号</w:t>
                  </w:r>
                </w:p>
              </w:tc>
              <w:tc>
                <w:tcPr>
                  <w:tcW w:w="1993" w:type="dxa"/>
                  <w:vAlign w:val="center"/>
                </w:tcPr>
                <w:p w14:paraId="7883909E">
                  <w:pPr>
                    <w:pStyle w:val="34"/>
                    <w:jc w:val="center"/>
                    <w:rPr>
                      <w:color w:val="auto"/>
                      <w:sz w:val="21"/>
                      <w:szCs w:val="21"/>
                    </w:rPr>
                  </w:pPr>
                  <w:r>
                    <w:rPr>
                      <w:color w:val="auto"/>
                      <w:sz w:val="21"/>
                      <w:szCs w:val="21"/>
                    </w:rPr>
                    <w:t>名称</w:t>
                  </w:r>
                </w:p>
              </w:tc>
              <w:tc>
                <w:tcPr>
                  <w:tcW w:w="1577" w:type="dxa"/>
                  <w:vAlign w:val="center"/>
                </w:tcPr>
                <w:p w14:paraId="548D9D41">
                  <w:pPr>
                    <w:pStyle w:val="34"/>
                    <w:jc w:val="center"/>
                    <w:rPr>
                      <w:color w:val="auto"/>
                      <w:sz w:val="21"/>
                      <w:szCs w:val="21"/>
                    </w:rPr>
                  </w:pPr>
                  <w:r>
                    <w:rPr>
                      <w:color w:val="auto"/>
                      <w:sz w:val="21"/>
                      <w:szCs w:val="21"/>
                    </w:rPr>
                    <w:t>产生量（</w:t>
                  </w:r>
                  <w:r>
                    <w:rPr>
                      <w:rFonts w:hint="eastAsia"/>
                      <w:color w:val="auto"/>
                      <w:sz w:val="21"/>
                      <w:szCs w:val="21"/>
                    </w:rPr>
                    <w:t>t/a</w:t>
                  </w:r>
                  <w:r>
                    <w:rPr>
                      <w:color w:val="auto"/>
                      <w:sz w:val="21"/>
                      <w:szCs w:val="21"/>
                    </w:rPr>
                    <w:t>）</w:t>
                  </w:r>
                </w:p>
              </w:tc>
              <w:tc>
                <w:tcPr>
                  <w:tcW w:w="1815" w:type="dxa"/>
                  <w:vAlign w:val="center"/>
                </w:tcPr>
                <w:p w14:paraId="738FD2CD">
                  <w:pPr>
                    <w:pStyle w:val="34"/>
                    <w:jc w:val="center"/>
                    <w:rPr>
                      <w:color w:val="auto"/>
                      <w:sz w:val="21"/>
                      <w:szCs w:val="21"/>
                    </w:rPr>
                  </w:pPr>
                  <w:r>
                    <w:rPr>
                      <w:rFonts w:hint="eastAsia"/>
                      <w:color w:val="auto"/>
                      <w:sz w:val="21"/>
                      <w:szCs w:val="21"/>
                    </w:rPr>
                    <w:t>产生环节</w:t>
                  </w:r>
                </w:p>
              </w:tc>
              <w:tc>
                <w:tcPr>
                  <w:tcW w:w="1271" w:type="dxa"/>
                  <w:vAlign w:val="center"/>
                </w:tcPr>
                <w:p w14:paraId="1AF17CFF">
                  <w:pPr>
                    <w:pStyle w:val="34"/>
                    <w:jc w:val="center"/>
                    <w:rPr>
                      <w:color w:val="auto"/>
                      <w:sz w:val="21"/>
                      <w:szCs w:val="21"/>
                    </w:rPr>
                  </w:pPr>
                  <w:r>
                    <w:rPr>
                      <w:rFonts w:hint="eastAsia"/>
                      <w:color w:val="auto"/>
                      <w:sz w:val="21"/>
                      <w:szCs w:val="21"/>
                    </w:rPr>
                    <w:t>物理</w:t>
                  </w:r>
                </w:p>
                <w:p w14:paraId="54F9D667">
                  <w:pPr>
                    <w:pStyle w:val="34"/>
                    <w:jc w:val="center"/>
                    <w:rPr>
                      <w:color w:val="auto"/>
                      <w:sz w:val="21"/>
                      <w:szCs w:val="21"/>
                    </w:rPr>
                  </w:pPr>
                  <w:r>
                    <w:rPr>
                      <w:rFonts w:hint="eastAsia"/>
                      <w:color w:val="auto"/>
                      <w:sz w:val="21"/>
                      <w:szCs w:val="21"/>
                    </w:rPr>
                    <w:t>性状</w:t>
                  </w:r>
                </w:p>
              </w:tc>
              <w:tc>
                <w:tcPr>
                  <w:tcW w:w="2386" w:type="dxa"/>
                  <w:vAlign w:val="center"/>
                </w:tcPr>
                <w:p w14:paraId="267169D1">
                  <w:pPr>
                    <w:pStyle w:val="34"/>
                    <w:jc w:val="center"/>
                    <w:rPr>
                      <w:color w:val="auto"/>
                      <w:sz w:val="21"/>
                      <w:szCs w:val="21"/>
                    </w:rPr>
                  </w:pPr>
                  <w:r>
                    <w:rPr>
                      <w:rFonts w:hint="eastAsia"/>
                      <w:color w:val="auto"/>
                      <w:sz w:val="21"/>
                      <w:szCs w:val="21"/>
                    </w:rPr>
                    <w:t>去向</w:t>
                  </w:r>
                </w:p>
              </w:tc>
            </w:tr>
            <w:tr w14:paraId="73215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6D0BCC8F">
                  <w:pPr>
                    <w:pStyle w:val="34"/>
                    <w:jc w:val="center"/>
                    <w:rPr>
                      <w:color w:val="auto"/>
                      <w:sz w:val="21"/>
                      <w:szCs w:val="21"/>
                    </w:rPr>
                  </w:pPr>
                  <w:r>
                    <w:rPr>
                      <w:color w:val="auto"/>
                      <w:sz w:val="21"/>
                      <w:szCs w:val="21"/>
                    </w:rPr>
                    <w:t>1</w:t>
                  </w:r>
                </w:p>
              </w:tc>
              <w:tc>
                <w:tcPr>
                  <w:tcW w:w="1993" w:type="dxa"/>
                  <w:vAlign w:val="center"/>
                </w:tcPr>
                <w:p w14:paraId="34443844">
                  <w:pPr>
                    <w:pStyle w:val="43"/>
                    <w:rPr>
                      <w:rFonts w:hint="eastAsia" w:eastAsia="宋体" w:cs="Times New Roman"/>
                      <w:color w:val="auto"/>
                      <w:szCs w:val="21"/>
                      <w:lang w:eastAsia="zh-CN"/>
                    </w:rPr>
                  </w:pPr>
                  <w:r>
                    <w:rPr>
                      <w:rFonts w:hint="eastAsia" w:cs="Times New Roman"/>
                      <w:color w:val="auto"/>
                      <w:szCs w:val="21"/>
                      <w:lang w:eastAsia="zh-CN"/>
                    </w:rPr>
                    <w:t>废</w:t>
                  </w:r>
                  <w:r>
                    <w:rPr>
                      <w:rFonts w:hint="eastAsia" w:cs="Times New Roman"/>
                      <w:color w:val="auto"/>
                      <w:szCs w:val="21"/>
                      <w:lang w:val="en-US" w:eastAsia="zh-CN"/>
                    </w:rPr>
                    <w:t>实验品</w:t>
                  </w:r>
                  <w:r>
                    <w:rPr>
                      <w:rFonts w:hint="eastAsia" w:cs="Times New Roman"/>
                      <w:color w:val="auto"/>
                      <w:szCs w:val="21"/>
                      <w:lang w:eastAsia="zh-CN"/>
                    </w:rPr>
                    <w:t>等</w:t>
                  </w:r>
                </w:p>
              </w:tc>
              <w:tc>
                <w:tcPr>
                  <w:tcW w:w="1577" w:type="dxa"/>
                  <w:vAlign w:val="center"/>
                </w:tcPr>
                <w:p w14:paraId="003D4B6B">
                  <w:pPr>
                    <w:pStyle w:val="34"/>
                    <w:jc w:val="center"/>
                    <w:rPr>
                      <w:rFonts w:hint="default" w:eastAsia="宋体"/>
                      <w:color w:val="auto"/>
                      <w:sz w:val="21"/>
                      <w:szCs w:val="21"/>
                      <w:lang w:val="en-US" w:eastAsia="zh-CN"/>
                    </w:rPr>
                  </w:pPr>
                  <w:r>
                    <w:rPr>
                      <w:rFonts w:hint="eastAsia"/>
                      <w:color w:val="auto"/>
                      <w:sz w:val="21"/>
                      <w:szCs w:val="21"/>
                      <w:lang w:val="en-US" w:eastAsia="zh-CN"/>
                    </w:rPr>
                    <w:t>0.06</w:t>
                  </w:r>
                </w:p>
              </w:tc>
              <w:tc>
                <w:tcPr>
                  <w:tcW w:w="1815" w:type="dxa"/>
                  <w:vAlign w:val="center"/>
                </w:tcPr>
                <w:p w14:paraId="7EE4FD2A">
                  <w:pPr>
                    <w:pStyle w:val="34"/>
                    <w:jc w:val="center"/>
                    <w:rPr>
                      <w:rFonts w:hint="eastAsia" w:eastAsia="宋体"/>
                      <w:color w:val="auto"/>
                      <w:sz w:val="21"/>
                      <w:szCs w:val="21"/>
                      <w:lang w:eastAsia="zh-CN"/>
                    </w:rPr>
                  </w:pPr>
                  <w:r>
                    <w:rPr>
                      <w:rFonts w:hint="eastAsia"/>
                      <w:color w:val="auto"/>
                      <w:sz w:val="21"/>
                      <w:szCs w:val="21"/>
                      <w:lang w:eastAsia="zh-CN"/>
                    </w:rPr>
                    <w:t>燃烧</w:t>
                  </w:r>
                </w:p>
              </w:tc>
              <w:tc>
                <w:tcPr>
                  <w:tcW w:w="1271" w:type="dxa"/>
                  <w:vAlign w:val="center"/>
                </w:tcPr>
                <w:p w14:paraId="519FF39B">
                  <w:pPr>
                    <w:pStyle w:val="34"/>
                    <w:jc w:val="center"/>
                    <w:rPr>
                      <w:color w:val="auto"/>
                      <w:sz w:val="21"/>
                      <w:szCs w:val="21"/>
                    </w:rPr>
                  </w:pPr>
                  <w:r>
                    <w:rPr>
                      <w:color w:val="auto"/>
                      <w:sz w:val="21"/>
                      <w:szCs w:val="21"/>
                    </w:rPr>
                    <w:t>固态</w:t>
                  </w:r>
                </w:p>
              </w:tc>
              <w:tc>
                <w:tcPr>
                  <w:tcW w:w="2386" w:type="dxa"/>
                  <w:vAlign w:val="center"/>
                </w:tcPr>
                <w:p w14:paraId="03F9DBF4">
                  <w:pPr>
                    <w:pStyle w:val="43"/>
                    <w:rPr>
                      <w:rFonts w:hint="eastAsia" w:eastAsia="宋体" w:cs="Times New Roman"/>
                      <w:color w:val="auto"/>
                      <w:szCs w:val="21"/>
                      <w:lang w:eastAsia="zh-CN"/>
                    </w:rPr>
                  </w:pPr>
                  <w:r>
                    <w:rPr>
                      <w:rFonts w:hint="eastAsia" w:cs="Times New Roman"/>
                      <w:color w:val="auto"/>
                      <w:szCs w:val="21"/>
                      <w:lang w:eastAsia="zh-CN"/>
                    </w:rPr>
                    <w:t>集中收集后出售给物资回收部门</w:t>
                  </w:r>
                </w:p>
              </w:tc>
            </w:tr>
          </w:tbl>
          <w:p w14:paraId="45AE4EDC">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建设项目</w:t>
            </w:r>
            <w:r>
              <w:rPr>
                <w:rFonts w:hint="eastAsia" w:ascii="Times New Roman" w:hAnsi="Times New Roman" w:cs="Times New Roman"/>
                <w:color w:val="auto"/>
                <w:sz w:val="24"/>
              </w:rPr>
              <w:t>工业</w:t>
            </w:r>
            <w:r>
              <w:rPr>
                <w:rFonts w:ascii="Times New Roman" w:hAnsi="Times New Roman" w:cs="Times New Roman"/>
                <w:color w:val="auto"/>
                <w:sz w:val="24"/>
              </w:rPr>
              <w:t>固体废物产生及处置情况见表4.</w:t>
            </w:r>
            <w:r>
              <w:rPr>
                <w:rFonts w:hint="eastAsia" w:ascii="Times New Roman" w:hAnsi="Times New Roman" w:cs="Times New Roman"/>
                <w:color w:val="auto"/>
                <w:sz w:val="24"/>
              </w:rPr>
              <w:t>1</w:t>
            </w:r>
            <w:r>
              <w:rPr>
                <w:rFonts w:hint="eastAsia" w:ascii="Times New Roman" w:hAnsi="Times New Roman" w:cs="Times New Roman"/>
                <w:color w:val="auto"/>
                <w:sz w:val="24"/>
                <w:lang w:val="en-US" w:eastAsia="zh-CN"/>
              </w:rPr>
              <w:t>4</w:t>
            </w:r>
            <w:r>
              <w:rPr>
                <w:rFonts w:ascii="Times New Roman" w:hAnsi="Times New Roman" w:cs="Times New Roman"/>
                <w:color w:val="auto"/>
                <w:sz w:val="24"/>
              </w:rPr>
              <w:t>。</w:t>
            </w:r>
          </w:p>
          <w:p w14:paraId="1AE67E26">
            <w:pPr>
              <w:jc w:val="center"/>
              <w:rPr>
                <w:rFonts w:hint="default" w:ascii="Times New Roman" w:hAnsi="Times New Roman" w:cs="Times New Roman" w:eastAsiaTheme="minorEastAsia"/>
                <w:b/>
                <w:bCs/>
                <w:color w:val="auto"/>
                <w:sz w:val="24"/>
                <w:lang w:val="en-US" w:eastAsia="zh-CN"/>
              </w:rPr>
            </w:pPr>
            <w:r>
              <w:rPr>
                <w:rFonts w:ascii="Times New Roman" w:hAnsi="Times New Roman" w:cs="Times New Roman"/>
                <w:b/>
                <w:bCs/>
                <w:color w:val="auto"/>
                <w:sz w:val="24"/>
              </w:rPr>
              <w:t>表4.</w:t>
            </w:r>
            <w:r>
              <w:rPr>
                <w:rFonts w:hint="eastAsia" w:ascii="Times New Roman" w:hAnsi="Times New Roman" w:cs="Times New Roman"/>
                <w:b/>
                <w:bCs/>
                <w:color w:val="auto"/>
                <w:sz w:val="24"/>
              </w:rPr>
              <w:t>1</w:t>
            </w:r>
            <w:r>
              <w:rPr>
                <w:rFonts w:hint="eastAsia" w:ascii="Times New Roman" w:hAnsi="Times New Roman" w:cs="Times New Roman"/>
                <w:b/>
                <w:bCs/>
                <w:color w:val="auto"/>
                <w:sz w:val="24"/>
                <w:lang w:val="en-US" w:eastAsia="zh-CN"/>
              </w:rPr>
              <w:t>4</w:t>
            </w:r>
            <w:r>
              <w:rPr>
                <w:rFonts w:ascii="Times New Roman" w:hAnsi="Times New Roman" w:cs="Times New Roman"/>
                <w:b/>
                <w:bCs/>
                <w:color w:val="auto"/>
                <w:sz w:val="24"/>
              </w:rPr>
              <w:t xml:space="preserve"> </w:t>
            </w:r>
            <w:r>
              <w:rPr>
                <w:rFonts w:hint="eastAsia" w:ascii="Times New Roman" w:hAnsi="Times New Roman" w:cs="Times New Roman"/>
                <w:b/>
                <w:bCs/>
                <w:color w:val="auto"/>
                <w:sz w:val="24"/>
              </w:rPr>
              <w:t>建设</w:t>
            </w:r>
            <w:r>
              <w:rPr>
                <w:rFonts w:ascii="Times New Roman" w:hAnsi="Times New Roman" w:cs="Times New Roman"/>
                <w:b/>
                <w:bCs/>
                <w:color w:val="auto"/>
                <w:sz w:val="24"/>
              </w:rPr>
              <w:t>项目</w:t>
            </w:r>
            <w:r>
              <w:rPr>
                <w:rFonts w:hint="eastAsia" w:ascii="Times New Roman" w:hAnsi="Times New Roman" w:cs="Times New Roman"/>
                <w:b/>
                <w:bCs/>
                <w:color w:val="auto"/>
                <w:sz w:val="24"/>
              </w:rPr>
              <w:t>工业</w:t>
            </w:r>
            <w:r>
              <w:rPr>
                <w:rFonts w:ascii="Times New Roman" w:hAnsi="Times New Roman" w:cs="Times New Roman"/>
                <w:b/>
                <w:bCs/>
                <w:color w:val="auto"/>
                <w:sz w:val="24"/>
              </w:rPr>
              <w:t>固体废物</w:t>
            </w:r>
            <w:r>
              <w:rPr>
                <w:rFonts w:hint="eastAsia" w:ascii="Times New Roman" w:hAnsi="Times New Roman" w:cs="Times New Roman"/>
                <w:b/>
                <w:bCs/>
                <w:color w:val="auto"/>
                <w:sz w:val="24"/>
              </w:rPr>
              <w:t>一览</w:t>
            </w:r>
            <w:r>
              <w:rPr>
                <w:rFonts w:ascii="Times New Roman" w:hAnsi="Times New Roman" w:cs="Times New Roman"/>
                <w:b/>
                <w:bCs/>
                <w:color w:val="auto"/>
                <w:sz w:val="24"/>
              </w:rPr>
              <w:t>表  单位：t/a</w:t>
            </w:r>
            <w:r>
              <w:rPr>
                <w:rFonts w:hint="eastAsia" w:ascii="Times New Roman" w:hAnsi="Times New Roman" w:cs="Times New Roman"/>
                <w:b/>
                <w:bCs/>
                <w:color w:val="auto"/>
                <w:sz w:val="24"/>
                <w:lang w:eastAsia="zh-CN"/>
              </w:rPr>
              <w:t>或</w:t>
            </w:r>
            <w:r>
              <w:rPr>
                <w:rFonts w:hint="eastAsia" w:ascii="Times New Roman" w:hAnsi="Times New Roman" w:cs="Times New Roman"/>
                <w:b/>
                <w:bCs/>
                <w:color w:val="auto"/>
                <w:sz w:val="24"/>
                <w:lang w:val="en-US" w:eastAsia="zh-CN"/>
              </w:rPr>
              <w:t>L/a</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945"/>
              <w:gridCol w:w="1894"/>
              <w:gridCol w:w="1247"/>
              <w:gridCol w:w="1016"/>
              <w:gridCol w:w="2997"/>
            </w:tblGrid>
            <w:tr w14:paraId="4A497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Align w:val="center"/>
                </w:tcPr>
                <w:p w14:paraId="401047FC">
                  <w:pPr>
                    <w:pStyle w:val="34"/>
                    <w:jc w:val="center"/>
                    <w:rPr>
                      <w:color w:val="auto"/>
                      <w:sz w:val="21"/>
                      <w:szCs w:val="21"/>
                    </w:rPr>
                  </w:pPr>
                  <w:r>
                    <w:rPr>
                      <w:color w:val="auto"/>
                      <w:sz w:val="21"/>
                      <w:szCs w:val="21"/>
                    </w:rPr>
                    <w:t>序号</w:t>
                  </w:r>
                </w:p>
              </w:tc>
              <w:tc>
                <w:tcPr>
                  <w:tcW w:w="1945" w:type="dxa"/>
                  <w:vAlign w:val="center"/>
                </w:tcPr>
                <w:p w14:paraId="061B6FC2">
                  <w:pPr>
                    <w:pStyle w:val="34"/>
                    <w:jc w:val="center"/>
                    <w:rPr>
                      <w:color w:val="auto"/>
                      <w:sz w:val="21"/>
                      <w:szCs w:val="21"/>
                    </w:rPr>
                  </w:pPr>
                  <w:r>
                    <w:rPr>
                      <w:color w:val="auto"/>
                      <w:sz w:val="21"/>
                      <w:szCs w:val="21"/>
                    </w:rPr>
                    <w:t>名称</w:t>
                  </w:r>
                </w:p>
              </w:tc>
              <w:tc>
                <w:tcPr>
                  <w:tcW w:w="1894" w:type="dxa"/>
                  <w:vAlign w:val="center"/>
                </w:tcPr>
                <w:p w14:paraId="4CA5830C">
                  <w:pPr>
                    <w:pStyle w:val="34"/>
                    <w:jc w:val="center"/>
                    <w:rPr>
                      <w:color w:val="auto"/>
                      <w:sz w:val="21"/>
                      <w:szCs w:val="21"/>
                    </w:rPr>
                  </w:pPr>
                  <w:r>
                    <w:rPr>
                      <w:color w:val="auto"/>
                      <w:sz w:val="21"/>
                      <w:szCs w:val="21"/>
                    </w:rPr>
                    <w:t>固废属性</w:t>
                  </w:r>
                </w:p>
              </w:tc>
              <w:tc>
                <w:tcPr>
                  <w:tcW w:w="1247" w:type="dxa"/>
                  <w:vAlign w:val="center"/>
                </w:tcPr>
                <w:p w14:paraId="0849F2D0">
                  <w:pPr>
                    <w:pStyle w:val="34"/>
                    <w:jc w:val="center"/>
                    <w:rPr>
                      <w:color w:val="auto"/>
                      <w:sz w:val="21"/>
                      <w:szCs w:val="21"/>
                    </w:rPr>
                  </w:pPr>
                  <w:r>
                    <w:rPr>
                      <w:color w:val="auto"/>
                      <w:sz w:val="21"/>
                      <w:szCs w:val="21"/>
                    </w:rPr>
                    <w:t>代码</w:t>
                  </w:r>
                </w:p>
              </w:tc>
              <w:tc>
                <w:tcPr>
                  <w:tcW w:w="1016" w:type="dxa"/>
                  <w:vAlign w:val="center"/>
                </w:tcPr>
                <w:p w14:paraId="7B83079B">
                  <w:pPr>
                    <w:pStyle w:val="34"/>
                    <w:jc w:val="center"/>
                    <w:rPr>
                      <w:color w:val="auto"/>
                      <w:sz w:val="21"/>
                      <w:szCs w:val="21"/>
                    </w:rPr>
                  </w:pPr>
                  <w:r>
                    <w:rPr>
                      <w:color w:val="auto"/>
                      <w:sz w:val="21"/>
                      <w:szCs w:val="21"/>
                    </w:rPr>
                    <w:t>产生量</w:t>
                  </w:r>
                </w:p>
              </w:tc>
              <w:tc>
                <w:tcPr>
                  <w:tcW w:w="2997" w:type="dxa"/>
                  <w:vAlign w:val="center"/>
                </w:tcPr>
                <w:p w14:paraId="4E49A050">
                  <w:pPr>
                    <w:pStyle w:val="34"/>
                    <w:jc w:val="center"/>
                    <w:rPr>
                      <w:color w:val="auto"/>
                      <w:sz w:val="21"/>
                      <w:szCs w:val="21"/>
                    </w:rPr>
                  </w:pPr>
                  <w:r>
                    <w:rPr>
                      <w:rFonts w:hint="eastAsia"/>
                      <w:color w:val="auto"/>
                      <w:sz w:val="21"/>
                      <w:szCs w:val="21"/>
                    </w:rPr>
                    <w:t>去向</w:t>
                  </w:r>
                </w:p>
              </w:tc>
            </w:tr>
            <w:tr w14:paraId="3C2A4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Align w:val="center"/>
                </w:tcPr>
                <w:p w14:paraId="630128E4">
                  <w:pPr>
                    <w:pStyle w:val="34"/>
                    <w:jc w:val="center"/>
                    <w:rPr>
                      <w:color w:val="auto"/>
                      <w:sz w:val="21"/>
                      <w:szCs w:val="21"/>
                    </w:rPr>
                  </w:pPr>
                  <w:r>
                    <w:rPr>
                      <w:color w:val="auto"/>
                      <w:sz w:val="21"/>
                      <w:szCs w:val="21"/>
                    </w:rPr>
                    <w:t>1</w:t>
                  </w:r>
                </w:p>
              </w:tc>
              <w:tc>
                <w:tcPr>
                  <w:tcW w:w="1945" w:type="dxa"/>
                  <w:vAlign w:val="center"/>
                </w:tcPr>
                <w:p w14:paraId="3F3951B6">
                  <w:pPr>
                    <w:pStyle w:val="43"/>
                    <w:rPr>
                      <w:rFonts w:cs="Times New Roman"/>
                      <w:color w:val="auto"/>
                      <w:szCs w:val="21"/>
                    </w:rPr>
                  </w:pPr>
                  <w:r>
                    <w:rPr>
                      <w:rFonts w:cs="Times New Roman"/>
                      <w:color w:val="auto"/>
                      <w:szCs w:val="21"/>
                    </w:rPr>
                    <w:t>生活垃圾</w:t>
                  </w:r>
                </w:p>
              </w:tc>
              <w:tc>
                <w:tcPr>
                  <w:tcW w:w="1894" w:type="dxa"/>
                  <w:vAlign w:val="center"/>
                </w:tcPr>
                <w:p w14:paraId="1D596601">
                  <w:pPr>
                    <w:pStyle w:val="34"/>
                    <w:jc w:val="center"/>
                    <w:rPr>
                      <w:color w:val="auto"/>
                      <w:sz w:val="21"/>
                      <w:szCs w:val="21"/>
                    </w:rPr>
                  </w:pPr>
                  <w:r>
                    <w:rPr>
                      <w:color w:val="auto"/>
                      <w:sz w:val="21"/>
                      <w:szCs w:val="21"/>
                    </w:rPr>
                    <w:t>/</w:t>
                  </w:r>
                </w:p>
              </w:tc>
              <w:tc>
                <w:tcPr>
                  <w:tcW w:w="1247" w:type="dxa"/>
                  <w:vAlign w:val="center"/>
                </w:tcPr>
                <w:p w14:paraId="6A9352A7">
                  <w:pPr>
                    <w:pStyle w:val="34"/>
                    <w:jc w:val="center"/>
                    <w:rPr>
                      <w:color w:val="auto"/>
                      <w:sz w:val="21"/>
                      <w:szCs w:val="21"/>
                    </w:rPr>
                  </w:pPr>
                  <w:r>
                    <w:rPr>
                      <w:rFonts w:hint="eastAsia"/>
                      <w:color w:val="auto"/>
                      <w:sz w:val="21"/>
                      <w:szCs w:val="21"/>
                    </w:rPr>
                    <w:t>/</w:t>
                  </w:r>
                </w:p>
              </w:tc>
              <w:tc>
                <w:tcPr>
                  <w:tcW w:w="1016" w:type="dxa"/>
                  <w:vAlign w:val="center"/>
                </w:tcPr>
                <w:p w14:paraId="225BA704">
                  <w:pPr>
                    <w:pStyle w:val="34"/>
                    <w:jc w:val="center"/>
                    <w:rPr>
                      <w:rFonts w:hint="default" w:eastAsia="宋体"/>
                      <w:color w:val="auto"/>
                      <w:sz w:val="21"/>
                      <w:szCs w:val="21"/>
                      <w:lang w:val="en-US" w:eastAsia="zh-CN"/>
                    </w:rPr>
                  </w:pPr>
                  <w:r>
                    <w:rPr>
                      <w:rFonts w:hint="eastAsia"/>
                      <w:color w:val="auto"/>
                      <w:sz w:val="21"/>
                      <w:szCs w:val="21"/>
                      <w:lang w:val="en-US" w:eastAsia="zh-CN"/>
                    </w:rPr>
                    <w:t>7.75</w:t>
                  </w:r>
                </w:p>
              </w:tc>
              <w:tc>
                <w:tcPr>
                  <w:tcW w:w="2997" w:type="dxa"/>
                  <w:vAlign w:val="center"/>
                </w:tcPr>
                <w:p w14:paraId="3BEF9E5D">
                  <w:pPr>
                    <w:pStyle w:val="43"/>
                    <w:rPr>
                      <w:rFonts w:cs="Times New Roman"/>
                      <w:color w:val="auto"/>
                      <w:szCs w:val="21"/>
                    </w:rPr>
                  </w:pPr>
                  <w:r>
                    <w:rPr>
                      <w:rFonts w:cs="Times New Roman"/>
                      <w:color w:val="auto"/>
                      <w:szCs w:val="21"/>
                    </w:rPr>
                    <w:t>收集后交由环卫部门清运处置</w:t>
                  </w:r>
                </w:p>
              </w:tc>
            </w:tr>
            <w:tr w14:paraId="340A2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Align w:val="center"/>
                </w:tcPr>
                <w:p w14:paraId="704FB0C6">
                  <w:pPr>
                    <w:pStyle w:val="34"/>
                    <w:jc w:val="center"/>
                    <w:rPr>
                      <w:color w:val="auto"/>
                      <w:sz w:val="21"/>
                      <w:szCs w:val="21"/>
                    </w:rPr>
                  </w:pPr>
                  <w:r>
                    <w:rPr>
                      <w:color w:val="auto"/>
                      <w:sz w:val="21"/>
                      <w:szCs w:val="21"/>
                    </w:rPr>
                    <w:t>2</w:t>
                  </w:r>
                </w:p>
              </w:tc>
              <w:tc>
                <w:tcPr>
                  <w:tcW w:w="1945" w:type="dxa"/>
                  <w:shd w:val="clear" w:color="auto" w:fill="auto"/>
                  <w:vAlign w:val="center"/>
                </w:tcPr>
                <w:p w14:paraId="1657B8D5">
                  <w:pPr>
                    <w:pStyle w:val="34"/>
                    <w:jc w:val="center"/>
                    <w:rPr>
                      <w:rFonts w:ascii="Times New Roman" w:hAnsi="Times New Roman" w:eastAsia="宋体" w:cs="Times New Roman"/>
                      <w:color w:val="auto"/>
                      <w:kern w:val="2"/>
                      <w:sz w:val="24"/>
                      <w:szCs w:val="21"/>
                      <w:lang w:val="en-US" w:eastAsia="zh-CN" w:bidi="ar-SA"/>
                    </w:rPr>
                  </w:pPr>
                  <w:r>
                    <w:rPr>
                      <w:color w:val="auto"/>
                      <w:sz w:val="21"/>
                      <w:szCs w:val="21"/>
                    </w:rPr>
                    <w:t>废活性炭</w:t>
                  </w:r>
                </w:p>
              </w:tc>
              <w:tc>
                <w:tcPr>
                  <w:tcW w:w="1894" w:type="dxa"/>
                  <w:shd w:val="clear" w:color="auto" w:fill="auto"/>
                  <w:vAlign w:val="center"/>
                </w:tcPr>
                <w:p w14:paraId="4F7092E8">
                  <w:pPr>
                    <w:jc w:val="center"/>
                    <w:rPr>
                      <w:rFonts w:ascii="Times New Roman" w:hAnsi="Times New Roman" w:cs="Times New Roman" w:eastAsiaTheme="minorEastAsia"/>
                      <w:color w:val="auto"/>
                      <w:kern w:val="2"/>
                      <w:sz w:val="21"/>
                      <w:szCs w:val="21"/>
                      <w:lang w:val="en-US" w:eastAsia="zh-CN" w:bidi="ar-SA"/>
                    </w:rPr>
                  </w:pPr>
                  <w:r>
                    <w:rPr>
                      <w:rFonts w:hint="eastAsia" w:cs="Times New Roman"/>
                      <w:color w:val="auto"/>
                      <w:szCs w:val="21"/>
                    </w:rPr>
                    <w:t>危险废物</w:t>
                  </w:r>
                </w:p>
              </w:tc>
              <w:tc>
                <w:tcPr>
                  <w:tcW w:w="1247" w:type="dxa"/>
                  <w:shd w:val="clear" w:color="auto" w:fill="auto"/>
                  <w:vAlign w:val="center"/>
                </w:tcPr>
                <w:p w14:paraId="0A69BAFD">
                  <w:pPr>
                    <w:pStyle w:val="34"/>
                    <w:jc w:val="center"/>
                    <w:rPr>
                      <w:rFonts w:ascii="Times New Roman" w:hAnsi="Times New Roman" w:eastAsia="宋体" w:cs="Times New Roman"/>
                      <w:color w:val="auto"/>
                      <w:kern w:val="2"/>
                      <w:sz w:val="21"/>
                      <w:szCs w:val="21"/>
                      <w:lang w:val="en-US" w:eastAsia="zh-CN" w:bidi="ar-SA"/>
                    </w:rPr>
                  </w:pPr>
                  <w:r>
                    <w:rPr>
                      <w:color w:val="auto"/>
                      <w:sz w:val="21"/>
                      <w:szCs w:val="21"/>
                    </w:rPr>
                    <w:t>900-039-49</w:t>
                  </w:r>
                </w:p>
              </w:tc>
              <w:tc>
                <w:tcPr>
                  <w:tcW w:w="1016" w:type="dxa"/>
                  <w:shd w:val="clear" w:color="auto" w:fill="auto"/>
                  <w:vAlign w:val="center"/>
                </w:tcPr>
                <w:p w14:paraId="58136F45">
                  <w:pPr>
                    <w:pStyle w:val="34"/>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0.044</w:t>
                  </w:r>
                </w:p>
              </w:tc>
              <w:tc>
                <w:tcPr>
                  <w:tcW w:w="2997" w:type="dxa"/>
                  <w:shd w:val="clear" w:color="auto" w:fill="auto"/>
                  <w:vAlign w:val="center"/>
                </w:tcPr>
                <w:p w14:paraId="43765BE9">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收集后出售给物资回收部门</w:t>
                  </w:r>
                </w:p>
              </w:tc>
            </w:tr>
            <w:tr w14:paraId="64583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Align w:val="center"/>
                </w:tcPr>
                <w:p w14:paraId="1EFD4F5C">
                  <w:pPr>
                    <w:pStyle w:val="34"/>
                    <w:jc w:val="center"/>
                    <w:rPr>
                      <w:color w:val="auto"/>
                      <w:sz w:val="21"/>
                      <w:szCs w:val="21"/>
                    </w:rPr>
                  </w:pPr>
                  <w:r>
                    <w:rPr>
                      <w:rFonts w:hint="eastAsia"/>
                      <w:color w:val="auto"/>
                      <w:sz w:val="21"/>
                      <w:szCs w:val="21"/>
                    </w:rPr>
                    <w:t>3</w:t>
                  </w:r>
                </w:p>
              </w:tc>
              <w:tc>
                <w:tcPr>
                  <w:tcW w:w="1945" w:type="dxa"/>
                  <w:shd w:val="clear" w:color="auto" w:fill="auto"/>
                  <w:vAlign w:val="center"/>
                </w:tcPr>
                <w:p w14:paraId="1DA33446">
                  <w:pPr>
                    <w:pStyle w:val="34"/>
                    <w:jc w:val="center"/>
                    <w:rPr>
                      <w:rFonts w:ascii="Times New Roman" w:hAnsi="Times New Roman" w:eastAsia="宋体" w:cs="Times New Roman"/>
                      <w:color w:val="auto"/>
                      <w:kern w:val="2"/>
                      <w:sz w:val="24"/>
                      <w:szCs w:val="21"/>
                      <w:lang w:val="en-US" w:eastAsia="zh-CN" w:bidi="ar-SA"/>
                    </w:rPr>
                  </w:pPr>
                  <w:r>
                    <w:rPr>
                      <w:rFonts w:hint="eastAsia"/>
                      <w:bCs/>
                      <w:color w:val="auto"/>
                      <w:sz w:val="21"/>
                      <w:szCs w:val="21"/>
                      <w:lang w:eastAsia="zh-CN"/>
                    </w:rPr>
                    <w:t>废药剂瓶</w:t>
                  </w:r>
                </w:p>
              </w:tc>
              <w:tc>
                <w:tcPr>
                  <w:tcW w:w="1894" w:type="dxa"/>
                  <w:shd w:val="clear" w:color="auto" w:fill="auto"/>
                  <w:vAlign w:val="center"/>
                </w:tcPr>
                <w:p w14:paraId="2CC2229E">
                  <w:pPr>
                    <w:jc w:val="center"/>
                    <w:rPr>
                      <w:rFonts w:ascii="Times New Roman" w:hAnsi="Times New Roman" w:cs="Times New Roman" w:eastAsiaTheme="minorEastAsia"/>
                      <w:color w:val="auto"/>
                      <w:kern w:val="2"/>
                      <w:sz w:val="21"/>
                      <w:szCs w:val="21"/>
                      <w:lang w:val="en-US" w:eastAsia="zh-CN" w:bidi="ar-SA"/>
                    </w:rPr>
                  </w:pPr>
                  <w:r>
                    <w:rPr>
                      <w:rFonts w:hint="eastAsia" w:cs="Times New Roman"/>
                      <w:color w:val="auto"/>
                      <w:szCs w:val="21"/>
                    </w:rPr>
                    <w:t>危险废物</w:t>
                  </w:r>
                </w:p>
              </w:tc>
              <w:tc>
                <w:tcPr>
                  <w:tcW w:w="1247" w:type="dxa"/>
                  <w:shd w:val="clear" w:color="auto" w:fill="auto"/>
                  <w:vAlign w:val="center"/>
                </w:tcPr>
                <w:p w14:paraId="500C69A0">
                  <w:pPr>
                    <w:pStyle w:val="34"/>
                    <w:jc w:val="center"/>
                    <w:rPr>
                      <w:rFonts w:ascii="Times New Roman" w:hAnsi="Times New Roman" w:eastAsia="宋体" w:cs="Times New Roman"/>
                      <w:color w:val="auto"/>
                      <w:kern w:val="2"/>
                      <w:sz w:val="21"/>
                      <w:szCs w:val="21"/>
                      <w:lang w:val="en-US" w:eastAsia="zh-CN" w:bidi="ar-SA"/>
                    </w:rPr>
                  </w:pPr>
                  <w:r>
                    <w:rPr>
                      <w:color w:val="auto"/>
                      <w:sz w:val="21"/>
                      <w:szCs w:val="21"/>
                    </w:rPr>
                    <w:t>900-041-49</w:t>
                  </w:r>
                </w:p>
              </w:tc>
              <w:tc>
                <w:tcPr>
                  <w:tcW w:w="1016" w:type="dxa"/>
                  <w:shd w:val="clear" w:color="auto" w:fill="auto"/>
                  <w:vAlign w:val="center"/>
                </w:tcPr>
                <w:p w14:paraId="1B259564">
                  <w:pPr>
                    <w:pStyle w:val="34"/>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rPr>
                    <w:t>0.0</w:t>
                  </w:r>
                  <w:r>
                    <w:rPr>
                      <w:rFonts w:hint="eastAsia"/>
                      <w:color w:val="auto"/>
                      <w:sz w:val="21"/>
                      <w:szCs w:val="21"/>
                      <w:lang w:val="en-US" w:eastAsia="zh-CN"/>
                    </w:rPr>
                    <w:t>5</w:t>
                  </w:r>
                </w:p>
              </w:tc>
              <w:tc>
                <w:tcPr>
                  <w:tcW w:w="2997" w:type="dxa"/>
                  <w:shd w:val="clear" w:color="auto" w:fill="auto"/>
                  <w:vAlign w:val="center"/>
                </w:tcPr>
                <w:p w14:paraId="6F1EBD83">
                  <w:pPr>
                    <w:pStyle w:val="43"/>
                    <w:rPr>
                      <w:rFonts w:ascii="Times New Roman" w:hAnsi="Times New Roman" w:eastAsia="宋体" w:cs="Times New Roman"/>
                      <w:color w:val="auto"/>
                      <w:kern w:val="2"/>
                      <w:sz w:val="21"/>
                      <w:szCs w:val="21"/>
                      <w:lang w:val="en-US" w:eastAsia="zh-CN" w:bidi="ar-SA"/>
                    </w:rPr>
                  </w:pPr>
                  <w:r>
                    <w:rPr>
                      <w:rFonts w:cs="Times New Roman"/>
                      <w:color w:val="auto"/>
                      <w:szCs w:val="21"/>
                    </w:rPr>
                    <w:t>收集</w:t>
                  </w:r>
                  <w:r>
                    <w:rPr>
                      <w:rFonts w:hint="eastAsia" w:cs="Times New Roman"/>
                      <w:color w:val="auto"/>
                      <w:szCs w:val="21"/>
                    </w:rPr>
                    <w:t>后作为原材料继续使用</w:t>
                  </w:r>
                </w:p>
              </w:tc>
            </w:tr>
            <w:tr w14:paraId="16F06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vAlign w:val="center"/>
                </w:tcPr>
                <w:p w14:paraId="69FA785D">
                  <w:pPr>
                    <w:pStyle w:val="34"/>
                    <w:jc w:val="center"/>
                    <w:rPr>
                      <w:color w:val="auto"/>
                      <w:sz w:val="21"/>
                      <w:szCs w:val="21"/>
                    </w:rPr>
                  </w:pPr>
                  <w:r>
                    <w:rPr>
                      <w:rFonts w:hint="eastAsia"/>
                      <w:color w:val="auto"/>
                      <w:sz w:val="21"/>
                      <w:szCs w:val="21"/>
                    </w:rPr>
                    <w:t>4</w:t>
                  </w:r>
                </w:p>
              </w:tc>
              <w:tc>
                <w:tcPr>
                  <w:tcW w:w="1945" w:type="dxa"/>
                  <w:shd w:val="clear" w:color="auto" w:fill="auto"/>
                  <w:vAlign w:val="center"/>
                </w:tcPr>
                <w:p w14:paraId="3969193A">
                  <w:pPr>
                    <w:pStyle w:val="34"/>
                    <w:jc w:val="center"/>
                    <w:rPr>
                      <w:rFonts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实验废液</w:t>
                  </w:r>
                </w:p>
              </w:tc>
              <w:tc>
                <w:tcPr>
                  <w:tcW w:w="1894" w:type="dxa"/>
                  <w:shd w:val="clear" w:color="auto" w:fill="auto"/>
                  <w:vAlign w:val="center"/>
                </w:tcPr>
                <w:p w14:paraId="2B3F0B8B">
                  <w:pPr>
                    <w:jc w:val="center"/>
                    <w:rPr>
                      <w:rFonts w:ascii="Times New Roman" w:hAnsi="Times New Roman" w:cs="Times New Roman" w:eastAsiaTheme="minorEastAsia"/>
                      <w:color w:val="auto"/>
                      <w:kern w:val="2"/>
                      <w:sz w:val="21"/>
                      <w:szCs w:val="21"/>
                      <w:lang w:val="en-US" w:eastAsia="zh-CN" w:bidi="ar-SA"/>
                    </w:rPr>
                  </w:pPr>
                  <w:r>
                    <w:rPr>
                      <w:rFonts w:hint="eastAsia" w:cs="Times New Roman"/>
                      <w:color w:val="auto"/>
                      <w:szCs w:val="21"/>
                    </w:rPr>
                    <w:t>危险废物</w:t>
                  </w:r>
                </w:p>
              </w:tc>
              <w:tc>
                <w:tcPr>
                  <w:tcW w:w="1247" w:type="dxa"/>
                  <w:shd w:val="clear" w:color="auto" w:fill="auto"/>
                  <w:vAlign w:val="center"/>
                </w:tcPr>
                <w:p w14:paraId="4FBBCDD9">
                  <w:pPr>
                    <w:pStyle w:val="34"/>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900-0</w:t>
                  </w:r>
                  <w:r>
                    <w:rPr>
                      <w:rFonts w:hint="eastAsia" w:ascii="Times New Roman" w:hAnsi="Times New Roman" w:cs="Times New Roman"/>
                      <w:color w:val="auto"/>
                      <w:sz w:val="21"/>
                      <w:szCs w:val="21"/>
                      <w:highlight w:val="none"/>
                      <w:lang w:val="en-US" w:eastAsia="zh-CN"/>
                    </w:rPr>
                    <w:t>47</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49</w:t>
                  </w:r>
                </w:p>
              </w:tc>
              <w:tc>
                <w:tcPr>
                  <w:tcW w:w="1016" w:type="dxa"/>
                  <w:shd w:val="clear" w:color="auto" w:fill="auto"/>
                  <w:vAlign w:val="center"/>
                </w:tcPr>
                <w:p w14:paraId="748EBDAF">
                  <w:pPr>
                    <w:pStyle w:val="34"/>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500</w:t>
                  </w:r>
                </w:p>
              </w:tc>
              <w:tc>
                <w:tcPr>
                  <w:tcW w:w="2997" w:type="dxa"/>
                  <w:shd w:val="clear" w:color="auto" w:fill="auto"/>
                  <w:vAlign w:val="center"/>
                </w:tcPr>
                <w:p w14:paraId="66736388">
                  <w:pPr>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Cs w:val="21"/>
                    </w:rPr>
                    <w:t>委托具有危险废物处理资质单位处置</w:t>
                  </w:r>
                </w:p>
              </w:tc>
            </w:tr>
          </w:tbl>
          <w:p w14:paraId="556758EE">
            <w:pPr>
              <w:pStyle w:val="51"/>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对照</w:t>
            </w:r>
            <w:r>
              <w:rPr>
                <w:rFonts w:hint="default" w:ascii="Times New Roman" w:hAnsi="Times New Roman" w:cs="Times New Roman"/>
                <w:color w:val="auto"/>
                <w:sz w:val="24"/>
                <w:szCs w:val="24"/>
              </w:rPr>
              <w:t>《国家危险废物名录</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202</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年版</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highlight w:val="none"/>
                <w:lang w:val="en-US" w:eastAsia="zh-CN"/>
              </w:rPr>
              <w:t>废活性炭等</w:t>
            </w:r>
            <w:r>
              <w:rPr>
                <w:rFonts w:hint="default" w:ascii="Times New Roman" w:hAnsi="Times New Roman" w:cs="Times New Roman"/>
                <w:color w:val="auto"/>
                <w:sz w:val="24"/>
                <w:szCs w:val="24"/>
              </w:rPr>
              <w:t>属于危险废物，以上危险废物收集后贮存于危险废物临时存放场所。贮存场严格按照《危险废物贮存污染控制标准》（GB18597-20</w:t>
            </w:r>
            <w:r>
              <w:rPr>
                <w:rFonts w:hint="eastAsia" w:ascii="Times New Roman" w:hAnsi="Times New Roman" w:cs="Times New Roman"/>
                <w:color w:val="auto"/>
                <w:sz w:val="24"/>
                <w:szCs w:val="24"/>
                <w:lang w:val="en-US" w:eastAsia="zh-CN"/>
              </w:rPr>
              <w:t>23</w:t>
            </w:r>
            <w:r>
              <w:rPr>
                <w:rFonts w:hint="default" w:ascii="Times New Roman" w:hAnsi="Times New Roman" w:cs="Times New Roman"/>
                <w:color w:val="auto"/>
                <w:sz w:val="24"/>
                <w:szCs w:val="24"/>
              </w:rPr>
              <w:t>）相关要求建设。</w:t>
            </w:r>
          </w:p>
          <w:p w14:paraId="1412DFF6">
            <w:pPr>
              <w:spacing w:line="360" w:lineRule="auto"/>
              <w:ind w:firstLine="480"/>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color w:val="auto"/>
                <w:sz w:val="24"/>
                <w:szCs w:val="24"/>
                <w:lang w:val="en-US" w:eastAsia="zh-CN"/>
              </w:rPr>
              <w:t>4.4危险废物环境管理要求</w:t>
            </w:r>
          </w:p>
          <w:p w14:paraId="387BAA57">
            <w:pPr>
              <w:spacing w:line="360" w:lineRule="auto"/>
              <w:ind w:firstLine="48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）总体</w:t>
            </w:r>
            <w:r>
              <w:rPr>
                <w:rFonts w:hint="default" w:ascii="Times New Roman" w:hAnsi="Times New Roman" w:cs="Times New Roman"/>
                <w:color w:val="auto"/>
                <w:sz w:val="24"/>
                <w:szCs w:val="24"/>
              </w:rPr>
              <w:t>要求</w:t>
            </w:r>
          </w:p>
          <w:p w14:paraId="4311D9AF">
            <w:pPr>
              <w:spacing w:line="360" w:lineRule="auto"/>
              <w:ind w:firstLine="480"/>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color w:val="auto"/>
                <w:sz w:val="24"/>
                <w:szCs w:val="24"/>
              </w:rPr>
              <w:t>ⅰ</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产生、收集、贮存、利用、处置危险废物的单位应建造危险废物贮存设施或设置贮存场所，并根据需要选择贮存设施类型</w:t>
            </w:r>
            <w:r>
              <w:rPr>
                <w:rFonts w:hint="eastAsia" w:ascii="Times New Roman" w:hAnsi="Times New Roman" w:cs="Times New Roman"/>
                <w:color w:val="auto"/>
                <w:sz w:val="24"/>
                <w:szCs w:val="24"/>
                <w:lang w:eastAsia="zh-CN"/>
              </w:rPr>
              <w:t>。</w:t>
            </w:r>
          </w:p>
          <w:p w14:paraId="7B280327">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ⅱ</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贮存危险废物应根据危险废物的类别、数量、形态、物理化学性质和环境风险等因素，确定贮存设施或场所类型和规模。</w:t>
            </w:r>
          </w:p>
          <w:p w14:paraId="31102232">
            <w:pPr>
              <w:pStyle w:val="51"/>
              <w:ind w:firstLine="48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ⅲ</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贮存危险废物应根据危险废物的类别、形态、物理化学性质和污染防治要求进行分类贮存</w:t>
            </w:r>
            <w:r>
              <w:rPr>
                <w:rFonts w:hint="default" w:ascii="Times New Roman" w:hAnsi="Times New Roman" w:cs="Times New Roman"/>
                <w:color w:val="auto"/>
                <w:sz w:val="24"/>
                <w:szCs w:val="24"/>
                <w:lang w:val="en-US" w:eastAsia="zh-CN"/>
              </w:rPr>
              <w:t>，且应避免危险废物与不相容的物质或材料接触。</w:t>
            </w:r>
          </w:p>
          <w:p w14:paraId="7743CD3E">
            <w:pPr>
              <w:pStyle w:val="51"/>
              <w:ind w:firstLine="480"/>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ⅳ</w:t>
            </w:r>
            <w:r>
              <w:rPr>
                <w:rFonts w:hint="eastAsia" w:ascii="Times New Roman" w:hAnsi="Times New Roman" w:cs="Times New Roman"/>
                <w:color w:val="auto"/>
                <w:sz w:val="24"/>
                <w:szCs w:val="24"/>
                <w:lang w:val="en-US" w:eastAsia="zh-CN"/>
              </w:rPr>
              <w:t>.贮存危险废物应根据危险废物的形态、物理化学性质、包装形式和污染物迁移途径，采取措施减少渗滤液及其衍生废物、渗漏的液态废物（简称渗漏液）、粉尘、VOCs、酸雾、有毒有害大气污染物和刺激性气味气体等污染物的产生，防止其污染环境。</w:t>
            </w:r>
          </w:p>
          <w:p w14:paraId="6D611192">
            <w:pPr>
              <w:pStyle w:val="51"/>
              <w:ind w:firstLine="480"/>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ⅴ</w:t>
            </w:r>
            <w:r>
              <w:rPr>
                <w:rFonts w:hint="eastAsia" w:ascii="Times New Roman" w:hAnsi="Times New Roman" w:cs="Times New Roman"/>
                <w:color w:val="auto"/>
                <w:sz w:val="24"/>
                <w:szCs w:val="24"/>
                <w:lang w:val="en-US" w:eastAsia="zh-CN"/>
              </w:rPr>
              <w:t>.危险废物贮存过程产生的液态废物和固态废物应分类收集，按其环境管理要求妥善处理。</w:t>
            </w:r>
          </w:p>
          <w:p w14:paraId="69CFFC62">
            <w:pPr>
              <w:pStyle w:val="51"/>
              <w:ind w:firstLine="48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ⅵ</w:t>
            </w:r>
            <w:r>
              <w:rPr>
                <w:rFonts w:hint="eastAsia" w:ascii="Times New Roman" w:hAnsi="Times New Roman" w:cs="Times New Roman"/>
                <w:color w:val="auto"/>
                <w:sz w:val="24"/>
                <w:szCs w:val="24"/>
                <w:lang w:val="en-US" w:eastAsia="zh-CN"/>
              </w:rPr>
              <w:t>.贮存设施或场所、容器和包装物应按《</w:t>
            </w:r>
            <w:r>
              <w:rPr>
                <w:rFonts w:hint="default" w:ascii="Times New Roman" w:hAnsi="Times New Roman" w:cs="Times New Roman"/>
                <w:color w:val="auto"/>
                <w:sz w:val="24"/>
                <w:szCs w:val="24"/>
                <w:lang w:val="en-US" w:eastAsia="zh-CN"/>
              </w:rPr>
              <w:t>危险废物识别标志设置技术规范</w:t>
            </w:r>
            <w:r>
              <w:rPr>
                <w:rFonts w:hint="eastAsia" w:ascii="Times New Roman" w:hAnsi="Times New Roman" w:cs="Times New Roman"/>
                <w:color w:val="auto"/>
                <w:sz w:val="24"/>
                <w:szCs w:val="24"/>
                <w:lang w:val="en-US" w:eastAsia="zh-CN"/>
              </w:rPr>
              <w:t>》（HJ1276-2022）要求设置危险废物贮存设施或场所标志、危险废物贮存分区标志和危险废物标签等危险废物识别标志。</w:t>
            </w:r>
          </w:p>
          <w:p w14:paraId="3BD1D32E">
            <w:pPr>
              <w:pStyle w:val="51"/>
              <w:ind w:firstLine="480"/>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val="en-US" w:eastAsia="zh-CN"/>
              </w:rPr>
              <w:t>贮存设施污染控制要求</w:t>
            </w:r>
          </w:p>
          <w:p w14:paraId="32B8AC66">
            <w:pPr>
              <w:pStyle w:val="51"/>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ⅰ</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贮存设施应根据危险废物的形态、物理化学性质、包装形式和污染物迁移途径，采取必要的防风、防晒、防雨、防漏、防渗、防腐以及其他环境污染防治措施，不应露天堆放危险废物</w:t>
            </w:r>
            <w:r>
              <w:rPr>
                <w:rFonts w:hint="default" w:ascii="Times New Roman" w:hAnsi="Times New Roman" w:cs="Times New Roman"/>
                <w:color w:val="auto"/>
                <w:sz w:val="24"/>
                <w:szCs w:val="24"/>
              </w:rPr>
              <w:t>。</w:t>
            </w:r>
          </w:p>
          <w:p w14:paraId="4D20B8F1">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ⅱ</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贮存设施应根据危险废物的类别、数量、形态、物理化学性质和污染防治等要求设置必要的贮存分区，避免不相容的危险废物接触、混合。</w:t>
            </w:r>
          </w:p>
          <w:p w14:paraId="39E1DC3C">
            <w:pPr>
              <w:pStyle w:val="51"/>
              <w:ind w:firstLine="48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ⅲ</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贮存设施或贮存分区内地面、墙面裙脚、堵截泄漏的围堰、接触危险废物的隔板和墙体等应采用坚固的材料建造，表面无裂缝。</w:t>
            </w:r>
          </w:p>
          <w:p w14:paraId="53211DFA">
            <w:pPr>
              <w:pStyle w:val="51"/>
              <w:ind w:firstLine="480"/>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ⅳ</w:t>
            </w:r>
            <w:r>
              <w:rPr>
                <w:rFonts w:hint="eastAsia" w:ascii="Times New Roman" w:hAnsi="Times New Roman" w:cs="Times New Roman"/>
                <w:color w:val="auto"/>
                <w:sz w:val="24"/>
                <w:szCs w:val="24"/>
                <w:lang w:val="en-US" w:eastAsia="zh-CN"/>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cs="Times New Roman"/>
                <w:color w:val="auto"/>
                <w:sz w:val="24"/>
                <w:szCs w:val="24"/>
                <w:vertAlign w:val="superscript"/>
                <w:lang w:val="en-US" w:eastAsia="zh-CN"/>
              </w:rPr>
              <w:t>-7</w:t>
            </w:r>
            <w:r>
              <w:rPr>
                <w:rFonts w:hint="eastAsia" w:ascii="Times New Roman" w:hAnsi="Times New Roman" w:cs="Times New Roman"/>
                <w:color w:val="auto"/>
                <w:sz w:val="24"/>
                <w:szCs w:val="24"/>
                <w:lang w:val="en-US" w:eastAsia="zh-CN"/>
              </w:rPr>
              <w:t>cm/s），或至少2mm厚高密度聚乙烯膜等人工防渗材料（渗透系数不大于10</w:t>
            </w:r>
            <w:r>
              <w:rPr>
                <w:rFonts w:hint="eastAsia" w:ascii="Times New Roman" w:hAnsi="Times New Roman" w:cs="Times New Roman"/>
                <w:color w:val="auto"/>
                <w:sz w:val="24"/>
                <w:szCs w:val="24"/>
                <w:vertAlign w:val="superscript"/>
                <w:lang w:val="en-US" w:eastAsia="zh-CN"/>
              </w:rPr>
              <w:t xml:space="preserve">-10 </w:t>
            </w:r>
            <w:r>
              <w:rPr>
                <w:rFonts w:hint="eastAsia" w:ascii="Times New Roman" w:hAnsi="Times New Roman" w:cs="Times New Roman"/>
                <w:color w:val="auto"/>
                <w:sz w:val="24"/>
                <w:szCs w:val="24"/>
                <w:lang w:val="en-US" w:eastAsia="zh-CN"/>
              </w:rPr>
              <w:t>cm/s），或其他防渗性能等效的材料。</w:t>
            </w:r>
          </w:p>
          <w:p w14:paraId="47A005B7">
            <w:pPr>
              <w:pStyle w:val="51"/>
              <w:ind w:firstLine="480"/>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ⅴ.贮存设施应采取技术和管理措施防止无关人员进入。</w:t>
            </w:r>
          </w:p>
          <w:p w14:paraId="5B5B881E">
            <w:pPr>
              <w:pStyle w:val="51"/>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（3）容器和包装物污染控制要求</w:t>
            </w:r>
          </w:p>
          <w:p w14:paraId="3873570F">
            <w:pPr>
              <w:pStyle w:val="51"/>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ⅰ.容器和包装物材质、内衬应与盛装的危险废物相容。</w:t>
            </w:r>
          </w:p>
          <w:p w14:paraId="298788FC">
            <w:pPr>
              <w:pStyle w:val="51"/>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ⅱ.针对不同类别、形态、物理化学性质的危险废物，其容器和包装物应满足相应的防渗、防漏、防腐和强度等要求。</w:t>
            </w:r>
          </w:p>
          <w:p w14:paraId="2F04F72C">
            <w:pPr>
              <w:pStyle w:val="51"/>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ⅲ.硬质容器和包装物及其支护结构堆叠码放时不应有明显变形，无破损泄漏。</w:t>
            </w:r>
          </w:p>
          <w:p w14:paraId="6E96EBF6">
            <w:pPr>
              <w:pStyle w:val="51"/>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ⅳ.柔性容器和包装物堆叠码放时应封口严密，无破损泄漏。</w:t>
            </w:r>
          </w:p>
          <w:p w14:paraId="51B4FAFC">
            <w:pPr>
              <w:pStyle w:val="51"/>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ⅴ.使用容器盛装液态、半固态危险废物时，容器内部应留有适当的空间，以适应因温度变化等可能引发的收缩和膨胀，防止其导致容器渗漏或永久变形。</w:t>
            </w:r>
          </w:p>
          <w:p w14:paraId="03EE677B">
            <w:pPr>
              <w:pStyle w:val="51"/>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ⅵ.容器和包装物外表面应保持清洁。</w:t>
            </w:r>
          </w:p>
          <w:p w14:paraId="0177C865">
            <w:pPr>
              <w:spacing w:line="360" w:lineRule="auto"/>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（4）贮存过程污染控制要求</w:t>
            </w:r>
          </w:p>
          <w:p w14:paraId="0EA89485">
            <w:pPr>
              <w:spacing w:line="360" w:lineRule="auto"/>
              <w:ind w:firstLine="480"/>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color w:val="auto"/>
                <w:sz w:val="24"/>
                <w:szCs w:val="24"/>
              </w:rPr>
              <w:t>①</w:t>
            </w:r>
            <w:r>
              <w:rPr>
                <w:rFonts w:hint="eastAsia" w:ascii="Times New Roman" w:hAnsi="Times New Roman" w:cs="Times New Roman"/>
                <w:color w:val="auto"/>
                <w:sz w:val="24"/>
                <w:szCs w:val="24"/>
                <w:lang w:eastAsia="zh-CN"/>
              </w:rPr>
              <w:t>一般要求</w:t>
            </w:r>
          </w:p>
          <w:p w14:paraId="0C326C8A">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ⅰ</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在常温常压下不易水解、不易挥发的固态危险废物可分类堆放贮存，其他固态危险废物应装入容器或包装物内贮存。</w:t>
            </w:r>
          </w:p>
          <w:p w14:paraId="2A0DDC38">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ⅱ</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液态危险废物应装入容器内贮存，或直接采用贮存池、贮存罐区贮存。</w:t>
            </w:r>
          </w:p>
          <w:p w14:paraId="7750CBC8">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ⅲ</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半固态危险废物应装入容器或包装袋内贮存，或直接采用贮存池贮存。</w:t>
            </w:r>
          </w:p>
          <w:p w14:paraId="012EA2A2">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ⅳ</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具有热塑性的危险废物应装入容器或包装袋内进行贮存。</w:t>
            </w:r>
          </w:p>
          <w:p w14:paraId="519BC2B1">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ⅴ</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易产生粉尘、VOCs、酸雾、有毒有害大气污染物和刺激性气味气体的危险废物应装入闭口容器或包装物内贮存。</w:t>
            </w:r>
          </w:p>
          <w:p w14:paraId="3C9E10A0">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ⅵ</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危险废物贮存过程中易产生粉尘等无组织排放的，应采取抑尘等有效措施。</w:t>
            </w:r>
          </w:p>
          <w:p w14:paraId="6AB57348">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②贮存设施运行环境管理要求</w:t>
            </w:r>
          </w:p>
          <w:p w14:paraId="0C9A888C">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ⅰ</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危险废物存入贮存设施前应对危险废物类别和特性与危险废物标签等危险废物识别标志的一致性进行核验，不一致的或类别、特性不明的不应存入。</w:t>
            </w:r>
          </w:p>
          <w:p w14:paraId="0165C8A1">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ⅱ</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应定期检查危险废物的贮存状况，及时清理贮存设施地面，更换破损泄漏的危险废物贮存容器和包装物，保证堆存危险废物的防雨、防风、防扬尘等设施功能完好。</w:t>
            </w:r>
          </w:p>
          <w:p w14:paraId="2A8CE8A2">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ⅲ</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作业设备及车辆等结束作业离开贮存设施时，应对其残留的危险废物进行清理，清理的废物或清洗废水应收集处理。</w:t>
            </w:r>
          </w:p>
          <w:p w14:paraId="7A99169B">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ⅳ</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贮存设施运行期间，应按国家有关标准和规定建立危险废物管理台账并保存。</w:t>
            </w:r>
          </w:p>
          <w:p w14:paraId="09A7BAFC">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ⅴ</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贮存设施所有者或运营者应建立贮存设施环境管理制度、管理人员岗位职责制度、设施运行操作制度、人员岗位培训制度等。</w:t>
            </w:r>
          </w:p>
          <w:p w14:paraId="7123DE2C">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ⅵ</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08BC61E4">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ⅶ</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贮存设施所有者或运营者应建立贮存设施全部档案，包括设计、施工、验收、运行、监测和环境应急等，应按国家有关档案管理的法律法规进行整理和归档。</w:t>
            </w:r>
          </w:p>
          <w:p w14:paraId="272ABD10">
            <w:pPr>
              <w:spacing w:line="360" w:lineRule="auto"/>
              <w:ind w:firstLine="48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（5）环境监测要求</w:t>
            </w:r>
          </w:p>
          <w:p w14:paraId="3B9CEC60">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ⅰ</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贮存设施的环境监测应纳入主体设施的环境监测计划。</w:t>
            </w:r>
          </w:p>
          <w:p w14:paraId="4D2BB360">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ⅱ</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所有者或运营者应依据《大气污染防治法》《水污染防治法》《土壤污染防治法》等有关法律、《排污许可管理条例》等行政法规和HJ819、HJ1250等规定制订监测方案，对贮存设施污染物排放状况开展自行监测，保存原始监测记录，并公布监测结果。</w:t>
            </w:r>
          </w:p>
          <w:p w14:paraId="53875E35">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ⅲ</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贮存设施废水污染物排放的监测方法和监测指标应符合国家相关标准要求。</w:t>
            </w:r>
          </w:p>
          <w:p w14:paraId="6E01ECFD">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ⅳ</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HJ1259规定的危险废物环境重点监管单位贮存设施地下水环境监测点布设应符合HJ164要求，监测因子应根据贮存废物的特性选择具有代表性且能表征危险废物特性的指标，地下水监测因子分析方法按照GB/T14848执行。</w:t>
            </w:r>
          </w:p>
          <w:p w14:paraId="608B8960">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ⅴ</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配有收集净化系统的贮存设施大气污染物排放的监测采样应按GB/T16157、HJ/T397、HJ732的规定执行。</w:t>
            </w:r>
          </w:p>
          <w:p w14:paraId="7078C19A">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ⅵ</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贮存设施无组织气体排放监测因子应根据贮存废物的特性选择具有代表性且能表征危险废物特性的指标；采样点布设、采样及监测方法可按HJ/T55的规定执行，VOCs的无组织排放监测还应符合GB 37822的规定。</w:t>
            </w:r>
          </w:p>
          <w:p w14:paraId="6A627634">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ⅶ</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贮存设施恶臭气体的排放监测应符合GB14554、HJ905的规定。</w:t>
            </w:r>
          </w:p>
          <w:p w14:paraId="0ADE6B3A">
            <w:pPr>
              <w:spacing w:line="360" w:lineRule="auto"/>
              <w:ind w:firstLine="480"/>
              <w:rPr>
                <w:rFonts w:hint="eastAsia" w:ascii="Times New Roman" w:hAnsi="Times New Roman" w:cs="Times New Roman" w:eastAsiaTheme="minorEastAsia"/>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6</w:t>
            </w:r>
            <w:r>
              <w:rPr>
                <w:rFonts w:hint="eastAsia" w:ascii="Times New Roman" w:hAnsi="Times New Roman" w:cs="Times New Roman"/>
                <w:color w:val="auto"/>
                <w:sz w:val="24"/>
                <w:szCs w:val="24"/>
                <w:lang w:eastAsia="zh-CN"/>
              </w:rPr>
              <w:t>）其他</w:t>
            </w:r>
          </w:p>
          <w:p w14:paraId="4AC46AC1">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ⅰ</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必须按照国家有关规定制定危险废物管理计划，并向所在地县级以上地方人民政府生态环境行政主管部门申报危险废物的种类、产生量、流向、贮存、处置等有关资料。</w:t>
            </w:r>
          </w:p>
          <w:p w14:paraId="78AB7E06">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ⅱ</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管理计划应当包括减少危险废物产生量和危害性的措施以及危险废物贮存、利用、处置措施。危险废物管理计划应当报产生危险废物的单位所在地生态环境保护行政主管部门备案。管理计划内容有重大改变的，应当及时申报。</w:t>
            </w:r>
          </w:p>
          <w:p w14:paraId="21A08A84">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ⅲ</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禁止将危险废物提供或者委托给无经营许可证的单位从事收集、贮存、利用、处置的经营活动。</w:t>
            </w:r>
          </w:p>
          <w:p w14:paraId="22F2F5FE">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ⅳ</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必须按照国家有关规定填写危险废物转移联单，并向危险废物移出地设区的市级以上地方人民政府生态环境行政主管部门提出申请。移出地设区的市级以上生态环境行政主管部门应当经接受地设区的市级以上生态环境保护行政主管部门同意后，方可批准转移该危险废物。未经批准的，不得转移。</w:t>
            </w:r>
          </w:p>
          <w:p w14:paraId="1FF3E8C6">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转移危险废物途经移出地、接受地以外行政区域的，危险废物移出地设区的市级以上生态环境行政主管部门应当及时通知沿途经过的设区的市级以上生态环境行政主管部门。</w:t>
            </w:r>
          </w:p>
          <w:p w14:paraId="3EE1627E">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ⅴ</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运输危险废物，必须采取防止污染环境的措施，并遵守国家有关危险货物运输管理的规定。禁止将危险废物与旅客在同一运输工具上载运。</w:t>
            </w:r>
          </w:p>
          <w:p w14:paraId="30F0F798">
            <w:pPr>
              <w:spacing w:line="360" w:lineRule="auto"/>
              <w:ind w:firstLine="480" w:firstLineChars="200"/>
              <w:jc w:val="left"/>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危险废物环境管理台账记录要求</w:t>
            </w:r>
          </w:p>
          <w:p w14:paraId="77C44E94">
            <w:pPr>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排污单位应建立环境管理台账，危险废物环境管理台账记录应符合《危险废物产生单位管理计划制定指南》等标准及管理文件的相关要求。待危险废物环境管理台账相关标准或管理文件发布实施后，从其规定。</w:t>
            </w:r>
          </w:p>
          <w:p w14:paraId="08499E76">
            <w:pPr>
              <w:spacing w:line="360" w:lineRule="auto"/>
              <w:ind w:firstLine="480" w:firstLineChars="200"/>
              <w:jc w:val="left"/>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8</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一般工业固体废物环境管理台账记录要求</w:t>
            </w:r>
          </w:p>
          <w:p w14:paraId="26D41330">
            <w:pPr>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排污单位应建立环境管理台账制度，一般工业固体废物环境管理台账记录应符合生态环境部规定的一般工业固体废物环境管理台账相关标准及管理文件要求。</w:t>
            </w:r>
          </w:p>
          <w:p w14:paraId="5E69F70A">
            <w:pPr>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可见，在采取上述预防措施和办法后，本项目所产生的一般工业固体废物、危险废物和生活垃圾均得到了合理有效的处理和处置，其产生的固体废弃物不会对周围环境造成二次污染。</w:t>
            </w:r>
          </w:p>
          <w:p w14:paraId="75133709">
            <w:pPr>
              <w:spacing w:line="360" w:lineRule="auto"/>
              <w:ind w:firstLine="482" w:firstLineChars="200"/>
              <w:jc w:val="left"/>
              <w:rPr>
                <w:rFonts w:ascii="Times New Roman" w:hAnsi="Times New Roman" w:cs="Times New Roman"/>
                <w:b/>
                <w:color w:val="auto"/>
                <w:sz w:val="24"/>
              </w:rPr>
            </w:pPr>
            <w:r>
              <w:rPr>
                <w:rFonts w:ascii="Times New Roman" w:hAnsi="Times New Roman" w:cs="Times New Roman"/>
                <w:b/>
                <w:color w:val="auto"/>
                <w:sz w:val="24"/>
              </w:rPr>
              <w:t>5、地下水、土壤</w:t>
            </w:r>
            <w:r>
              <w:rPr>
                <w:rFonts w:hint="eastAsia" w:ascii="Times New Roman" w:hAnsi="Times New Roman" w:cs="Times New Roman"/>
                <w:b/>
                <w:color w:val="auto"/>
                <w:sz w:val="24"/>
              </w:rPr>
              <w:t>环境影响分析</w:t>
            </w:r>
          </w:p>
          <w:p w14:paraId="3E4D3D7B">
            <w:pPr>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（1）地下水、土壤污染途径分析</w:t>
            </w:r>
          </w:p>
          <w:p w14:paraId="60B490B7">
            <w:pPr>
              <w:spacing w:line="360" w:lineRule="auto"/>
              <w:ind w:firstLine="480" w:firstLineChars="200"/>
              <w:rPr>
                <w:rFonts w:ascii="Times New Roman" w:hAnsi="Times New Roman" w:cs="Times New Roman"/>
                <w:color w:val="auto"/>
                <w:sz w:val="24"/>
                <w:szCs w:val="21"/>
              </w:rPr>
            </w:pPr>
            <w:r>
              <w:rPr>
                <w:rFonts w:ascii="Times New Roman" w:hAnsi="Times New Roman" w:cs="Times New Roman"/>
                <w:color w:val="auto"/>
                <w:sz w:val="24"/>
              </w:rPr>
              <w:t>污染物从污染源进入地下水、土壤所经过路径称为污染途径，污染途径是多种多样的。</w:t>
            </w:r>
            <w:r>
              <w:rPr>
                <w:rFonts w:ascii="Times New Roman" w:hAnsi="Times New Roman" w:cs="Times New Roman"/>
                <w:color w:val="auto"/>
                <w:sz w:val="24"/>
                <w:szCs w:val="21"/>
              </w:rPr>
              <w:t>本项目可能会对地下水、土壤环境造成污染的污染源主要为</w:t>
            </w:r>
            <w:r>
              <w:rPr>
                <w:rFonts w:hint="eastAsia" w:ascii="Times New Roman" w:hAnsi="Times New Roman" w:cs="Times New Roman"/>
                <w:color w:val="auto"/>
                <w:sz w:val="24"/>
                <w:szCs w:val="21"/>
              </w:rPr>
              <w:t>危险化学品</w:t>
            </w:r>
            <w:r>
              <w:rPr>
                <w:rFonts w:ascii="Times New Roman" w:hAnsi="Times New Roman" w:cs="Times New Roman"/>
                <w:color w:val="auto"/>
                <w:sz w:val="24"/>
                <w:szCs w:val="21"/>
              </w:rPr>
              <w:t>、危险废物等</w:t>
            </w:r>
            <w:r>
              <w:rPr>
                <w:rFonts w:ascii="Times New Roman" w:hAnsi="Times New Roman" w:cs="Times New Roman"/>
                <w:color w:val="auto"/>
                <w:sz w:val="24"/>
                <w:szCs w:val="23"/>
              </w:rPr>
              <w:t>。本项目</w:t>
            </w:r>
            <w:r>
              <w:rPr>
                <w:rFonts w:hint="eastAsia" w:ascii="Times New Roman" w:hAnsi="Times New Roman" w:cs="Times New Roman"/>
                <w:color w:val="auto"/>
                <w:sz w:val="24"/>
                <w:szCs w:val="21"/>
              </w:rPr>
              <w:t>危险化学品</w:t>
            </w:r>
            <w:r>
              <w:rPr>
                <w:rFonts w:ascii="Times New Roman" w:hAnsi="Times New Roman" w:cs="Times New Roman"/>
                <w:color w:val="auto"/>
                <w:sz w:val="24"/>
                <w:szCs w:val="21"/>
              </w:rPr>
              <w:t>均储存于</w:t>
            </w:r>
            <w:r>
              <w:rPr>
                <w:rFonts w:hint="eastAsia" w:ascii="Times New Roman" w:hAnsi="Times New Roman" w:cs="Times New Roman"/>
                <w:color w:val="auto"/>
                <w:sz w:val="24"/>
                <w:szCs w:val="21"/>
              </w:rPr>
              <w:t>危险化学品仓库</w:t>
            </w:r>
            <w:r>
              <w:rPr>
                <w:rFonts w:ascii="Times New Roman" w:hAnsi="Times New Roman" w:cs="Times New Roman"/>
                <w:color w:val="auto"/>
                <w:sz w:val="24"/>
                <w:szCs w:val="21"/>
              </w:rPr>
              <w:t>内，危险废物</w:t>
            </w:r>
            <w:r>
              <w:rPr>
                <w:rFonts w:ascii="Times New Roman" w:hAnsi="Times New Roman" w:cs="Times New Roman"/>
                <w:color w:val="auto"/>
                <w:sz w:val="24"/>
              </w:rPr>
              <w:t>均储存于</w:t>
            </w:r>
            <w:r>
              <w:rPr>
                <w:rFonts w:hint="eastAsia" w:ascii="Times New Roman" w:hAnsi="Times New Roman" w:cs="Times New Roman"/>
                <w:color w:val="auto"/>
                <w:sz w:val="24"/>
              </w:rPr>
              <w:t>危险废物暂存间</w:t>
            </w:r>
            <w:r>
              <w:rPr>
                <w:rFonts w:ascii="Times New Roman" w:hAnsi="Times New Roman" w:cs="Times New Roman"/>
                <w:color w:val="auto"/>
                <w:sz w:val="24"/>
              </w:rPr>
              <w:t>内，现有项目已建成</w:t>
            </w:r>
            <w:r>
              <w:rPr>
                <w:rFonts w:hint="eastAsia" w:ascii="Times New Roman" w:hAnsi="Times New Roman" w:cs="Times New Roman"/>
                <w:color w:val="auto"/>
                <w:sz w:val="24"/>
              </w:rPr>
              <w:t>危险废物暂存间</w:t>
            </w:r>
            <w:r>
              <w:rPr>
                <w:rFonts w:ascii="Times New Roman" w:hAnsi="Times New Roman" w:cs="Times New Roman"/>
                <w:color w:val="auto"/>
                <w:sz w:val="24"/>
              </w:rPr>
              <w:t>，且按照要求进行防渗措施，未发生过地下水、土壤污染事件，因此</w:t>
            </w:r>
            <w:r>
              <w:rPr>
                <w:rFonts w:ascii="Times New Roman" w:hAnsi="Times New Roman" w:cs="Times New Roman"/>
                <w:color w:val="auto"/>
                <w:sz w:val="24"/>
                <w:szCs w:val="21"/>
              </w:rPr>
              <w:t>一般情况下，本项目无地下水和土壤污染途径。</w:t>
            </w:r>
          </w:p>
          <w:p w14:paraId="1779B0C7">
            <w:pPr>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（2）地下水、土壤污染防治措施</w:t>
            </w:r>
          </w:p>
          <w:p w14:paraId="0BF3704A">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根据厂区各生产功能单元是否可能对地下水造成污染及其风险程度，本项目要求对</w:t>
            </w:r>
            <w:r>
              <w:rPr>
                <w:rFonts w:hint="eastAsia" w:ascii="Times New Roman" w:hAnsi="Times New Roman" w:cs="Times New Roman"/>
                <w:color w:val="auto"/>
                <w:sz w:val="24"/>
              </w:rPr>
              <w:t>扩建的危险废物暂存间和新建的危险化学品仓库采取</w:t>
            </w:r>
            <w:r>
              <w:rPr>
                <w:rFonts w:ascii="Times New Roman" w:hAnsi="Times New Roman" w:cs="Times New Roman"/>
                <w:color w:val="auto"/>
                <w:sz w:val="24"/>
              </w:rPr>
              <w:t>重点防渗措施。</w:t>
            </w:r>
          </w:p>
          <w:p w14:paraId="3668A946">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应采取以下防渗措施：</w:t>
            </w:r>
          </w:p>
          <w:p w14:paraId="62D24EA2">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①重点防渗区防渗措施</w:t>
            </w:r>
          </w:p>
          <w:p w14:paraId="7C31BBC5">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针对重点防渗区，可通过下述措施可使重点污染区各单元防渗层渗透系数≤10</w:t>
            </w:r>
            <w:r>
              <w:rPr>
                <w:rFonts w:ascii="Times New Roman" w:hAnsi="Times New Roman" w:cs="Times New Roman"/>
                <w:color w:val="auto"/>
                <w:sz w:val="24"/>
                <w:vertAlign w:val="superscript"/>
              </w:rPr>
              <w:t>-10</w:t>
            </w:r>
            <w:r>
              <w:rPr>
                <w:rFonts w:ascii="Times New Roman" w:hAnsi="Times New Roman" w:cs="Times New Roman"/>
                <w:color w:val="auto"/>
                <w:sz w:val="24"/>
              </w:rPr>
              <w:t>cm/s：</w:t>
            </w:r>
          </w:p>
          <w:p w14:paraId="7822816A">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基础防渗层为至少1m厚粘土层（渗透系数≤10</w:t>
            </w:r>
            <w:r>
              <w:rPr>
                <w:rFonts w:ascii="Times New Roman" w:hAnsi="Times New Roman" w:cs="Times New Roman"/>
                <w:color w:val="auto"/>
                <w:sz w:val="24"/>
                <w:vertAlign w:val="superscript"/>
              </w:rPr>
              <w:t>-7</w:t>
            </w:r>
            <w:r>
              <w:rPr>
                <w:rFonts w:ascii="Times New Roman" w:hAnsi="Times New Roman" w:cs="Times New Roman"/>
                <w:color w:val="auto"/>
                <w:sz w:val="24"/>
              </w:rPr>
              <w:t>cm/s），防渗层为至少1m厚粘土层（渗透系数≤10</w:t>
            </w:r>
            <w:r>
              <w:rPr>
                <w:rFonts w:ascii="Times New Roman" w:hAnsi="Times New Roman" w:cs="Times New Roman"/>
                <w:color w:val="auto"/>
                <w:sz w:val="24"/>
                <w:vertAlign w:val="superscript"/>
              </w:rPr>
              <w:t>-7</w:t>
            </w:r>
            <w:r>
              <w:rPr>
                <w:rFonts w:ascii="Times New Roman" w:hAnsi="Times New Roman" w:cs="Times New Roman"/>
                <w:color w:val="auto"/>
                <w:sz w:val="24"/>
              </w:rPr>
              <w:t>cm/s），或2mm厚高密度聚乙烯，或2mm厚其他人工材料（渗透系数≤10</w:t>
            </w:r>
            <w:r>
              <w:rPr>
                <w:rFonts w:ascii="Times New Roman" w:hAnsi="Times New Roman" w:cs="Times New Roman"/>
                <w:color w:val="auto"/>
                <w:sz w:val="24"/>
                <w:vertAlign w:val="superscript"/>
              </w:rPr>
              <w:t>-10</w:t>
            </w:r>
            <w:r>
              <w:rPr>
                <w:rFonts w:ascii="Times New Roman" w:hAnsi="Times New Roman" w:cs="Times New Roman"/>
                <w:color w:val="auto"/>
                <w:sz w:val="24"/>
              </w:rPr>
              <w:t>cm/s）。</w:t>
            </w:r>
          </w:p>
          <w:p w14:paraId="6E02880E">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②管理措施</w:t>
            </w:r>
          </w:p>
          <w:p w14:paraId="0E26C70F">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应定期对厂区</w:t>
            </w:r>
            <w:r>
              <w:rPr>
                <w:rFonts w:hint="eastAsia" w:ascii="Times New Roman" w:hAnsi="Times New Roman" w:cs="Times New Roman"/>
                <w:color w:val="auto"/>
                <w:sz w:val="24"/>
              </w:rPr>
              <w:t>危险废物暂存间和危险化学品仓库</w:t>
            </w:r>
            <w:r>
              <w:rPr>
                <w:rFonts w:ascii="Times New Roman" w:hAnsi="Times New Roman" w:cs="Times New Roman"/>
                <w:color w:val="auto"/>
                <w:sz w:val="24"/>
              </w:rPr>
              <w:t>进行检查，一旦出现裂、渗情况，要及时修理。完善管理机制，建立严格的管理制度，遵守操作规程，尽量避免污染物下渗。</w:t>
            </w:r>
          </w:p>
          <w:p w14:paraId="7F88207C">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建设项目地下水污染防渗分区参照表见下表</w:t>
            </w:r>
            <w:r>
              <w:rPr>
                <w:rFonts w:hint="eastAsia" w:ascii="Times New Roman" w:hAnsi="Times New Roman" w:cs="Times New Roman"/>
                <w:color w:val="auto"/>
                <w:sz w:val="24"/>
              </w:rPr>
              <w:t>4.</w:t>
            </w:r>
            <w:r>
              <w:rPr>
                <w:rFonts w:hint="eastAsia" w:ascii="Times New Roman" w:hAnsi="Times New Roman" w:cs="Times New Roman"/>
                <w:color w:val="auto"/>
                <w:sz w:val="24"/>
                <w:lang w:val="en-US" w:eastAsia="zh-CN"/>
              </w:rPr>
              <w:t>15</w:t>
            </w:r>
            <w:r>
              <w:rPr>
                <w:rFonts w:ascii="Times New Roman" w:hAnsi="Times New Roman" w:cs="Times New Roman"/>
                <w:color w:val="auto"/>
                <w:sz w:val="24"/>
              </w:rPr>
              <w:t>。</w:t>
            </w:r>
          </w:p>
          <w:p w14:paraId="0DD146C0">
            <w:pPr>
              <w:pStyle w:val="48"/>
              <w:spacing w:line="240" w:lineRule="auto"/>
              <w:ind w:firstLine="482"/>
              <w:jc w:val="center"/>
              <w:rPr>
                <w:rFonts w:ascii="Times New Roman" w:hAnsi="Times New Roman"/>
                <w:b/>
                <w:bCs/>
                <w:color w:val="auto"/>
                <w:sz w:val="24"/>
              </w:rPr>
            </w:pPr>
            <w:r>
              <w:rPr>
                <w:rFonts w:ascii="Times New Roman" w:hAnsi="Times New Roman"/>
                <w:b/>
                <w:bCs/>
                <w:color w:val="auto"/>
                <w:sz w:val="24"/>
              </w:rPr>
              <w:t>表</w:t>
            </w:r>
            <w:r>
              <w:rPr>
                <w:rFonts w:hint="eastAsia" w:ascii="Times New Roman" w:hAnsi="Times New Roman"/>
                <w:b/>
                <w:bCs/>
                <w:color w:val="auto"/>
                <w:sz w:val="24"/>
              </w:rPr>
              <w:t>4.</w:t>
            </w:r>
            <w:r>
              <w:rPr>
                <w:rFonts w:hint="eastAsia" w:ascii="Times New Roman" w:hAnsi="Times New Roman"/>
                <w:b/>
                <w:bCs/>
                <w:color w:val="auto"/>
                <w:sz w:val="24"/>
                <w:lang w:val="en-US" w:eastAsia="zh-CN"/>
              </w:rPr>
              <w:t>15</w:t>
            </w:r>
            <w:r>
              <w:rPr>
                <w:rFonts w:ascii="Times New Roman" w:hAnsi="Times New Roman"/>
                <w:b/>
                <w:bCs/>
                <w:color w:val="auto"/>
                <w:sz w:val="24"/>
              </w:rPr>
              <w:t xml:space="preserve">  地下水污染防渗分区参照表</w:t>
            </w:r>
          </w:p>
          <w:tbl>
            <w:tblPr>
              <w:tblStyle w:val="28"/>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1324"/>
              <w:gridCol w:w="1341"/>
              <w:gridCol w:w="1377"/>
              <w:gridCol w:w="1329"/>
              <w:gridCol w:w="2964"/>
            </w:tblGrid>
            <w:tr w14:paraId="23449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vAlign w:val="center"/>
                </w:tcPr>
                <w:p w14:paraId="1D51C50F">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场区内建构筑物</w:t>
                  </w:r>
                </w:p>
              </w:tc>
              <w:tc>
                <w:tcPr>
                  <w:tcW w:w="1324" w:type="dxa"/>
                  <w:vAlign w:val="center"/>
                </w:tcPr>
                <w:p w14:paraId="2403FDDA">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包气带防污性能</w:t>
                  </w:r>
                </w:p>
              </w:tc>
              <w:tc>
                <w:tcPr>
                  <w:tcW w:w="1341" w:type="dxa"/>
                  <w:vAlign w:val="center"/>
                </w:tcPr>
                <w:p w14:paraId="297C60DC">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污染控制难易程度</w:t>
                  </w:r>
                </w:p>
              </w:tc>
              <w:tc>
                <w:tcPr>
                  <w:tcW w:w="1377" w:type="dxa"/>
                  <w:vAlign w:val="center"/>
                </w:tcPr>
                <w:p w14:paraId="4CE05D64">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污染物类型</w:t>
                  </w:r>
                </w:p>
              </w:tc>
              <w:tc>
                <w:tcPr>
                  <w:tcW w:w="1329" w:type="dxa"/>
                  <w:vAlign w:val="center"/>
                </w:tcPr>
                <w:p w14:paraId="72427211">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防渗分区</w:t>
                  </w:r>
                </w:p>
              </w:tc>
              <w:tc>
                <w:tcPr>
                  <w:tcW w:w="2964" w:type="dxa"/>
                  <w:vAlign w:val="center"/>
                </w:tcPr>
                <w:p w14:paraId="230C4A45">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防渗技术要求</w:t>
                  </w:r>
                </w:p>
              </w:tc>
            </w:tr>
            <w:tr w14:paraId="2774D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vMerge w:val="restart"/>
                  <w:vAlign w:val="center"/>
                </w:tcPr>
                <w:p w14:paraId="1AE85A9F">
                  <w:pPr>
                    <w:adjustRightInd w:val="0"/>
                    <w:snapToGrid w:val="0"/>
                    <w:jc w:val="center"/>
                    <w:rPr>
                      <w:rFonts w:hint="eastAsia" w:ascii="Times New Roman" w:hAnsi="Times New Roman" w:eastAsia="宋体"/>
                      <w:color w:val="auto"/>
                      <w:szCs w:val="21"/>
                      <w:lang w:eastAsia="zh-CN"/>
                    </w:rPr>
                  </w:pPr>
                  <w:r>
                    <w:rPr>
                      <w:rFonts w:ascii="Times New Roman" w:hAnsi="Times New Roman" w:eastAsia="宋体"/>
                      <w:color w:val="auto"/>
                      <w:szCs w:val="21"/>
                    </w:rPr>
                    <w:t>危险废物暂存间</w:t>
                  </w:r>
                  <w:r>
                    <w:rPr>
                      <w:rFonts w:hint="eastAsia" w:ascii="Times New Roman" w:hAnsi="Times New Roman" w:eastAsia="宋体"/>
                      <w:color w:val="auto"/>
                      <w:szCs w:val="21"/>
                    </w:rPr>
                    <w:t>、</w:t>
                  </w:r>
                  <w:r>
                    <w:rPr>
                      <w:rFonts w:hint="eastAsia" w:ascii="Times New Roman" w:hAnsi="Times New Roman" w:eastAsia="宋体"/>
                      <w:color w:val="auto"/>
                      <w:szCs w:val="21"/>
                      <w:lang w:eastAsia="zh-CN"/>
                    </w:rPr>
                    <w:t>化验室</w:t>
                  </w:r>
                </w:p>
              </w:tc>
              <w:tc>
                <w:tcPr>
                  <w:tcW w:w="1324" w:type="dxa"/>
                  <w:vAlign w:val="center"/>
                </w:tcPr>
                <w:p w14:paraId="6DB90CF1">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中</w:t>
                  </w:r>
                </w:p>
              </w:tc>
              <w:tc>
                <w:tcPr>
                  <w:tcW w:w="1341" w:type="dxa"/>
                  <w:vAlign w:val="center"/>
                </w:tcPr>
                <w:p w14:paraId="348B251C">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难</w:t>
                  </w:r>
                </w:p>
              </w:tc>
              <w:tc>
                <w:tcPr>
                  <w:tcW w:w="1377" w:type="dxa"/>
                  <w:vAlign w:val="center"/>
                </w:tcPr>
                <w:p w14:paraId="1BD92C26">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其他类型</w:t>
                  </w:r>
                </w:p>
              </w:tc>
              <w:tc>
                <w:tcPr>
                  <w:tcW w:w="1329" w:type="dxa"/>
                  <w:vAlign w:val="center"/>
                </w:tcPr>
                <w:p w14:paraId="14655E9E">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重点防渗区</w:t>
                  </w:r>
                </w:p>
              </w:tc>
              <w:tc>
                <w:tcPr>
                  <w:tcW w:w="2964" w:type="dxa"/>
                  <w:vMerge w:val="restart"/>
                  <w:vAlign w:val="center"/>
                </w:tcPr>
                <w:p w14:paraId="6F99BD35">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等效黏土防渗层Mb≧6m，K≦1*10</w:t>
                  </w:r>
                  <w:r>
                    <w:rPr>
                      <w:rFonts w:ascii="Times New Roman" w:hAnsi="Times New Roman" w:eastAsia="宋体"/>
                      <w:color w:val="auto"/>
                      <w:szCs w:val="21"/>
                      <w:vertAlign w:val="superscript"/>
                    </w:rPr>
                    <w:t>-7</w:t>
                  </w:r>
                  <w:r>
                    <w:rPr>
                      <w:rFonts w:ascii="Times New Roman" w:hAnsi="Times New Roman" w:eastAsia="宋体"/>
                      <w:color w:val="auto"/>
                      <w:szCs w:val="21"/>
                    </w:rPr>
                    <w:t>cm/s，或参照《危险废物填埋污染控制标准》（GB18598-20</w:t>
                  </w:r>
                  <w:r>
                    <w:rPr>
                      <w:rFonts w:hint="eastAsia" w:ascii="Times New Roman" w:hAnsi="Times New Roman" w:eastAsia="宋体"/>
                      <w:color w:val="auto"/>
                      <w:szCs w:val="21"/>
                    </w:rPr>
                    <w:t>19</w:t>
                  </w:r>
                  <w:r>
                    <w:rPr>
                      <w:rFonts w:ascii="Times New Roman" w:hAnsi="Times New Roman" w:eastAsia="宋体"/>
                      <w:color w:val="auto"/>
                      <w:szCs w:val="21"/>
                    </w:rPr>
                    <w:t>）执行</w:t>
                  </w:r>
                </w:p>
              </w:tc>
            </w:tr>
            <w:tr w14:paraId="639C7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vMerge w:val="continue"/>
                  <w:vAlign w:val="center"/>
                </w:tcPr>
                <w:p w14:paraId="2DC21190">
                  <w:pPr>
                    <w:adjustRightInd w:val="0"/>
                    <w:snapToGrid w:val="0"/>
                    <w:jc w:val="center"/>
                    <w:rPr>
                      <w:rFonts w:ascii="Times New Roman" w:hAnsi="Times New Roman" w:eastAsia="宋体"/>
                      <w:color w:val="auto"/>
                      <w:szCs w:val="21"/>
                    </w:rPr>
                  </w:pPr>
                </w:p>
              </w:tc>
              <w:tc>
                <w:tcPr>
                  <w:tcW w:w="1324" w:type="dxa"/>
                  <w:vAlign w:val="center"/>
                </w:tcPr>
                <w:p w14:paraId="705AA4DE">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中</w:t>
                  </w:r>
                </w:p>
              </w:tc>
              <w:tc>
                <w:tcPr>
                  <w:tcW w:w="1341" w:type="dxa"/>
                  <w:vAlign w:val="center"/>
                </w:tcPr>
                <w:p w14:paraId="28703FA1">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难</w:t>
                  </w:r>
                </w:p>
              </w:tc>
              <w:tc>
                <w:tcPr>
                  <w:tcW w:w="1377" w:type="dxa"/>
                  <w:vAlign w:val="center"/>
                </w:tcPr>
                <w:p w14:paraId="3356571A">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其他类型</w:t>
                  </w:r>
                </w:p>
              </w:tc>
              <w:tc>
                <w:tcPr>
                  <w:tcW w:w="1329" w:type="dxa"/>
                  <w:vAlign w:val="center"/>
                </w:tcPr>
                <w:p w14:paraId="47BD9D8B">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重点防渗区</w:t>
                  </w:r>
                </w:p>
              </w:tc>
              <w:tc>
                <w:tcPr>
                  <w:tcW w:w="2964" w:type="dxa"/>
                  <w:vMerge w:val="continue"/>
                  <w:vAlign w:val="center"/>
                </w:tcPr>
                <w:p w14:paraId="656F7843">
                  <w:pPr>
                    <w:adjustRightInd w:val="0"/>
                    <w:snapToGrid w:val="0"/>
                    <w:jc w:val="center"/>
                    <w:rPr>
                      <w:rFonts w:ascii="Times New Roman" w:hAnsi="Times New Roman" w:eastAsia="宋体"/>
                      <w:color w:val="auto"/>
                      <w:szCs w:val="21"/>
                    </w:rPr>
                  </w:pPr>
                </w:p>
              </w:tc>
            </w:tr>
            <w:tr w14:paraId="44B05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vMerge w:val="continue"/>
                  <w:vAlign w:val="center"/>
                </w:tcPr>
                <w:p w14:paraId="0025844A">
                  <w:pPr>
                    <w:adjustRightInd w:val="0"/>
                    <w:snapToGrid w:val="0"/>
                    <w:jc w:val="center"/>
                    <w:rPr>
                      <w:rFonts w:ascii="Times New Roman" w:hAnsi="Times New Roman" w:eastAsia="宋体"/>
                      <w:color w:val="auto"/>
                      <w:szCs w:val="21"/>
                    </w:rPr>
                  </w:pPr>
                </w:p>
              </w:tc>
              <w:tc>
                <w:tcPr>
                  <w:tcW w:w="1324" w:type="dxa"/>
                  <w:vAlign w:val="center"/>
                </w:tcPr>
                <w:p w14:paraId="048DD4CD">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中</w:t>
                  </w:r>
                </w:p>
              </w:tc>
              <w:tc>
                <w:tcPr>
                  <w:tcW w:w="1341" w:type="dxa"/>
                  <w:vAlign w:val="center"/>
                </w:tcPr>
                <w:p w14:paraId="128F6D22">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难</w:t>
                  </w:r>
                </w:p>
              </w:tc>
              <w:tc>
                <w:tcPr>
                  <w:tcW w:w="1377" w:type="dxa"/>
                  <w:vAlign w:val="center"/>
                </w:tcPr>
                <w:p w14:paraId="414F1A66">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其他类型</w:t>
                  </w:r>
                </w:p>
              </w:tc>
              <w:tc>
                <w:tcPr>
                  <w:tcW w:w="1329" w:type="dxa"/>
                  <w:vAlign w:val="center"/>
                </w:tcPr>
                <w:p w14:paraId="69334DE1">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重点防渗区</w:t>
                  </w:r>
                </w:p>
              </w:tc>
              <w:tc>
                <w:tcPr>
                  <w:tcW w:w="2964" w:type="dxa"/>
                  <w:vMerge w:val="continue"/>
                  <w:vAlign w:val="center"/>
                </w:tcPr>
                <w:p w14:paraId="59608272">
                  <w:pPr>
                    <w:adjustRightInd w:val="0"/>
                    <w:snapToGrid w:val="0"/>
                    <w:jc w:val="center"/>
                    <w:rPr>
                      <w:rFonts w:ascii="Times New Roman" w:hAnsi="Times New Roman" w:eastAsia="宋体"/>
                      <w:color w:val="auto"/>
                      <w:szCs w:val="21"/>
                    </w:rPr>
                  </w:pPr>
                </w:p>
              </w:tc>
            </w:tr>
          </w:tbl>
          <w:p w14:paraId="749C1770">
            <w:pPr>
              <w:spacing w:line="360" w:lineRule="auto"/>
              <w:ind w:firstLine="480"/>
              <w:rPr>
                <w:rFonts w:ascii="Times New Roman" w:hAnsi="Times New Roman" w:eastAsia="宋体"/>
                <w:color w:val="auto"/>
                <w:sz w:val="24"/>
              </w:rPr>
            </w:pPr>
            <w:r>
              <w:rPr>
                <w:rFonts w:ascii="Times New Roman" w:hAnsi="Times New Roman" w:eastAsia="宋体"/>
                <w:color w:val="auto"/>
                <w:sz w:val="24"/>
              </w:rPr>
              <w:t>由污染途径及对应措施分析可知，项目对可能产生地下水影响的各项途径均进行有效预防，在确保各项防渗措施得以落实，并加强维护和厂区环境管理的前提下，可有效控制厂区内的废水污染物下渗现象，避免污染地下水，因此项目不会对区域地下水环境产生明显影响。</w:t>
            </w:r>
          </w:p>
          <w:p w14:paraId="5E69DD97">
            <w:pPr>
              <w:pStyle w:val="34"/>
              <w:spacing w:line="360" w:lineRule="auto"/>
              <w:ind w:firstLine="482" w:firstLineChars="200"/>
              <w:rPr>
                <w:b/>
                <w:bCs/>
                <w:color w:val="auto"/>
              </w:rPr>
            </w:pPr>
            <w:r>
              <w:rPr>
                <w:b/>
                <w:bCs/>
                <w:color w:val="auto"/>
              </w:rPr>
              <w:t>6、环境风险</w:t>
            </w:r>
          </w:p>
          <w:p w14:paraId="3B43A0CB">
            <w:pPr>
              <w:spacing w:line="360" w:lineRule="auto"/>
              <w:ind w:firstLine="480" w:firstLineChars="200"/>
              <w:rPr>
                <w:rFonts w:hint="eastAsia" w:ascii="Times New Roman" w:hAnsi="Times New Roman" w:cs="Times New Roman"/>
                <w:color w:val="auto"/>
                <w:sz w:val="24"/>
              </w:rPr>
            </w:pPr>
            <w:r>
              <w:rPr>
                <w:rFonts w:hint="eastAsia" w:ascii="Times New Roman" w:hAnsi="Times New Roman" w:cs="Times New Roman"/>
                <w:color w:val="auto"/>
                <w:sz w:val="24"/>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0B1EB394">
            <w:pPr>
              <w:spacing w:line="360" w:lineRule="auto"/>
              <w:ind w:firstLine="480" w:firstLineChars="200"/>
              <w:rPr>
                <w:rFonts w:hint="eastAsia" w:ascii="Times New Roman" w:hAnsi="Times New Roman" w:cs="Times New Roman" w:eastAsiaTheme="minorEastAsia"/>
                <w:color w:val="auto"/>
                <w:sz w:val="24"/>
                <w:lang w:eastAsia="zh-CN"/>
              </w:rPr>
            </w:pPr>
            <w:r>
              <w:rPr>
                <w:rFonts w:ascii="Times New Roman" w:hAnsi="Times New Roman" w:cs="Times New Roman"/>
                <w:color w:val="auto"/>
                <w:sz w:val="24"/>
              </w:rPr>
              <w:t>6.1</w:t>
            </w:r>
            <w:r>
              <w:rPr>
                <w:rFonts w:hint="eastAsia" w:ascii="Times New Roman" w:hAnsi="Times New Roman" w:cs="Times New Roman"/>
                <w:color w:val="auto"/>
                <w:sz w:val="24"/>
                <w:lang w:eastAsia="zh-CN"/>
              </w:rPr>
              <w:t>评价依据</w:t>
            </w:r>
          </w:p>
          <w:p w14:paraId="041FF081">
            <w:pPr>
              <w:spacing w:line="360" w:lineRule="auto"/>
              <w:ind w:firstLine="480" w:firstLineChars="200"/>
              <w:rPr>
                <w:rFonts w:hint="default" w:ascii="Times New Roman" w:hAnsi="Times New Roman" w:cs="Times New Roman" w:eastAsiaTheme="minorEastAsia"/>
                <w:color w:val="auto"/>
                <w:sz w:val="24"/>
                <w:lang w:val="en-US" w:eastAsia="zh-CN"/>
              </w:rPr>
            </w:pPr>
            <w:r>
              <w:rPr>
                <w:rFonts w:hint="default" w:ascii="Times New Roman" w:hAnsi="Times New Roman" w:cs="Times New Roman"/>
                <w:color w:val="auto"/>
                <w:sz w:val="24"/>
                <w:lang w:val="en-US" w:eastAsia="zh-CN"/>
              </w:rPr>
              <w:t>6.1.1风险调查</w:t>
            </w:r>
          </w:p>
          <w:p w14:paraId="4712F01A">
            <w:pPr>
              <w:pStyle w:val="40"/>
              <w:ind w:firstLine="482"/>
              <w:rPr>
                <w:rFonts w:hint="default" w:ascii="Times New Roman" w:hAnsi="Times New Roman" w:cs="Times New Roman"/>
                <w:color w:val="auto"/>
                <w:sz w:val="24"/>
              </w:rPr>
            </w:pPr>
            <w:r>
              <w:rPr>
                <w:rFonts w:hint="eastAsia"/>
                <w:color w:val="auto"/>
                <w:sz w:val="24"/>
              </w:rPr>
              <w:t>本</w:t>
            </w:r>
            <w:r>
              <w:rPr>
                <w:rFonts w:hint="default" w:ascii="Times New Roman" w:hAnsi="Times New Roman" w:cs="Times New Roman"/>
                <w:color w:val="auto"/>
                <w:sz w:val="24"/>
              </w:rPr>
              <w:t>项目营运期主要潜在风险为</w:t>
            </w:r>
            <w:r>
              <w:rPr>
                <w:rFonts w:hint="eastAsia" w:ascii="Times New Roman" w:hAnsi="Times New Roman" w:cs="Times New Roman"/>
                <w:color w:val="auto"/>
                <w:sz w:val="24"/>
                <w:lang w:eastAsia="zh-CN"/>
              </w:rPr>
              <w:t>化验室</w:t>
            </w:r>
            <w:r>
              <w:rPr>
                <w:rFonts w:hint="default" w:ascii="Times New Roman" w:hAnsi="Times New Roman" w:cs="Times New Roman"/>
                <w:color w:val="auto"/>
                <w:sz w:val="24"/>
              </w:rPr>
              <w:t>化学试剂、危废仓库液态物料泄漏遇明火引发的火灾、爆炸事故，废气处理设施故障等。本次评价主要风险类型如下：</w:t>
            </w:r>
          </w:p>
          <w:p w14:paraId="6EE0309E">
            <w:pPr>
              <w:pStyle w:val="40"/>
              <w:ind w:firstLine="482"/>
              <w:rPr>
                <w:rFonts w:hint="default" w:ascii="Times New Roman" w:hAnsi="Times New Roman" w:cs="Times New Roman"/>
                <w:color w:val="auto"/>
                <w:sz w:val="24"/>
              </w:rPr>
            </w:pPr>
            <w:r>
              <w:rPr>
                <w:rFonts w:hint="default" w:ascii="Times New Roman" w:hAnsi="Times New Roman" w:cs="Times New Roman"/>
                <w:color w:val="auto"/>
                <w:sz w:val="24"/>
              </w:rPr>
              <w:t>①化学试剂存储泄漏风险</w:t>
            </w:r>
          </w:p>
          <w:p w14:paraId="2FF43C1C">
            <w:pPr>
              <w:pStyle w:val="40"/>
              <w:ind w:firstLine="482"/>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eastAsia" w:ascii="Times New Roman" w:hAnsi="Times New Roman" w:cs="Times New Roman"/>
                <w:color w:val="auto"/>
                <w:sz w:val="24"/>
                <w:lang w:eastAsia="zh-CN"/>
              </w:rPr>
              <w:t>化验室</w:t>
            </w:r>
            <w:r>
              <w:rPr>
                <w:rFonts w:hint="default" w:ascii="Times New Roman" w:hAnsi="Times New Roman" w:cs="Times New Roman"/>
                <w:color w:val="auto"/>
                <w:sz w:val="24"/>
              </w:rPr>
              <w:t>化学试剂均储存在样品室，存放在密闭容器中，按照《常用化学危险品贮存通则》（GB 15603-1995）的要求，做好贮存风险事故防范工作，通常情况下发生泄漏事故的风险不大。</w:t>
            </w:r>
          </w:p>
          <w:p w14:paraId="269E9056">
            <w:pPr>
              <w:pStyle w:val="40"/>
              <w:ind w:firstLine="482"/>
              <w:rPr>
                <w:rFonts w:hint="default" w:ascii="Times New Roman" w:hAnsi="Times New Roman" w:cs="Times New Roman"/>
                <w:color w:val="auto"/>
                <w:sz w:val="24"/>
              </w:rPr>
            </w:pPr>
            <w:r>
              <w:rPr>
                <w:rFonts w:hint="default" w:ascii="Times New Roman" w:hAnsi="Times New Roman" w:cs="Times New Roman"/>
                <w:color w:val="auto"/>
                <w:sz w:val="24"/>
              </w:rPr>
              <w:t>②危险废液存储泄漏风险</w:t>
            </w:r>
          </w:p>
          <w:p w14:paraId="1595FF31">
            <w:pPr>
              <w:pStyle w:val="40"/>
              <w:ind w:firstLine="482"/>
              <w:rPr>
                <w:rFonts w:hint="default" w:ascii="Times New Roman" w:hAnsi="Times New Roman" w:cs="Times New Roman"/>
                <w:color w:val="auto"/>
                <w:sz w:val="24"/>
              </w:rPr>
            </w:pPr>
            <w:r>
              <w:rPr>
                <w:rFonts w:hint="default" w:ascii="Times New Roman" w:hAnsi="Times New Roman" w:cs="Times New Roman"/>
                <w:color w:val="auto"/>
                <w:sz w:val="24"/>
              </w:rPr>
              <w:t>危险废物存放在专用密闭容器或防漏胶袋中，容器或防漏胶袋内壁及地面均做防腐处理，本项目针对危险废物的特征、数量，按照</w:t>
            </w:r>
            <w:r>
              <w:rPr>
                <w:rFonts w:hint="default" w:ascii="Times New Roman" w:hAnsi="Times New Roman" w:cs="Times New Roman"/>
                <w:color w:val="auto"/>
                <w:sz w:val="24"/>
                <w:szCs w:val="24"/>
              </w:rPr>
              <w:t>《危险废物贮存污染控制标准》（GB18597-20</w:t>
            </w:r>
            <w:r>
              <w:rPr>
                <w:rFonts w:hint="eastAsia" w:ascii="Times New Roman" w:hAnsi="Times New Roman" w:cs="Times New Roman"/>
                <w:color w:val="auto"/>
                <w:sz w:val="24"/>
                <w:szCs w:val="24"/>
                <w:lang w:val="en-US" w:eastAsia="zh-CN"/>
              </w:rPr>
              <w:t>23</w:t>
            </w:r>
            <w:r>
              <w:rPr>
                <w:rFonts w:hint="default" w:ascii="Times New Roman" w:hAnsi="Times New Roman" w:cs="Times New Roman"/>
                <w:color w:val="auto"/>
                <w:sz w:val="24"/>
                <w:szCs w:val="24"/>
              </w:rPr>
              <w:t>）</w:t>
            </w:r>
            <w:r>
              <w:rPr>
                <w:rFonts w:hint="default" w:ascii="Times New Roman" w:hAnsi="Times New Roman" w:cs="Times New Roman"/>
                <w:color w:val="auto"/>
                <w:sz w:val="24"/>
              </w:rPr>
              <w:t>的要求，做好贮存风险事故防范工作，通常情况下发生泄漏事故的风险不大。</w:t>
            </w:r>
          </w:p>
          <w:p w14:paraId="0C40A7BE">
            <w:pPr>
              <w:pStyle w:val="40"/>
              <w:ind w:firstLine="482"/>
              <w:rPr>
                <w:rFonts w:hint="default" w:ascii="Times New Roman" w:hAnsi="Times New Roman" w:cs="Times New Roman"/>
                <w:color w:val="auto"/>
                <w:sz w:val="24"/>
              </w:rPr>
            </w:pPr>
            <w:r>
              <w:rPr>
                <w:rFonts w:hint="default" w:ascii="Times New Roman" w:hAnsi="Times New Roman" w:cs="Times New Roman"/>
                <w:color w:val="auto"/>
                <w:sz w:val="24"/>
              </w:rPr>
              <w:t>③火灾爆炸风险</w:t>
            </w:r>
          </w:p>
          <w:p w14:paraId="518E07AB">
            <w:pPr>
              <w:pStyle w:val="40"/>
              <w:ind w:firstLine="482"/>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eastAsia" w:ascii="Times New Roman" w:hAnsi="Times New Roman" w:cs="Times New Roman"/>
                <w:color w:val="auto"/>
                <w:sz w:val="24"/>
                <w:lang w:eastAsia="zh-CN"/>
              </w:rPr>
              <w:t>化验室</w:t>
            </w:r>
            <w:r>
              <w:rPr>
                <w:rFonts w:hint="default" w:ascii="Times New Roman" w:hAnsi="Times New Roman" w:cs="Times New Roman"/>
                <w:color w:val="auto"/>
                <w:sz w:val="24"/>
              </w:rPr>
              <w:t>化学试剂和暂存的危险废物均为密闭包装，不构成重大危险源，且所有易燃液体均为密封堆放，各类危险化学品严格按照《建筑设计防火规范》相关要求分区堆放，分垛存放，因而本项目发生火灾爆炸事故的风险较小。</w:t>
            </w:r>
          </w:p>
          <w:p w14:paraId="7417E597">
            <w:pPr>
              <w:pStyle w:val="40"/>
              <w:ind w:firstLine="482"/>
              <w:rPr>
                <w:rFonts w:hint="default" w:ascii="Times New Roman" w:hAnsi="Times New Roman" w:cs="Times New Roman"/>
                <w:color w:val="auto"/>
                <w:sz w:val="24"/>
              </w:rPr>
            </w:pPr>
            <w:r>
              <w:rPr>
                <w:rFonts w:hint="default" w:ascii="Times New Roman" w:hAnsi="Times New Roman" w:cs="Times New Roman"/>
                <w:color w:val="auto"/>
                <w:sz w:val="24"/>
              </w:rPr>
              <w:t>④废气处理设施故障</w:t>
            </w:r>
          </w:p>
          <w:p w14:paraId="021DE98D">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本项目营运期</w:t>
            </w:r>
            <w:r>
              <w:rPr>
                <w:rFonts w:hint="eastAsia" w:ascii="Times New Roman" w:hAnsi="Times New Roman" w:cs="Times New Roman"/>
                <w:b w:val="0"/>
                <w:bCs w:val="0"/>
                <w:color w:val="auto"/>
                <w:lang w:eastAsia="zh-CN"/>
              </w:rPr>
              <w:t>化验室</w:t>
            </w:r>
            <w:r>
              <w:rPr>
                <w:rFonts w:hint="eastAsia" w:ascii="Times New Roman" w:hAnsi="Times New Roman" w:cs="Times New Roman"/>
                <w:b w:val="0"/>
                <w:bCs w:val="0"/>
                <w:color w:val="auto"/>
              </w:rPr>
              <w:t>检测分析、清洗</w:t>
            </w:r>
            <w:r>
              <w:rPr>
                <w:rFonts w:hint="eastAsia" w:ascii="Times New Roman" w:hAnsi="Times New Roman" w:cs="Times New Roman"/>
                <w:b w:val="0"/>
                <w:bCs w:val="0"/>
                <w:color w:val="auto"/>
                <w:lang w:eastAsia="zh-CN"/>
              </w:rPr>
              <w:t>、燃烧等</w:t>
            </w:r>
            <w:r>
              <w:rPr>
                <w:rFonts w:hint="eastAsia" w:ascii="Times New Roman" w:hAnsi="Times New Roman" w:cs="Times New Roman"/>
                <w:b w:val="0"/>
                <w:bCs w:val="0"/>
                <w:color w:val="auto"/>
              </w:rPr>
              <w:t>工序产生的</w:t>
            </w:r>
            <w:r>
              <w:rPr>
                <w:rFonts w:hint="eastAsia" w:ascii="Times New Roman" w:hAnsi="Times New Roman" w:cs="Times New Roman"/>
                <w:b w:val="0"/>
                <w:bCs w:val="0"/>
                <w:color w:val="auto"/>
                <w:lang w:eastAsia="zh-CN"/>
              </w:rPr>
              <w:t>非甲烷总烃、甲苯、颗粒物、氯化氢、二氧化硫及氮氧化物</w:t>
            </w:r>
            <w:r>
              <w:rPr>
                <w:rFonts w:hint="eastAsia" w:ascii="Times New Roman" w:hAnsi="Times New Roman" w:cs="Times New Roman"/>
                <w:b w:val="0"/>
                <w:bCs w:val="0"/>
                <w:color w:val="auto"/>
              </w:rPr>
              <w:t>经</w:t>
            </w:r>
            <w:r>
              <w:rPr>
                <w:rFonts w:hint="eastAsia" w:ascii="Times New Roman" w:hAnsi="Times New Roman" w:cs="Times New Roman"/>
                <w:b w:val="0"/>
                <w:bCs w:val="0"/>
                <w:color w:val="auto"/>
                <w:lang w:eastAsia="zh-CN"/>
              </w:rPr>
              <w:t>废气处理设施</w:t>
            </w:r>
            <w:r>
              <w:rPr>
                <w:rFonts w:hint="eastAsia" w:ascii="Times New Roman" w:hAnsi="Times New Roman" w:cs="Times New Roman"/>
                <w:b w:val="0"/>
                <w:bCs w:val="0"/>
                <w:color w:val="auto"/>
              </w:rPr>
              <w:t>处理，最终经15</w:t>
            </w:r>
            <w:r>
              <w:rPr>
                <w:rFonts w:hint="eastAsia" w:ascii="Times New Roman" w:hAnsi="Times New Roman" w:cs="Times New Roman"/>
                <w:b w:val="0"/>
                <w:bCs w:val="0"/>
                <w:color w:val="auto"/>
                <w:lang w:val="en-US" w:eastAsia="zh-CN"/>
              </w:rPr>
              <w:t>m</w:t>
            </w:r>
            <w:r>
              <w:rPr>
                <w:rFonts w:hint="eastAsia" w:ascii="Times New Roman" w:hAnsi="Times New Roman" w:cs="Times New Roman"/>
                <w:b w:val="0"/>
                <w:bCs w:val="0"/>
                <w:color w:val="auto"/>
              </w:rPr>
              <w:t>排气筒排放。若废气处理设施发生故障，则实验过程产生的废气未经处理直接排入大气环境，将对周边居民生活造成影响。</w:t>
            </w:r>
          </w:p>
          <w:p w14:paraId="649701CC">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lang w:val="en-US" w:eastAsia="zh-CN"/>
              </w:rPr>
              <w:t>6.1.2</w:t>
            </w:r>
            <w:r>
              <w:rPr>
                <w:rFonts w:hint="eastAsia" w:ascii="Times New Roman" w:hAnsi="Times New Roman" w:cs="Times New Roman"/>
                <w:b w:val="0"/>
                <w:bCs w:val="0"/>
                <w:color w:val="auto"/>
              </w:rPr>
              <w:t>风险潜势初判</w:t>
            </w:r>
          </w:p>
          <w:p w14:paraId="477E664E">
            <w:pPr>
              <w:pStyle w:val="40"/>
              <w:ind w:firstLine="482"/>
              <w:rPr>
                <w:rFonts w:hint="eastAsia" w:ascii="Times New Roman" w:hAnsi="Times New Roman" w:cs="Times New Roman"/>
                <w:b w:val="0"/>
                <w:bCs w:val="0"/>
                <w:color w:val="auto"/>
                <w:lang w:val="en-US" w:eastAsia="zh-CN"/>
              </w:rPr>
            </w:pPr>
            <w:r>
              <w:rPr>
                <w:rFonts w:hint="eastAsia" w:ascii="Times New Roman" w:hAnsi="Times New Roman" w:cs="Times New Roman"/>
                <w:b w:val="0"/>
                <w:bCs w:val="0"/>
                <w:color w:val="auto"/>
              </w:rPr>
              <w:t>本项目营运期存在的危险物质主要为溴、盐酸、硝酸、丙酮、乙醇、甲苯、钼酸钠和碳酸钾等，根据《危险化学品重大危险源辨识》（GB18218-2018）及《建设项目环境风险评价技术导则》（HJ/T169-2018）选取临界量，本项目营运期Q值确定如下</w:t>
            </w:r>
            <w:r>
              <w:rPr>
                <w:rFonts w:hint="eastAsia" w:ascii="Times New Roman" w:hAnsi="Times New Roman" w:cs="Times New Roman"/>
                <w:b w:val="0"/>
                <w:bCs w:val="0"/>
                <w:color w:val="auto"/>
                <w:lang w:eastAsia="zh-CN"/>
              </w:rPr>
              <w:t>表</w:t>
            </w:r>
            <w:r>
              <w:rPr>
                <w:rFonts w:hint="eastAsia" w:ascii="Times New Roman" w:hAnsi="Times New Roman" w:cs="Times New Roman"/>
                <w:b w:val="0"/>
                <w:bCs w:val="0"/>
                <w:color w:val="auto"/>
                <w:lang w:val="en-US" w:eastAsia="zh-CN"/>
              </w:rPr>
              <w:t>4.16。</w:t>
            </w:r>
          </w:p>
          <w:p w14:paraId="4620CC73">
            <w:pPr>
              <w:pStyle w:val="40"/>
              <w:spacing w:line="240" w:lineRule="auto"/>
              <w:ind w:left="0" w:leftChars="0" w:firstLine="0" w:firstLineChars="0"/>
              <w:jc w:val="center"/>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表4.16  本项目运营期Q值确定表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3092"/>
              <w:gridCol w:w="1951"/>
              <w:gridCol w:w="1951"/>
              <w:gridCol w:w="1951"/>
            </w:tblGrid>
            <w:tr w14:paraId="46782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806" w:type="dxa"/>
                  <w:vAlign w:val="center"/>
                </w:tcPr>
                <w:p w14:paraId="288AF958">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序号</w:t>
                  </w:r>
                </w:p>
              </w:tc>
              <w:tc>
                <w:tcPr>
                  <w:tcW w:w="3092" w:type="dxa"/>
                  <w:vAlign w:val="center"/>
                </w:tcPr>
                <w:p w14:paraId="6B1C2A70">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原辅料名称</w:t>
                  </w:r>
                </w:p>
              </w:tc>
              <w:tc>
                <w:tcPr>
                  <w:tcW w:w="1951" w:type="dxa"/>
                  <w:vAlign w:val="center"/>
                </w:tcPr>
                <w:p w14:paraId="3B386469">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最大储存量（t）</w:t>
                  </w:r>
                </w:p>
              </w:tc>
              <w:tc>
                <w:tcPr>
                  <w:tcW w:w="1951" w:type="dxa"/>
                  <w:vAlign w:val="center"/>
                </w:tcPr>
                <w:p w14:paraId="5FD317B2">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临界量（t）</w:t>
                  </w:r>
                </w:p>
              </w:tc>
              <w:tc>
                <w:tcPr>
                  <w:tcW w:w="1951" w:type="dxa"/>
                  <w:vAlign w:val="center"/>
                </w:tcPr>
                <w:p w14:paraId="5A2EA744">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Q</w:t>
                  </w:r>
                </w:p>
              </w:tc>
            </w:tr>
            <w:tr w14:paraId="5AF9D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806" w:type="dxa"/>
                  <w:vAlign w:val="center"/>
                </w:tcPr>
                <w:p w14:paraId="24A52D61">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w:t>
                  </w:r>
                </w:p>
              </w:tc>
              <w:tc>
                <w:tcPr>
                  <w:tcW w:w="3092" w:type="dxa"/>
                  <w:vAlign w:val="center"/>
                </w:tcPr>
                <w:p w14:paraId="1279D771">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乙醇</w:t>
                  </w:r>
                </w:p>
              </w:tc>
              <w:tc>
                <w:tcPr>
                  <w:tcW w:w="1951" w:type="dxa"/>
                  <w:vAlign w:val="center"/>
                </w:tcPr>
                <w:p w14:paraId="25881B78">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0.0183168</w:t>
                  </w:r>
                </w:p>
              </w:tc>
              <w:tc>
                <w:tcPr>
                  <w:tcW w:w="1951" w:type="dxa"/>
                  <w:vAlign w:val="center"/>
                </w:tcPr>
                <w:p w14:paraId="1F98CB7D">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500</w:t>
                  </w:r>
                </w:p>
              </w:tc>
              <w:tc>
                <w:tcPr>
                  <w:tcW w:w="1951" w:type="dxa"/>
                  <w:vAlign w:val="center"/>
                </w:tcPr>
                <w:p w14:paraId="78A1F5DC">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0.0000366336</w:t>
                  </w:r>
                </w:p>
              </w:tc>
            </w:tr>
            <w:tr w14:paraId="4F011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806" w:type="dxa"/>
                  <w:vAlign w:val="center"/>
                </w:tcPr>
                <w:p w14:paraId="196675C4">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2</w:t>
                  </w:r>
                </w:p>
              </w:tc>
              <w:tc>
                <w:tcPr>
                  <w:tcW w:w="3092" w:type="dxa"/>
                  <w:vAlign w:val="center"/>
                </w:tcPr>
                <w:p w14:paraId="010C55AE">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溴</w:t>
                  </w:r>
                </w:p>
              </w:tc>
              <w:tc>
                <w:tcPr>
                  <w:tcW w:w="1951" w:type="dxa"/>
                  <w:vAlign w:val="center"/>
                </w:tcPr>
                <w:p w14:paraId="2F46F53E">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0.0105</w:t>
                  </w:r>
                </w:p>
              </w:tc>
              <w:tc>
                <w:tcPr>
                  <w:tcW w:w="1951" w:type="dxa"/>
                  <w:vAlign w:val="center"/>
                </w:tcPr>
                <w:p w14:paraId="04A75FB1">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951" w:type="dxa"/>
                  <w:vAlign w:val="center"/>
                </w:tcPr>
                <w:p w14:paraId="2F1AC013">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0.00105</w:t>
                  </w:r>
                </w:p>
              </w:tc>
            </w:tr>
            <w:tr w14:paraId="5C6F6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806" w:type="dxa"/>
                  <w:vAlign w:val="center"/>
                </w:tcPr>
                <w:p w14:paraId="52E70161">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w:t>
                  </w:r>
                </w:p>
              </w:tc>
              <w:tc>
                <w:tcPr>
                  <w:tcW w:w="3092" w:type="dxa"/>
                  <w:vAlign w:val="center"/>
                </w:tcPr>
                <w:p w14:paraId="3F7DE236">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盐酸</w:t>
                  </w:r>
                </w:p>
              </w:tc>
              <w:tc>
                <w:tcPr>
                  <w:tcW w:w="1951" w:type="dxa"/>
                  <w:vAlign w:val="center"/>
                </w:tcPr>
                <w:p w14:paraId="27997E2B">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0.00163</w:t>
                  </w:r>
                </w:p>
              </w:tc>
              <w:tc>
                <w:tcPr>
                  <w:tcW w:w="1951" w:type="dxa"/>
                  <w:vAlign w:val="center"/>
                </w:tcPr>
                <w:p w14:paraId="299F1A66">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951" w:type="dxa"/>
                  <w:vAlign w:val="center"/>
                </w:tcPr>
                <w:p w14:paraId="07E65F97">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0.000163</w:t>
                  </w:r>
                </w:p>
              </w:tc>
            </w:tr>
            <w:tr w14:paraId="2C3CF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806" w:type="dxa"/>
                  <w:vAlign w:val="center"/>
                </w:tcPr>
                <w:p w14:paraId="05C8C178">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4</w:t>
                  </w:r>
                </w:p>
              </w:tc>
              <w:tc>
                <w:tcPr>
                  <w:tcW w:w="3092" w:type="dxa"/>
                  <w:vAlign w:val="center"/>
                </w:tcPr>
                <w:p w14:paraId="0DAECDC5">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甲苯</w:t>
                  </w:r>
                </w:p>
              </w:tc>
              <w:tc>
                <w:tcPr>
                  <w:tcW w:w="1951" w:type="dxa"/>
                  <w:vAlign w:val="center"/>
                </w:tcPr>
                <w:p w14:paraId="1BFB57FD">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0.0087</w:t>
                  </w:r>
                </w:p>
              </w:tc>
              <w:tc>
                <w:tcPr>
                  <w:tcW w:w="1951" w:type="dxa"/>
                  <w:vAlign w:val="center"/>
                </w:tcPr>
                <w:p w14:paraId="01039D0F">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951" w:type="dxa"/>
                  <w:vAlign w:val="center"/>
                </w:tcPr>
                <w:p w14:paraId="4862909F">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0.00087</w:t>
                  </w:r>
                </w:p>
              </w:tc>
            </w:tr>
            <w:tr w14:paraId="1C7D8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806" w:type="dxa"/>
                  <w:vAlign w:val="center"/>
                </w:tcPr>
                <w:p w14:paraId="57A2D28B">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5</w:t>
                  </w:r>
                </w:p>
              </w:tc>
              <w:tc>
                <w:tcPr>
                  <w:tcW w:w="3092" w:type="dxa"/>
                  <w:vAlign w:val="center"/>
                </w:tcPr>
                <w:p w14:paraId="472D244D">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硝酸</w:t>
                  </w:r>
                </w:p>
              </w:tc>
              <w:tc>
                <w:tcPr>
                  <w:tcW w:w="1951" w:type="dxa"/>
                  <w:vAlign w:val="center"/>
                </w:tcPr>
                <w:p w14:paraId="238D1AC8">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0.0207</w:t>
                  </w:r>
                </w:p>
              </w:tc>
              <w:tc>
                <w:tcPr>
                  <w:tcW w:w="1951" w:type="dxa"/>
                  <w:vAlign w:val="center"/>
                </w:tcPr>
                <w:p w14:paraId="6153DF91">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951" w:type="dxa"/>
                  <w:vAlign w:val="center"/>
                </w:tcPr>
                <w:p w14:paraId="64EB4C75">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0.0207</w:t>
                  </w:r>
                </w:p>
              </w:tc>
            </w:tr>
            <w:tr w14:paraId="29D8B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806" w:type="dxa"/>
                  <w:vAlign w:val="center"/>
                </w:tcPr>
                <w:p w14:paraId="659E7A81">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6</w:t>
                  </w:r>
                </w:p>
              </w:tc>
              <w:tc>
                <w:tcPr>
                  <w:tcW w:w="3092" w:type="dxa"/>
                  <w:vAlign w:val="center"/>
                </w:tcPr>
                <w:p w14:paraId="5FA80D24">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丙酮</w:t>
                  </w:r>
                </w:p>
              </w:tc>
              <w:tc>
                <w:tcPr>
                  <w:tcW w:w="1951" w:type="dxa"/>
                  <w:vAlign w:val="center"/>
                </w:tcPr>
                <w:p w14:paraId="5302FA0C">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0.0207</w:t>
                  </w:r>
                </w:p>
              </w:tc>
              <w:tc>
                <w:tcPr>
                  <w:tcW w:w="1951" w:type="dxa"/>
                  <w:vAlign w:val="center"/>
                </w:tcPr>
                <w:p w14:paraId="7A635231">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951" w:type="dxa"/>
                  <w:vAlign w:val="center"/>
                </w:tcPr>
                <w:p w14:paraId="2843C17F">
                  <w:pPr>
                    <w:pStyle w:val="34"/>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0.0207</w:t>
                  </w:r>
                </w:p>
              </w:tc>
            </w:tr>
          </w:tbl>
          <w:p w14:paraId="1575BC5F">
            <w:pPr>
              <w:pStyle w:val="40"/>
              <w:ind w:firstLine="482"/>
              <w:rPr>
                <w:rFonts w:hint="eastAsia" w:ascii="Times New Roman" w:hAnsi="Times New Roman" w:cs="Times New Roman" w:eastAsiaTheme="minorEastAsia"/>
                <w:b w:val="0"/>
                <w:bCs w:val="0"/>
                <w:color w:val="auto"/>
                <w:lang w:val="en-US" w:eastAsia="zh-CN"/>
              </w:rPr>
            </w:pPr>
            <w:r>
              <w:rPr>
                <w:rFonts w:hint="eastAsia" w:ascii="Times New Roman" w:hAnsi="Times New Roman" w:cs="Times New Roman"/>
                <w:b w:val="0"/>
                <w:bCs w:val="0"/>
                <w:color w:val="auto"/>
              </w:rPr>
              <w:t>根据《建设项目环境风险评价技术导则》（HJ169-2018），项目Q=</w:t>
            </w:r>
            <w:r>
              <w:rPr>
                <w:rFonts w:hint="eastAsia" w:ascii="Times New Roman" w:hAnsi="Times New Roman" w:cs="Times New Roman"/>
                <w:b w:val="0"/>
                <w:bCs w:val="0"/>
                <w:color w:val="auto"/>
                <w:lang w:val="en-US" w:eastAsia="zh-CN"/>
              </w:rPr>
              <w:t>0.022903834</w:t>
            </w:r>
            <w:r>
              <w:rPr>
                <w:rFonts w:hint="eastAsia" w:ascii="Times New Roman" w:hAnsi="Times New Roman" w:cs="Times New Roman"/>
                <w:b w:val="0"/>
                <w:bCs w:val="0"/>
                <w:color w:val="auto"/>
              </w:rPr>
              <w:t>＜1，环境风险潜势为Ⅰ</w:t>
            </w:r>
            <w:r>
              <w:rPr>
                <w:rFonts w:hint="eastAsia" w:ascii="Times New Roman" w:hAnsi="Times New Roman" w:cs="Times New Roman"/>
                <w:b w:val="0"/>
                <w:bCs w:val="0"/>
                <w:color w:val="auto"/>
                <w:lang w:eastAsia="zh-CN"/>
              </w:rPr>
              <w:t>。</w:t>
            </w:r>
          </w:p>
          <w:p w14:paraId="7859B32E">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lang w:val="en-US" w:eastAsia="zh-CN"/>
              </w:rPr>
              <w:t>6.1.3</w:t>
            </w:r>
            <w:r>
              <w:rPr>
                <w:rFonts w:hint="eastAsia" w:ascii="Times New Roman" w:hAnsi="Times New Roman" w:cs="Times New Roman"/>
                <w:b w:val="0"/>
                <w:bCs w:val="0"/>
                <w:color w:val="auto"/>
              </w:rPr>
              <w:t>评价等级</w:t>
            </w:r>
          </w:p>
          <w:p w14:paraId="4ED1B59D">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本项目环境风险潜势为Ⅰ，根据《建设项目环境风险评价技术导则》（HJ169-2018），项目的环境风险评价工作等级为简单分析。</w:t>
            </w:r>
          </w:p>
          <w:p w14:paraId="10FDC555">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lang w:val="en-US" w:eastAsia="zh-CN"/>
              </w:rPr>
              <w:t>6.2</w:t>
            </w:r>
            <w:r>
              <w:rPr>
                <w:rFonts w:hint="eastAsia" w:ascii="Times New Roman" w:hAnsi="Times New Roman" w:cs="Times New Roman"/>
                <w:b w:val="0"/>
                <w:bCs w:val="0"/>
                <w:color w:val="auto"/>
              </w:rPr>
              <w:t>环境敏感目标概况</w:t>
            </w:r>
          </w:p>
          <w:p w14:paraId="791103DD">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本项目</w:t>
            </w:r>
            <w:r>
              <w:rPr>
                <w:rFonts w:hint="eastAsia" w:ascii="Times New Roman" w:hAnsi="Times New Roman" w:cs="Times New Roman"/>
                <w:b w:val="0"/>
                <w:bCs w:val="0"/>
                <w:color w:val="auto"/>
                <w:lang w:eastAsia="zh-CN"/>
              </w:rPr>
              <w:t>建设地点</w:t>
            </w:r>
            <w:r>
              <w:rPr>
                <w:rFonts w:hint="eastAsia" w:ascii="Times New Roman" w:hAnsi="Times New Roman" w:cs="Times New Roman"/>
                <w:b w:val="0"/>
                <w:bCs w:val="0"/>
                <w:color w:val="auto"/>
              </w:rPr>
              <w:t>位于</w:t>
            </w:r>
            <w:r>
              <w:rPr>
                <w:rFonts w:hint="eastAsia" w:ascii="Times New Roman" w:hAnsi="Times New Roman" w:cs="Times New Roman"/>
                <w:szCs w:val="18"/>
                <w:lang w:eastAsia="zh-CN"/>
              </w:rPr>
              <w:t>安徽长淮新材料有限公司</w:t>
            </w:r>
            <w:r>
              <w:rPr>
                <w:rFonts w:hint="eastAsia" w:ascii="Times New Roman" w:hAnsi="Times New Roman" w:cs="Times New Roman"/>
                <w:szCs w:val="18"/>
                <w:lang w:val="en-US" w:eastAsia="zh-CN"/>
              </w:rPr>
              <w:t>内</w:t>
            </w:r>
            <w:r>
              <w:rPr>
                <w:rFonts w:hint="eastAsia" w:ascii="Times New Roman" w:hAnsi="Times New Roman" w:cs="Times New Roman"/>
                <w:b w:val="0"/>
                <w:bCs w:val="0"/>
                <w:color w:val="auto"/>
              </w:rPr>
              <w:t>，项目周边500m范围内没有特别需要保护的文物古迹、风景名胜等，离</w:t>
            </w:r>
            <w:r>
              <w:rPr>
                <w:rFonts w:hint="eastAsia" w:ascii="Times New Roman" w:hAnsi="Times New Roman" w:cs="Times New Roman"/>
                <w:b w:val="0"/>
                <w:bCs w:val="0"/>
                <w:color w:val="auto"/>
                <w:lang w:val="en-US" w:eastAsia="zh-CN"/>
              </w:rPr>
              <w:t>周边主要是工业企业</w:t>
            </w:r>
            <w:r>
              <w:rPr>
                <w:rFonts w:hint="eastAsia" w:ascii="Times New Roman" w:hAnsi="Times New Roman" w:cs="Times New Roman"/>
                <w:b w:val="0"/>
                <w:bCs w:val="0"/>
                <w:color w:val="auto"/>
              </w:rPr>
              <w:t>，周边环境敏感点情况详见前文表</w:t>
            </w:r>
            <w:r>
              <w:rPr>
                <w:rFonts w:hint="eastAsia" w:ascii="Times New Roman" w:hAnsi="Times New Roman" w:cs="Times New Roman"/>
                <w:b w:val="0"/>
                <w:bCs w:val="0"/>
                <w:color w:val="auto"/>
                <w:lang w:val="en-US" w:eastAsia="zh-CN"/>
              </w:rPr>
              <w:t>3.8和表3.9</w:t>
            </w:r>
            <w:r>
              <w:rPr>
                <w:rFonts w:hint="eastAsia" w:ascii="Times New Roman" w:hAnsi="Times New Roman" w:cs="Times New Roman"/>
                <w:b w:val="0"/>
                <w:bCs w:val="0"/>
                <w:color w:val="auto"/>
              </w:rPr>
              <w:t>所示。</w:t>
            </w:r>
          </w:p>
          <w:p w14:paraId="2D96150F">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lang w:val="en-US" w:eastAsia="zh-CN"/>
              </w:rPr>
              <w:t>6.3</w:t>
            </w:r>
            <w:r>
              <w:rPr>
                <w:rFonts w:hint="eastAsia" w:ascii="Times New Roman" w:hAnsi="Times New Roman" w:cs="Times New Roman"/>
                <w:b w:val="0"/>
                <w:bCs w:val="0"/>
                <w:color w:val="auto"/>
              </w:rPr>
              <w:t>环境风险识别</w:t>
            </w:r>
          </w:p>
          <w:p w14:paraId="063B7A87">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本项目建成后存在的危险物质主要为原料仓储存的溴、盐酸、硝酸、丙酮、乙醇、甲苯、</w:t>
            </w:r>
            <w:r>
              <w:rPr>
                <w:rFonts w:hint="eastAsia" w:ascii="Times New Roman" w:hAnsi="Times New Roman" w:cs="Times New Roman"/>
                <w:b w:val="0"/>
                <w:bCs w:val="0"/>
                <w:color w:val="auto"/>
                <w:lang w:val="en-US" w:eastAsia="zh-CN"/>
              </w:rPr>
              <w:t>红磷</w:t>
            </w:r>
            <w:r>
              <w:rPr>
                <w:rFonts w:hint="eastAsia" w:ascii="Times New Roman" w:hAnsi="Times New Roman" w:cs="Times New Roman"/>
                <w:b w:val="0"/>
                <w:bCs w:val="0"/>
                <w:color w:val="auto"/>
              </w:rPr>
              <w:t>等，属于危险化学品；危险废物中的风险物质主要为废一次性器材、</w:t>
            </w:r>
            <w:r>
              <w:rPr>
                <w:rFonts w:hint="eastAsia" w:ascii="Times New Roman" w:hAnsi="Times New Roman" w:cs="Times New Roman"/>
                <w:b w:val="0"/>
                <w:bCs w:val="0"/>
                <w:color w:val="auto"/>
                <w:lang w:eastAsia="zh-CN"/>
              </w:rPr>
              <w:t>化验室</w:t>
            </w:r>
            <w:r>
              <w:rPr>
                <w:rFonts w:hint="eastAsia" w:ascii="Times New Roman" w:hAnsi="Times New Roman" w:cs="Times New Roman"/>
                <w:b w:val="0"/>
                <w:bCs w:val="0"/>
                <w:color w:val="auto"/>
              </w:rPr>
              <w:t>废液和废活性炭，使用密封塑料桶分类收集存放至危废贮存场所内；废气事故排放对周边大气环境的影响。本项目环境风险识别表见下表</w:t>
            </w:r>
            <w:r>
              <w:rPr>
                <w:rFonts w:hint="eastAsia" w:ascii="Times New Roman" w:hAnsi="Times New Roman" w:cs="Times New Roman"/>
                <w:b w:val="0"/>
                <w:bCs w:val="0"/>
                <w:color w:val="auto"/>
                <w:lang w:val="en-US" w:eastAsia="zh-CN"/>
              </w:rPr>
              <w:t>4.17</w:t>
            </w:r>
            <w:r>
              <w:rPr>
                <w:rFonts w:hint="eastAsia" w:ascii="Times New Roman" w:hAnsi="Times New Roman" w:cs="Times New Roman"/>
                <w:b w:val="0"/>
                <w:bCs w:val="0"/>
                <w:color w:val="auto"/>
              </w:rPr>
              <w:t>。</w:t>
            </w:r>
          </w:p>
          <w:p w14:paraId="7788C26D">
            <w:pPr>
              <w:pStyle w:val="40"/>
              <w:spacing w:line="240" w:lineRule="auto"/>
              <w:ind w:left="0" w:leftChars="0" w:firstLine="0" w:firstLineChars="0"/>
              <w:jc w:val="center"/>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表4.17  本项目运营期环境风险识别表</w:t>
            </w:r>
          </w:p>
          <w:tbl>
            <w:tblPr>
              <w:tblStyle w:val="29"/>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475"/>
              <w:gridCol w:w="1641"/>
              <w:gridCol w:w="1309"/>
              <w:gridCol w:w="1475"/>
              <w:gridCol w:w="1475"/>
              <w:gridCol w:w="1476"/>
            </w:tblGrid>
            <w:tr w14:paraId="37495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0" w:type="dxa"/>
                  <w:vAlign w:val="center"/>
                </w:tcPr>
                <w:p w14:paraId="12C78207">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序号</w:t>
                  </w:r>
                </w:p>
              </w:tc>
              <w:tc>
                <w:tcPr>
                  <w:tcW w:w="1475" w:type="dxa"/>
                  <w:vAlign w:val="center"/>
                </w:tcPr>
                <w:p w14:paraId="5D873C34">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危险单元</w:t>
                  </w:r>
                </w:p>
              </w:tc>
              <w:tc>
                <w:tcPr>
                  <w:tcW w:w="1641" w:type="dxa"/>
                  <w:vAlign w:val="center"/>
                </w:tcPr>
                <w:p w14:paraId="6259ECEB">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风险源</w:t>
                  </w:r>
                </w:p>
              </w:tc>
              <w:tc>
                <w:tcPr>
                  <w:tcW w:w="1309" w:type="dxa"/>
                  <w:vAlign w:val="center"/>
                </w:tcPr>
                <w:p w14:paraId="6951EC21">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主要危险物质</w:t>
                  </w:r>
                </w:p>
              </w:tc>
              <w:tc>
                <w:tcPr>
                  <w:tcW w:w="1475" w:type="dxa"/>
                  <w:vAlign w:val="center"/>
                </w:tcPr>
                <w:p w14:paraId="437D3FF4">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环境风险类型</w:t>
                  </w:r>
                </w:p>
              </w:tc>
              <w:tc>
                <w:tcPr>
                  <w:tcW w:w="1475" w:type="dxa"/>
                  <w:vAlign w:val="center"/>
                </w:tcPr>
                <w:p w14:paraId="05EC84BC">
                  <w:pPr>
                    <w:adjustRightInd w:val="0"/>
                    <w:snapToGrid w:val="0"/>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环境影响途径</w:t>
                  </w:r>
                </w:p>
              </w:tc>
              <w:tc>
                <w:tcPr>
                  <w:tcW w:w="1476" w:type="dxa"/>
                  <w:vAlign w:val="center"/>
                </w:tcPr>
                <w:p w14:paraId="4940D595">
                  <w:pPr>
                    <w:adjustRightInd w:val="0"/>
                    <w:snapToGrid w:val="0"/>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可能受影响的环境敏感目标</w:t>
                  </w:r>
                </w:p>
              </w:tc>
            </w:tr>
            <w:tr w14:paraId="3876D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0" w:type="dxa"/>
                  <w:vAlign w:val="center"/>
                </w:tcPr>
                <w:p w14:paraId="40EBFF07">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w:t>
                  </w:r>
                </w:p>
              </w:tc>
              <w:tc>
                <w:tcPr>
                  <w:tcW w:w="1475" w:type="dxa"/>
                  <w:vAlign w:val="center"/>
                </w:tcPr>
                <w:p w14:paraId="1C88E1CD">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原料仓库</w:t>
                  </w:r>
                </w:p>
              </w:tc>
              <w:tc>
                <w:tcPr>
                  <w:tcW w:w="1641" w:type="dxa"/>
                  <w:vAlign w:val="center"/>
                </w:tcPr>
                <w:p w14:paraId="3A877FFB">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原料储存场所</w:t>
                  </w:r>
                </w:p>
              </w:tc>
              <w:tc>
                <w:tcPr>
                  <w:tcW w:w="1309" w:type="dxa"/>
                  <w:vAlign w:val="center"/>
                </w:tcPr>
                <w:p w14:paraId="05F5D357">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溴、盐酸、硝酸、丙酮、乙醇</w:t>
                  </w:r>
                  <w:r>
                    <w:rPr>
                      <w:rFonts w:hint="default" w:ascii="Times New Roman" w:hAnsi="Times New Roman" w:eastAsia="宋体"/>
                      <w:color w:val="auto"/>
                      <w:szCs w:val="21"/>
                      <w:lang w:val="en-US" w:eastAsia="zh-CN"/>
                    </w:rPr>
                    <w:t>、甲苯</w:t>
                  </w:r>
                  <w:r>
                    <w:rPr>
                      <w:rFonts w:hint="eastAsia" w:ascii="Times New Roman" w:hAnsi="Times New Roman" w:eastAsia="宋体"/>
                      <w:color w:val="auto"/>
                      <w:szCs w:val="21"/>
                      <w:lang w:val="en-US" w:eastAsia="zh-CN"/>
                    </w:rPr>
                    <w:t>、红磷</w:t>
                  </w:r>
                  <w:r>
                    <w:rPr>
                      <w:rFonts w:hint="default" w:ascii="Times New Roman" w:hAnsi="Times New Roman" w:eastAsia="宋体"/>
                      <w:color w:val="auto"/>
                      <w:szCs w:val="21"/>
                      <w:lang w:val="en-US" w:eastAsia="zh-CN"/>
                    </w:rPr>
                    <w:t>等</w:t>
                  </w:r>
                </w:p>
              </w:tc>
              <w:tc>
                <w:tcPr>
                  <w:tcW w:w="1475" w:type="dxa"/>
                  <w:vAlign w:val="center"/>
                </w:tcPr>
                <w:p w14:paraId="44021D9B">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泄露、火</w:t>
                  </w:r>
                </w:p>
                <w:p w14:paraId="6700CABB">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灾等引发</w:t>
                  </w:r>
                </w:p>
                <w:p w14:paraId="7CE6D2EE">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的伴生/次</w:t>
                  </w:r>
                </w:p>
                <w:p w14:paraId="357C5C26">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生污染物</w:t>
                  </w:r>
                </w:p>
                <w:p w14:paraId="771B28D6">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排放</w:t>
                  </w:r>
                </w:p>
              </w:tc>
              <w:tc>
                <w:tcPr>
                  <w:tcW w:w="1475" w:type="dxa"/>
                  <w:vAlign w:val="center"/>
                </w:tcPr>
                <w:p w14:paraId="7F2CA69C">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大气、</w:t>
                  </w:r>
                </w:p>
                <w:p w14:paraId="6DF62CA9">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厂区地</w:t>
                  </w:r>
                </w:p>
                <w:p w14:paraId="70E60FA7">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下水</w:t>
                  </w:r>
                </w:p>
              </w:tc>
              <w:tc>
                <w:tcPr>
                  <w:tcW w:w="1476" w:type="dxa"/>
                  <w:vAlign w:val="center"/>
                </w:tcPr>
                <w:p w14:paraId="254AAE4A">
                  <w:pPr>
                    <w:adjustRightInd w:val="0"/>
                    <w:snapToGrid w:val="0"/>
                    <w:jc w:val="center"/>
                    <w:rPr>
                      <w:rFonts w:hint="default" w:ascii="Times New Roman" w:hAnsi="Times New Roman" w:eastAsia="宋体"/>
                      <w:color w:val="auto"/>
                      <w:szCs w:val="21"/>
                      <w:lang w:val="en-US" w:eastAsia="zh-CN"/>
                    </w:rPr>
                  </w:pPr>
                  <w:r>
                    <w:rPr>
                      <w:rFonts w:hint="eastAsia" w:eastAsia="宋体"/>
                      <w:color w:val="auto"/>
                      <w:lang w:val="en-US" w:eastAsia="zh-CN"/>
                    </w:rPr>
                    <w:t>基地内工人</w:t>
                  </w:r>
                </w:p>
              </w:tc>
            </w:tr>
            <w:tr w14:paraId="33A26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0" w:type="dxa"/>
                  <w:vAlign w:val="center"/>
                </w:tcPr>
                <w:p w14:paraId="1F5D2970">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2</w:t>
                  </w:r>
                </w:p>
              </w:tc>
              <w:tc>
                <w:tcPr>
                  <w:tcW w:w="1475" w:type="dxa"/>
                  <w:vAlign w:val="center"/>
                </w:tcPr>
                <w:p w14:paraId="3F81B6B5">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危险废物暂存间</w:t>
                  </w:r>
                </w:p>
              </w:tc>
              <w:tc>
                <w:tcPr>
                  <w:tcW w:w="1641" w:type="dxa"/>
                  <w:vAlign w:val="center"/>
                </w:tcPr>
                <w:p w14:paraId="36650AF7">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危废贮存场所</w:t>
                  </w:r>
                </w:p>
              </w:tc>
              <w:tc>
                <w:tcPr>
                  <w:tcW w:w="1309" w:type="dxa"/>
                  <w:vAlign w:val="center"/>
                </w:tcPr>
                <w:p w14:paraId="36CE434C">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危险废物</w:t>
                  </w:r>
                </w:p>
              </w:tc>
              <w:tc>
                <w:tcPr>
                  <w:tcW w:w="1475" w:type="dxa"/>
                  <w:vAlign w:val="center"/>
                </w:tcPr>
                <w:p w14:paraId="7528CEF9">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泄露、火</w:t>
                  </w:r>
                </w:p>
                <w:p w14:paraId="695DD47D">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灾等引发</w:t>
                  </w:r>
                </w:p>
                <w:p w14:paraId="6A05F673">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的伴生/次</w:t>
                  </w:r>
                </w:p>
                <w:p w14:paraId="74E8A57C">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生污染物</w:t>
                  </w:r>
                </w:p>
                <w:p w14:paraId="02908EEE">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排放</w:t>
                  </w:r>
                </w:p>
              </w:tc>
              <w:tc>
                <w:tcPr>
                  <w:tcW w:w="1475" w:type="dxa"/>
                  <w:vAlign w:val="center"/>
                </w:tcPr>
                <w:p w14:paraId="1C18BD86">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大气、</w:t>
                  </w:r>
                </w:p>
                <w:p w14:paraId="4B7A91D6">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厂区地</w:t>
                  </w:r>
                </w:p>
                <w:p w14:paraId="43AFF17A">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下水</w:t>
                  </w:r>
                </w:p>
              </w:tc>
              <w:tc>
                <w:tcPr>
                  <w:tcW w:w="1476" w:type="dxa"/>
                  <w:vAlign w:val="center"/>
                </w:tcPr>
                <w:p w14:paraId="30ED1595">
                  <w:pPr>
                    <w:adjustRightInd w:val="0"/>
                    <w:snapToGrid w:val="0"/>
                    <w:jc w:val="center"/>
                    <w:rPr>
                      <w:rFonts w:hint="default" w:ascii="Times New Roman" w:hAnsi="Times New Roman" w:eastAsia="宋体"/>
                      <w:color w:val="auto"/>
                      <w:szCs w:val="21"/>
                      <w:lang w:val="en-US" w:eastAsia="zh-CN"/>
                    </w:rPr>
                  </w:pPr>
                  <w:r>
                    <w:rPr>
                      <w:rFonts w:hint="eastAsia" w:eastAsia="宋体"/>
                      <w:color w:val="auto"/>
                      <w:lang w:val="en-US" w:eastAsia="zh-CN"/>
                    </w:rPr>
                    <w:t>基地内工人</w:t>
                  </w:r>
                </w:p>
              </w:tc>
            </w:tr>
            <w:tr w14:paraId="42433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0" w:type="dxa"/>
                  <w:vAlign w:val="center"/>
                </w:tcPr>
                <w:p w14:paraId="00C441AD">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w:t>
                  </w:r>
                </w:p>
              </w:tc>
              <w:tc>
                <w:tcPr>
                  <w:tcW w:w="1475" w:type="dxa"/>
                  <w:vAlign w:val="center"/>
                </w:tcPr>
                <w:p w14:paraId="496CD0AB">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废气处理系统</w:t>
                  </w:r>
                </w:p>
              </w:tc>
              <w:tc>
                <w:tcPr>
                  <w:tcW w:w="1641" w:type="dxa"/>
                  <w:vAlign w:val="center"/>
                </w:tcPr>
                <w:p w14:paraId="275A424F">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“喷淋+除雾过滤器+两级活性炭”装置</w:t>
                  </w:r>
                </w:p>
              </w:tc>
              <w:tc>
                <w:tcPr>
                  <w:tcW w:w="1309" w:type="dxa"/>
                  <w:vAlign w:val="center"/>
                </w:tcPr>
                <w:p w14:paraId="0038F46D">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VOCs、甲</w:t>
                  </w:r>
                </w:p>
                <w:p w14:paraId="51221241">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苯</w:t>
                  </w:r>
                  <w:r>
                    <w:rPr>
                      <w:rFonts w:hint="eastAsia" w:ascii="Times New Roman" w:hAnsi="Times New Roman" w:eastAsia="宋体"/>
                      <w:color w:val="auto"/>
                      <w:szCs w:val="21"/>
                      <w:lang w:val="en-US" w:eastAsia="zh-CN"/>
                    </w:rPr>
                    <w:t>、氯化氢、颗粒物、二氧化硫及氮氧化物</w:t>
                  </w:r>
                </w:p>
              </w:tc>
              <w:tc>
                <w:tcPr>
                  <w:tcW w:w="1475" w:type="dxa"/>
                  <w:vAlign w:val="center"/>
                </w:tcPr>
                <w:p w14:paraId="645CFEBF">
                  <w:pPr>
                    <w:adjustRightInd w:val="0"/>
                    <w:snapToGrid w:val="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事故排放</w:t>
                  </w:r>
                </w:p>
              </w:tc>
              <w:tc>
                <w:tcPr>
                  <w:tcW w:w="1475" w:type="dxa"/>
                  <w:vAlign w:val="center"/>
                </w:tcPr>
                <w:p w14:paraId="125BE431">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大气</w:t>
                  </w:r>
                </w:p>
              </w:tc>
              <w:tc>
                <w:tcPr>
                  <w:tcW w:w="1476" w:type="dxa"/>
                  <w:vAlign w:val="center"/>
                </w:tcPr>
                <w:p w14:paraId="2EABA929">
                  <w:pPr>
                    <w:adjustRightInd w:val="0"/>
                    <w:snapToGrid w:val="0"/>
                    <w:jc w:val="center"/>
                    <w:rPr>
                      <w:rFonts w:hint="default" w:ascii="Times New Roman" w:hAnsi="Times New Roman" w:eastAsia="宋体"/>
                      <w:color w:val="auto"/>
                      <w:szCs w:val="21"/>
                      <w:lang w:val="en-US" w:eastAsia="zh-CN"/>
                    </w:rPr>
                  </w:pPr>
                  <w:r>
                    <w:rPr>
                      <w:rFonts w:hint="eastAsia" w:eastAsia="宋体"/>
                      <w:color w:val="auto"/>
                      <w:lang w:val="en-US" w:eastAsia="zh-CN"/>
                    </w:rPr>
                    <w:t>基地内工人</w:t>
                  </w:r>
                </w:p>
              </w:tc>
            </w:tr>
          </w:tbl>
          <w:p w14:paraId="775A4623">
            <w:pPr>
              <w:pStyle w:val="40"/>
              <w:ind w:firstLine="482"/>
              <w:rPr>
                <w:rFonts w:hint="eastAsia" w:ascii="Times New Roman" w:hAnsi="Times New Roman" w:cs="Times New Roman" w:eastAsiaTheme="minorEastAsia"/>
                <w:b w:val="0"/>
                <w:bCs w:val="0"/>
                <w:color w:val="auto"/>
                <w:lang w:eastAsia="zh-CN"/>
              </w:rPr>
            </w:pPr>
            <w:r>
              <w:rPr>
                <w:rFonts w:hint="eastAsia" w:ascii="Times New Roman" w:hAnsi="Times New Roman" w:cs="Times New Roman"/>
                <w:b w:val="0"/>
                <w:bCs w:val="0"/>
                <w:color w:val="auto"/>
                <w:lang w:val="en-US" w:eastAsia="zh-CN"/>
              </w:rPr>
              <w:t>6.4</w:t>
            </w:r>
            <w:r>
              <w:rPr>
                <w:rFonts w:hint="eastAsia" w:ascii="Times New Roman" w:hAnsi="Times New Roman" w:cs="Times New Roman"/>
                <w:b w:val="0"/>
                <w:bCs w:val="0"/>
                <w:color w:val="auto"/>
              </w:rPr>
              <w:t>环境风险</w:t>
            </w:r>
            <w:r>
              <w:rPr>
                <w:rFonts w:hint="eastAsia" w:ascii="Times New Roman" w:hAnsi="Times New Roman" w:cs="Times New Roman"/>
                <w:b w:val="0"/>
                <w:bCs w:val="0"/>
                <w:color w:val="auto"/>
                <w:lang w:eastAsia="zh-CN"/>
              </w:rPr>
              <w:t>分析</w:t>
            </w:r>
          </w:p>
          <w:p w14:paraId="202C2520">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根据《危险化学品重大危险源辨识》（GB18218-2009）和《建设项目环境风险评价技术导则》（HJ169-2018）对本项目所用原辅料进行识别。厂区不构成重大危险源，具体环境风险分析如下：</w:t>
            </w:r>
          </w:p>
          <w:p w14:paraId="1F2305CE">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（1）火灾爆炸风险分析</w:t>
            </w:r>
          </w:p>
          <w:p w14:paraId="07019FBA">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项目部分原料属于易燃易爆物，操作及储存不当可能引起火灾、爆炸风险对厂区周围及下风向的环境空气产生影响，事故发生后到结束前这一时段内污染程度会达到最大，污染物最大地面浓度可能会超过该区域的环境空气质量标准。同时，在火灾事故的处理过程中，还会产生消防废水等污染，因此火灾、爆炸事故中产生的伴生/次生污染对环境的影响不可忽视。</w:t>
            </w:r>
          </w:p>
          <w:p w14:paraId="452A18BD">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（2）大气环境风险分析</w:t>
            </w:r>
          </w:p>
          <w:p w14:paraId="19A91D0E">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结合项目特点，本项目最大可信事故确定为废气处理设施故障。营运期</w:t>
            </w:r>
            <w:r>
              <w:rPr>
                <w:rFonts w:hint="eastAsia" w:ascii="Times New Roman" w:hAnsi="Times New Roman" w:cs="Times New Roman"/>
                <w:b w:val="0"/>
                <w:bCs w:val="0"/>
                <w:color w:val="auto"/>
                <w:lang w:eastAsia="zh-CN"/>
              </w:rPr>
              <w:t>化验室</w:t>
            </w:r>
            <w:r>
              <w:rPr>
                <w:rFonts w:hint="eastAsia" w:ascii="Times New Roman" w:hAnsi="Times New Roman" w:cs="Times New Roman"/>
                <w:b w:val="0"/>
                <w:bCs w:val="0"/>
                <w:color w:val="auto"/>
              </w:rPr>
              <w:t>产生的有机废气经集气罩/通风橱风收集后，由风管引至楼顶活性炭吸附装置处理，最终经15</w:t>
            </w:r>
            <w:r>
              <w:rPr>
                <w:rFonts w:hint="eastAsia" w:ascii="Times New Roman" w:hAnsi="Times New Roman" w:cs="Times New Roman"/>
                <w:b w:val="0"/>
                <w:bCs w:val="0"/>
                <w:color w:val="auto"/>
                <w:lang w:val="en-US" w:eastAsia="zh-CN"/>
              </w:rPr>
              <w:t>m</w:t>
            </w:r>
            <w:r>
              <w:rPr>
                <w:rFonts w:hint="eastAsia" w:ascii="Times New Roman" w:hAnsi="Times New Roman" w:cs="Times New Roman"/>
                <w:b w:val="0"/>
                <w:bCs w:val="0"/>
                <w:color w:val="auto"/>
              </w:rPr>
              <w:t>高排气筒排放。若废气处理设施发生故障，则生产过程产生的有机废气和臭气未经处理直接排入大气环境，将对周边居民生活造成影响。</w:t>
            </w:r>
          </w:p>
          <w:p w14:paraId="02C223FD">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w:t>
            </w:r>
            <w:r>
              <w:rPr>
                <w:rFonts w:hint="eastAsia" w:ascii="Times New Roman" w:hAnsi="Times New Roman" w:cs="Times New Roman"/>
                <w:b w:val="0"/>
                <w:bCs w:val="0"/>
                <w:color w:val="auto"/>
                <w:lang w:val="en-US" w:eastAsia="zh-CN"/>
              </w:rPr>
              <w:t>3</w:t>
            </w:r>
            <w:r>
              <w:rPr>
                <w:rFonts w:hint="eastAsia" w:ascii="Times New Roman" w:hAnsi="Times New Roman" w:cs="Times New Roman"/>
                <w:b w:val="0"/>
                <w:bCs w:val="0"/>
                <w:color w:val="auto"/>
              </w:rPr>
              <w:t>）危险物质泄漏风险分析</w:t>
            </w:r>
          </w:p>
          <w:p w14:paraId="4023E864">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上述危险物质的泄漏有事故泄漏和非事故泄漏两种。事故泄漏主要指自然灾害造成的泄漏，如地震、洪水等非人为因素，发生的可能性很低，最坏的情况是项目试剂室、危废仓内现存的所有物质全部进入环境，对厂区附近地下水、土壤造成明显的污染。非事故泄漏是指作业不当、维护管理不完善等人为因素造成的泄漏，相对容易发生。由于厂区内危险单元中的物质存在量较少，局部泄漏量很少，在采取相关应急措施后其风险可控。</w:t>
            </w:r>
          </w:p>
          <w:p w14:paraId="35C4F9C4">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lang w:val="en-US" w:eastAsia="zh-CN"/>
              </w:rPr>
              <w:t>6.5</w:t>
            </w:r>
            <w:r>
              <w:rPr>
                <w:rFonts w:hint="eastAsia" w:ascii="Times New Roman" w:hAnsi="Times New Roman" w:cs="Times New Roman"/>
                <w:b w:val="0"/>
                <w:bCs w:val="0"/>
                <w:color w:val="auto"/>
              </w:rPr>
              <w:t>环境风险防范措施及应急要求</w:t>
            </w:r>
          </w:p>
          <w:p w14:paraId="49C9FD06">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（1）化学试剂存储泄漏的风险防范措施</w:t>
            </w:r>
          </w:p>
          <w:p w14:paraId="7AF919CC">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本项目</w:t>
            </w:r>
            <w:r>
              <w:rPr>
                <w:rFonts w:hint="eastAsia" w:ascii="Times New Roman" w:hAnsi="Times New Roman" w:cs="Times New Roman"/>
                <w:b w:val="0"/>
                <w:bCs w:val="0"/>
                <w:color w:val="auto"/>
                <w:lang w:eastAsia="zh-CN"/>
              </w:rPr>
              <w:t>化验室</w:t>
            </w:r>
            <w:r>
              <w:rPr>
                <w:rFonts w:hint="eastAsia" w:ascii="Times New Roman" w:hAnsi="Times New Roman" w:cs="Times New Roman"/>
                <w:b w:val="0"/>
                <w:bCs w:val="0"/>
                <w:color w:val="auto"/>
              </w:rPr>
              <w:t>化学试剂均储存在原料仓库内，存放在密闭容器中，严格按照《常用化学危险品贮存通则》（GB 15603-1995）的要求，做好贮存风险事故防范工作，安排专人对试剂进行管理，定期检查试剂包装容器是否完好无损，发现破损及时用吸收棉吸附泄漏试剂。</w:t>
            </w:r>
          </w:p>
          <w:p w14:paraId="1F41BC92">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（2）危险废液存储泄漏的风险防范措施</w:t>
            </w:r>
          </w:p>
          <w:p w14:paraId="665B71A1">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危险废物存放在专用密闭容器或防漏胶袋中，并放在防泄漏托盘内，容器或防漏胶袋内壁及地面均做防腐处理，安排专人对危险废物进行管理，定期检查危险废物包装容器是否完好无损，发现破损及时用吸收棉吸附泄漏废液。危险废物贮存间按《危险废物贮存污染控制标准》（GB18597-20</w:t>
            </w:r>
            <w:r>
              <w:rPr>
                <w:rFonts w:hint="eastAsia" w:ascii="Times New Roman" w:hAnsi="Times New Roman" w:cs="Times New Roman"/>
                <w:b w:val="0"/>
                <w:bCs w:val="0"/>
                <w:color w:val="auto"/>
                <w:lang w:val="en-US" w:eastAsia="zh-CN"/>
              </w:rPr>
              <w:t>23</w:t>
            </w:r>
            <w:r>
              <w:rPr>
                <w:rFonts w:hint="eastAsia" w:ascii="Times New Roman" w:hAnsi="Times New Roman" w:cs="Times New Roman"/>
                <w:b w:val="0"/>
                <w:bCs w:val="0"/>
                <w:color w:val="auto"/>
              </w:rPr>
              <w:t>）要求做好基础防渗设置</w:t>
            </w:r>
            <w:r>
              <w:rPr>
                <w:rFonts w:hint="eastAsia" w:ascii="Times New Roman" w:hAnsi="Times New Roman" w:cs="Times New Roman"/>
                <w:b w:val="0"/>
                <w:bCs w:val="0"/>
                <w:color w:val="auto"/>
                <w:lang w:eastAsia="zh-CN"/>
              </w:rPr>
              <w:t>：“</w:t>
            </w:r>
            <w:r>
              <w:rPr>
                <w:rFonts w:hint="eastAsia" w:ascii="Times New Roman" w:hAnsi="Times New Roman" w:cs="Times New Roman"/>
                <w:color w:val="auto"/>
                <w:sz w:val="24"/>
                <w:szCs w:val="24"/>
                <w:lang w:val="en-US" w:eastAsia="zh-CN"/>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cs="Times New Roman"/>
                <w:color w:val="auto"/>
                <w:sz w:val="24"/>
                <w:szCs w:val="24"/>
                <w:vertAlign w:val="superscript"/>
                <w:lang w:val="en-US" w:eastAsia="zh-CN"/>
              </w:rPr>
              <w:t>-7</w:t>
            </w:r>
            <w:r>
              <w:rPr>
                <w:rFonts w:hint="eastAsia" w:ascii="Times New Roman" w:hAnsi="Times New Roman" w:cs="Times New Roman"/>
                <w:color w:val="auto"/>
                <w:sz w:val="24"/>
                <w:szCs w:val="24"/>
                <w:lang w:val="en-US" w:eastAsia="zh-CN"/>
              </w:rPr>
              <w:t>cm/s），或至少2mm厚高密度聚乙烯膜等人工防渗材料（渗透系数不大于10</w:t>
            </w:r>
            <w:r>
              <w:rPr>
                <w:rFonts w:hint="eastAsia" w:ascii="Times New Roman" w:hAnsi="Times New Roman" w:cs="Times New Roman"/>
                <w:color w:val="auto"/>
                <w:sz w:val="24"/>
                <w:szCs w:val="24"/>
                <w:vertAlign w:val="superscript"/>
                <w:lang w:val="en-US" w:eastAsia="zh-CN"/>
              </w:rPr>
              <w:t xml:space="preserve">-10 </w:t>
            </w:r>
            <w:r>
              <w:rPr>
                <w:rFonts w:hint="eastAsia" w:ascii="Times New Roman" w:hAnsi="Times New Roman" w:cs="Times New Roman"/>
                <w:color w:val="auto"/>
                <w:sz w:val="24"/>
                <w:szCs w:val="24"/>
                <w:lang w:val="en-US" w:eastAsia="zh-CN"/>
              </w:rPr>
              <w:t>cm/s），或其他防渗性能等效的材料</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rPr>
              <w:t>。</w:t>
            </w:r>
          </w:p>
          <w:p w14:paraId="3FCD3B9A">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（3）试剂、废液泄漏及火灾事故防范措施</w:t>
            </w:r>
          </w:p>
          <w:p w14:paraId="67FA11DA">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项目拟在</w:t>
            </w:r>
            <w:r>
              <w:rPr>
                <w:rFonts w:hint="eastAsia" w:ascii="Times New Roman" w:hAnsi="Times New Roman" w:cs="Times New Roman"/>
                <w:b w:val="0"/>
                <w:bCs w:val="0"/>
                <w:color w:val="auto"/>
                <w:lang w:eastAsia="zh-CN"/>
              </w:rPr>
              <w:t>化验室</w:t>
            </w:r>
            <w:r>
              <w:rPr>
                <w:rFonts w:hint="eastAsia" w:ascii="Times New Roman" w:hAnsi="Times New Roman" w:cs="Times New Roman"/>
                <w:b w:val="0"/>
                <w:bCs w:val="0"/>
                <w:color w:val="auto"/>
              </w:rPr>
              <w:t>及危废仓库配备一定数量的干粉灭火器，并定期检查设备有效性；同时配备一定数量的吸附棉；制定严格的生产操作规程，加强作业工人的安全教育，杜绝工作失误造成的事故；物料储存区域安排专人管理，做好入库记录，并定期检查材料存储的安全状态，定期检查其包装有无破损，以防止泄漏；同时在条件允许情况下，在明显位置张贴禁用明火的标识；</w:t>
            </w:r>
            <w:r>
              <w:rPr>
                <w:rFonts w:hint="eastAsia" w:ascii="Times New Roman" w:hAnsi="Times New Roman" w:cs="Times New Roman"/>
                <w:b w:val="0"/>
                <w:bCs w:val="0"/>
                <w:color w:val="auto"/>
                <w:lang w:eastAsia="zh-CN"/>
              </w:rPr>
              <w:t>化验室</w:t>
            </w:r>
            <w:r>
              <w:rPr>
                <w:rFonts w:hint="eastAsia" w:ascii="Times New Roman" w:hAnsi="Times New Roman" w:cs="Times New Roman"/>
                <w:b w:val="0"/>
                <w:bCs w:val="0"/>
                <w:color w:val="auto"/>
              </w:rPr>
              <w:t>设置通排风装置，加强通风透气，防止温度过高。</w:t>
            </w:r>
          </w:p>
          <w:p w14:paraId="705980EB">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（4）废气处理设施故障的风险防范措施</w:t>
            </w:r>
          </w:p>
          <w:p w14:paraId="6743EC55">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对于公司的废气处理系统，公司制定定期巡检制度：明确废气处理工艺监管责任人，每日由监管责任人对废气处理设施巡视检查一次，检查内容包括：阀门、管道、泵等，定期检查尾气监测是否达标。如果巡视检查发现问题，立即上报维修或更换。安排专人对风机、通风橱、集气罩和治理设施进行日常维护，如发现问题及时上报维修，必要时停产检修。</w:t>
            </w:r>
          </w:p>
          <w:p w14:paraId="063362B9">
            <w:pPr>
              <w:pStyle w:val="40"/>
              <w:ind w:firstLine="482"/>
              <w:rPr>
                <w:rFonts w:hint="default" w:ascii="Times New Roman" w:hAnsi="Times New Roman" w:cs="Times New Roman" w:eastAsiaTheme="minorEastAsia"/>
                <w:b w:val="0"/>
                <w:bCs w:val="0"/>
                <w:color w:val="auto"/>
                <w:lang w:val="en-US" w:eastAsia="zh-CN"/>
              </w:rPr>
            </w:pPr>
            <w:r>
              <w:rPr>
                <w:rFonts w:hint="eastAsia" w:ascii="Times New Roman" w:hAnsi="Times New Roman" w:cs="Times New Roman"/>
                <w:b w:val="0"/>
                <w:bCs w:val="0"/>
                <w:color w:val="auto"/>
                <w:lang w:val="en-US" w:eastAsia="zh-CN"/>
              </w:rPr>
              <w:t>6.5分析结论</w:t>
            </w:r>
          </w:p>
          <w:p w14:paraId="38A85387">
            <w:pPr>
              <w:pStyle w:val="40"/>
              <w:ind w:firstLine="482"/>
              <w:rPr>
                <w:rFonts w:hint="eastAsia" w:ascii="Times New Roman" w:hAnsi="Times New Roman" w:cs="Times New Roman"/>
                <w:b w:val="0"/>
                <w:bCs w:val="0"/>
                <w:color w:val="auto"/>
              </w:rPr>
            </w:pPr>
            <w:r>
              <w:rPr>
                <w:rFonts w:hint="eastAsia" w:ascii="Times New Roman" w:hAnsi="Times New Roman" w:cs="Times New Roman"/>
                <w:b w:val="0"/>
                <w:bCs w:val="0"/>
                <w:color w:val="auto"/>
              </w:rPr>
              <w:t>综上，本项目存在潜在的火灾、爆炸、泄漏风险，其事故风险发生概率较低，在采取了较完善的风险防范措施及配备足够的应急物资后，只要平时重视安全管理，严格遵守规章制度，加强岗位责任制，避免失误操作，并备有应急抢险计划和物质，事故发生后立即启动应急预案，有组织地进行事故排险和善后恢复、补偿工作，可以把环境风险控制在最低范围。总体而言，项目环境风险水平较低，处于可接受水平。</w:t>
            </w:r>
          </w:p>
          <w:p w14:paraId="7715FCC0">
            <w:pPr>
              <w:pStyle w:val="40"/>
              <w:ind w:firstLine="482"/>
              <w:rPr>
                <w:rFonts w:ascii="Times New Roman" w:hAnsi="Times New Roman" w:cs="Times New Roman"/>
                <w:b/>
                <w:bCs/>
                <w:color w:val="auto"/>
              </w:rPr>
            </w:pPr>
            <w:r>
              <w:rPr>
                <w:rFonts w:hint="eastAsia" w:ascii="Times New Roman" w:hAnsi="Times New Roman" w:cs="Times New Roman"/>
                <w:b/>
                <w:bCs/>
                <w:color w:val="auto"/>
              </w:rPr>
              <w:t>7、生态</w:t>
            </w:r>
          </w:p>
          <w:p w14:paraId="26F98DD2">
            <w:pPr>
              <w:pStyle w:val="40"/>
              <w:rPr>
                <w:color w:val="auto"/>
              </w:rPr>
            </w:pPr>
            <w:r>
              <w:rPr>
                <w:rFonts w:hint="eastAsia"/>
                <w:color w:val="auto"/>
              </w:rPr>
              <w:t>本项目在</w:t>
            </w:r>
            <w:r>
              <w:rPr>
                <w:rFonts w:hint="eastAsia" w:ascii="Times New Roman" w:hAnsi="Times New Roman" w:cs="Times New Roman"/>
                <w:color w:val="auto"/>
                <w:lang w:eastAsia="zh-CN"/>
              </w:rPr>
              <w:t>安徽淮北新型煤化工合成材料基地</w:t>
            </w:r>
            <w:r>
              <w:rPr>
                <w:rFonts w:hint="eastAsia"/>
                <w:color w:val="auto"/>
              </w:rPr>
              <w:t>内进行项目建设，不涉及产业园区外建设项目新增用地，与本项目用地范围内无环境保护目标，不会对周边生态环境造成明显影响。</w:t>
            </w:r>
          </w:p>
          <w:p w14:paraId="0BB17507">
            <w:pPr>
              <w:pStyle w:val="40"/>
              <w:ind w:firstLine="482"/>
              <w:rPr>
                <w:rFonts w:ascii="Times New Roman" w:hAnsi="Times New Roman" w:cs="Times New Roman"/>
                <w:b/>
                <w:bCs/>
                <w:color w:val="auto"/>
              </w:rPr>
            </w:pPr>
            <w:r>
              <w:rPr>
                <w:rFonts w:hint="eastAsia" w:ascii="Times New Roman" w:hAnsi="Times New Roman" w:cs="Times New Roman"/>
                <w:b/>
                <w:bCs/>
                <w:color w:val="auto"/>
              </w:rPr>
              <w:t>8</w:t>
            </w:r>
            <w:r>
              <w:rPr>
                <w:rFonts w:ascii="Times New Roman" w:hAnsi="Times New Roman" w:cs="Times New Roman"/>
                <w:b/>
                <w:bCs/>
                <w:color w:val="auto"/>
              </w:rPr>
              <w:t>、电磁辐射</w:t>
            </w:r>
          </w:p>
          <w:p w14:paraId="25ADF1C3">
            <w:pPr>
              <w:pStyle w:val="40"/>
              <w:rPr>
                <w:color w:val="auto"/>
              </w:rPr>
            </w:pPr>
            <w:r>
              <w:rPr>
                <w:rFonts w:hint="eastAsia"/>
                <w:color w:val="auto"/>
              </w:rPr>
              <w:t>本项目不涉及电磁辐射。</w:t>
            </w:r>
          </w:p>
        </w:tc>
      </w:tr>
    </w:tbl>
    <w:p w14:paraId="6E4E4694">
      <w:pPr>
        <w:jc w:val="left"/>
        <w:rPr>
          <w:b/>
          <w:bCs/>
          <w:color w:val="auto"/>
          <w:sz w:val="28"/>
          <w:szCs w:val="28"/>
        </w:rPr>
      </w:pPr>
      <w:r>
        <w:rPr>
          <w:rFonts w:hint="eastAsia"/>
          <w:b/>
          <w:bCs/>
          <w:color w:val="auto"/>
          <w:sz w:val="28"/>
          <w:szCs w:val="28"/>
        </w:rPr>
        <w:t>五、环境保护措施监督检查清单</w:t>
      </w:r>
    </w:p>
    <w:tbl>
      <w:tblPr>
        <w:tblStyle w:val="29"/>
        <w:tblW w:w="102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40"/>
        <w:gridCol w:w="2040"/>
        <w:gridCol w:w="2039"/>
        <w:gridCol w:w="2042"/>
        <w:gridCol w:w="2044"/>
      </w:tblGrid>
      <w:tr w14:paraId="0D8D5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74317300">
            <w:pPr>
              <w:pStyle w:val="34"/>
              <w:jc w:val="center"/>
              <w:rPr>
                <w:color w:val="auto"/>
              </w:rPr>
            </w:pPr>
            <w:r>
              <w:rPr>
                <w:color w:val="auto"/>
              </w:rPr>
              <mc:AlternateContent>
                <mc:Choice Requires="wps">
                  <w:drawing>
                    <wp:anchor distT="0" distB="0" distL="114300" distR="114300" simplePos="0" relativeHeight="251661312" behindDoc="0" locked="0" layoutInCell="1" allowOverlap="1">
                      <wp:simplePos x="0" y="0"/>
                      <wp:positionH relativeFrom="column">
                        <wp:posOffset>-59690</wp:posOffset>
                      </wp:positionH>
                      <wp:positionV relativeFrom="paragraph">
                        <wp:posOffset>-17145</wp:posOffset>
                      </wp:positionV>
                      <wp:extent cx="1293495" cy="416560"/>
                      <wp:effectExtent l="1270" t="4445" r="19685" b="17145"/>
                      <wp:wrapNone/>
                      <wp:docPr id="2" name="直接连接符 2"/>
                      <wp:cNvGraphicFramePr/>
                      <a:graphic xmlns:a="http://schemas.openxmlformats.org/drawingml/2006/main">
                        <a:graphicData uri="http://schemas.microsoft.com/office/word/2010/wordprocessingShape">
                          <wps:wsp>
                            <wps:cNvCnPr/>
                            <wps:spPr>
                              <a:xfrm>
                                <a:off x="908685" y="1312545"/>
                                <a:ext cx="1293495" cy="4165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7pt;margin-top:-1.35pt;height:32.8pt;width:101.85pt;z-index:251661312;mso-width-relative:page;mso-height-relative:page;" filled="f" stroked="t" coordsize="21600,21600" o:gfxdata="UEsDBAoAAAAAAIdO4kAAAAAAAAAAAAAAAAAEAAAAZHJzL1BLAwQUAAAACACHTuJAhvcIltgAAAAI&#10;AQAADwAAAGRycy9kb3ducmV2LnhtbE2PsU7DMBCGdyTewTokttZpqJomxOmAxICEBAQGRje+xmnt&#10;c4jdJLw97kSn0+n/9d135W62ho04+M6RgNUyAYbUONVRK+Dr83mxBeaDJCWNIxTwix521e1NKQvl&#10;JvrAsQ4tixDyhRSgQ+gLzn2j0Uq/dD1SzA5usDLEdWi5GuQU4dbwNEk23MqO4gUte3zS2Jzqs40U&#10;yn4Osxm+399e9baejvgyZijE/d0qeQQWcA7/ZbjoR3WootPenUl5ZgQs8nVsxplmwC55vn4Athew&#10;SXPgVcmvH6j+AFBLAwQUAAAACACHTuJA/tduPPcBAADBAwAADgAAAGRycy9lMm9Eb2MueG1srVO9&#10;btswEN4L9B0I7rVs2RJswXKGGOlStAbaPgBNURIB/oHHWPZL9AUKdGunjt37Nk0eo0fKTdJkyRAN&#10;1JF3/O6+747ri6NW5CA8SGtqOptMKRGG20aarqafP129WVICgZmGKWtETU8C6MXm9av14CqR296q&#10;RniCIAaqwdW0D8FVWQa8F5rBxDph0Nlar1nAre+yxrMB0bXK8um0zAbrG+ctFwB4uh2d9IzonwNo&#10;21ZysbX8WgsTRlQvFAtICXrpgG5StW0rePjQtiACUTVFpiGtmATtfVyzzZpVnWeul/xcAntOCY84&#10;aSYNJr2D2rLAyLWXT6C05N6CbcOEW52NRJIiyGI2faTNx545kbig1ODuRIeXg+XvDztPZFPTnBLD&#10;NDb85uuvP1++3/7+huvNzx8kjyINDiqMvTQ7f96B2/nI+Nh6Hf/IhRxrupouy2VByQlnaz7Li0Ux&#10;aiyOgXD0z/LVfLHCAI4Ri1lZlKkJ2T2Q8xDeCqtJNGqqpIkasIod3kHA5Bj6LyQeG3sllUp9VIYM&#10;NS3nBXaXM5zNFmcCTe2QH5iOEqY6HHoefEIEq2QTb0cc8N3+UnlyYHFU0hcrx2z/hcXUWwb9GJdc&#10;I0EtA74LJXVNlw9vK4MgUb5RsGjtbXNKOqZz7GxKc57CODoP9+n2/cvb/A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G9wiW2AAAAAgBAAAPAAAAAAAAAAEAIAAAACIAAABkcnMvZG93bnJldi54bWxQ&#10;SwECFAAUAAAACACHTuJA/tduPPcBAADBAwAADgAAAAAAAAABACAAAAAnAQAAZHJzL2Uyb0RvYy54&#10;bWxQSwUGAAAAAAYABgBZAQAAkAUAAAAA&#10;">
                      <v:fill on="f" focussize="0,0"/>
                      <v:stroke weight="0.5pt" color="#000000 [3213]" miterlimit="8" joinstyle="miter"/>
                      <v:imagedata o:title=""/>
                      <o:lock v:ext="edit" aspectratio="f"/>
                    </v:line>
                  </w:pict>
                </mc:Fallback>
              </mc:AlternateContent>
            </w:r>
            <w:r>
              <w:rPr>
                <w:rFonts w:hint="eastAsia"/>
                <w:color w:val="auto"/>
              </w:rPr>
              <w:t xml:space="preserve">         内容</w:t>
            </w:r>
          </w:p>
          <w:p w14:paraId="6A1435C6">
            <w:pPr>
              <w:pStyle w:val="34"/>
              <w:rPr>
                <w:color w:val="auto"/>
              </w:rPr>
            </w:pPr>
            <w:r>
              <w:rPr>
                <w:rFonts w:hint="eastAsia"/>
                <w:color w:val="auto"/>
              </w:rPr>
              <w:t>类型</w:t>
            </w:r>
          </w:p>
        </w:tc>
        <w:tc>
          <w:tcPr>
            <w:tcW w:w="2040" w:type="dxa"/>
            <w:vAlign w:val="center"/>
          </w:tcPr>
          <w:p w14:paraId="3CA3CF8F">
            <w:pPr>
              <w:pStyle w:val="34"/>
              <w:jc w:val="center"/>
              <w:rPr>
                <w:color w:val="auto"/>
              </w:rPr>
            </w:pPr>
            <w:r>
              <w:rPr>
                <w:rFonts w:hint="eastAsia"/>
                <w:color w:val="auto"/>
              </w:rPr>
              <w:t>排放口（编号、名称）/污染源</w:t>
            </w:r>
          </w:p>
        </w:tc>
        <w:tc>
          <w:tcPr>
            <w:tcW w:w="2039" w:type="dxa"/>
            <w:vAlign w:val="center"/>
          </w:tcPr>
          <w:p w14:paraId="35C223B2">
            <w:pPr>
              <w:pStyle w:val="34"/>
              <w:jc w:val="center"/>
              <w:rPr>
                <w:color w:val="auto"/>
              </w:rPr>
            </w:pPr>
            <w:r>
              <w:rPr>
                <w:rFonts w:hint="eastAsia"/>
                <w:color w:val="auto"/>
              </w:rPr>
              <w:t>污染物名称</w:t>
            </w:r>
          </w:p>
        </w:tc>
        <w:tc>
          <w:tcPr>
            <w:tcW w:w="2042" w:type="dxa"/>
            <w:vAlign w:val="center"/>
          </w:tcPr>
          <w:p w14:paraId="3EBCDBB1">
            <w:pPr>
              <w:pStyle w:val="34"/>
              <w:jc w:val="center"/>
              <w:rPr>
                <w:color w:val="auto"/>
              </w:rPr>
            </w:pPr>
            <w:r>
              <w:rPr>
                <w:rFonts w:hint="eastAsia"/>
                <w:color w:val="auto"/>
              </w:rPr>
              <w:t>环境保护措施</w:t>
            </w:r>
          </w:p>
        </w:tc>
        <w:tc>
          <w:tcPr>
            <w:tcW w:w="2044" w:type="dxa"/>
            <w:vAlign w:val="center"/>
          </w:tcPr>
          <w:p w14:paraId="1C960498">
            <w:pPr>
              <w:pStyle w:val="34"/>
              <w:jc w:val="center"/>
              <w:rPr>
                <w:color w:val="auto"/>
              </w:rPr>
            </w:pPr>
            <w:r>
              <w:rPr>
                <w:rFonts w:hint="eastAsia"/>
                <w:color w:val="auto"/>
              </w:rPr>
              <w:t>执行标准</w:t>
            </w:r>
          </w:p>
        </w:tc>
      </w:tr>
      <w:tr w14:paraId="031722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02B5D5FA">
            <w:pPr>
              <w:pStyle w:val="34"/>
              <w:jc w:val="center"/>
              <w:rPr>
                <w:color w:val="auto"/>
              </w:rPr>
            </w:pPr>
            <w:r>
              <w:rPr>
                <w:rFonts w:hint="eastAsia"/>
                <w:color w:val="auto"/>
              </w:rPr>
              <w:t>大气环境</w:t>
            </w:r>
          </w:p>
        </w:tc>
        <w:tc>
          <w:tcPr>
            <w:tcW w:w="2040" w:type="dxa"/>
            <w:vAlign w:val="center"/>
          </w:tcPr>
          <w:p w14:paraId="765C661D">
            <w:pPr>
              <w:pStyle w:val="34"/>
              <w:jc w:val="center"/>
              <w:rPr>
                <w:color w:val="auto"/>
              </w:rPr>
            </w:pPr>
            <w:r>
              <w:rPr>
                <w:rFonts w:hint="eastAsia"/>
                <w:color w:val="auto"/>
              </w:rPr>
              <w:t>DA001</w:t>
            </w:r>
          </w:p>
          <w:p w14:paraId="6F91B583">
            <w:pPr>
              <w:pStyle w:val="34"/>
              <w:jc w:val="center"/>
              <w:rPr>
                <w:color w:val="auto"/>
              </w:rPr>
            </w:pPr>
            <w:r>
              <w:rPr>
                <w:rFonts w:hint="eastAsia"/>
                <w:color w:val="auto"/>
              </w:rPr>
              <w:t>（</w:t>
            </w:r>
            <w:r>
              <w:rPr>
                <w:rFonts w:hint="eastAsia"/>
                <w:color w:val="auto"/>
                <w:lang w:val="en-US" w:eastAsia="zh-CN"/>
              </w:rPr>
              <w:t>理化化验室</w:t>
            </w:r>
            <w:r>
              <w:rPr>
                <w:rFonts w:hint="eastAsia"/>
                <w:color w:val="auto"/>
              </w:rPr>
              <w:t>）</w:t>
            </w:r>
          </w:p>
        </w:tc>
        <w:tc>
          <w:tcPr>
            <w:tcW w:w="2039" w:type="dxa"/>
            <w:vAlign w:val="center"/>
          </w:tcPr>
          <w:p w14:paraId="431E908B">
            <w:pPr>
              <w:pStyle w:val="34"/>
              <w:jc w:val="center"/>
              <w:rPr>
                <w:rFonts w:hint="eastAsia" w:eastAsia="宋体"/>
                <w:color w:val="auto"/>
                <w:lang w:eastAsia="zh-CN"/>
              </w:rPr>
            </w:pPr>
            <w:r>
              <w:rPr>
                <w:rFonts w:hint="eastAsia"/>
                <w:color w:val="auto"/>
              </w:rPr>
              <w:t>非甲烷总烃</w:t>
            </w:r>
            <w:r>
              <w:rPr>
                <w:rFonts w:hint="eastAsia"/>
                <w:color w:val="auto"/>
                <w:lang w:eastAsia="zh-CN"/>
              </w:rPr>
              <w:t>、甲苯</w:t>
            </w:r>
          </w:p>
        </w:tc>
        <w:tc>
          <w:tcPr>
            <w:tcW w:w="2042" w:type="dxa"/>
            <w:vAlign w:val="center"/>
          </w:tcPr>
          <w:p w14:paraId="2428B481">
            <w:pPr>
              <w:pStyle w:val="34"/>
              <w:jc w:val="center"/>
              <w:rPr>
                <w:color w:val="auto"/>
              </w:rPr>
            </w:pPr>
            <w:r>
              <w:rPr>
                <w:rFonts w:hint="eastAsia"/>
                <w:color w:val="auto"/>
              </w:rPr>
              <w:t>“</w:t>
            </w:r>
            <w:r>
              <w:rPr>
                <w:rFonts w:hint="eastAsia"/>
                <w:color w:val="auto"/>
                <w:lang w:val="en-US" w:eastAsia="zh-CN"/>
              </w:rPr>
              <w:t>通风橱或封闭微负压收集“水喷淋+脱水除雾器+</w:t>
            </w:r>
            <w:r>
              <w:rPr>
                <w:rFonts w:hint="eastAsia"/>
                <w:color w:val="auto"/>
                <w:lang w:eastAsia="zh-CN"/>
              </w:rPr>
              <w:t>两级</w:t>
            </w:r>
            <w:r>
              <w:rPr>
                <w:rFonts w:hint="eastAsia"/>
                <w:color w:val="auto"/>
              </w:rPr>
              <w:t>活性炭”（</w:t>
            </w:r>
            <w:r>
              <w:rPr>
                <w:rFonts w:hint="eastAsia"/>
                <w:color w:val="auto"/>
                <w:lang w:val="en-US" w:eastAsia="zh-CN"/>
              </w:rPr>
              <w:t>依托</w:t>
            </w:r>
            <w:r>
              <w:rPr>
                <w:rFonts w:hint="eastAsia"/>
                <w:color w:val="auto"/>
              </w:rPr>
              <w:t>）</w:t>
            </w:r>
          </w:p>
        </w:tc>
        <w:tc>
          <w:tcPr>
            <w:tcW w:w="2044" w:type="dxa"/>
            <w:vAlign w:val="center"/>
          </w:tcPr>
          <w:p w14:paraId="52AE011A">
            <w:pPr>
              <w:pStyle w:val="34"/>
              <w:jc w:val="center"/>
              <w:rPr>
                <w:color w:val="auto"/>
              </w:rPr>
            </w:pPr>
            <w:r>
              <w:rPr>
                <w:rFonts w:ascii="Times New Roman" w:hAnsi="Times New Roman" w:eastAsia="宋体" w:cs="Times New Roman"/>
                <w:color w:val="auto"/>
                <w:sz w:val="24"/>
              </w:rPr>
              <w:t>《大气污染物综合排放标准》（GB16297-1996）表2中最高允许排放浓度及无组织排放监控浓度限值</w:t>
            </w:r>
            <w:r>
              <w:rPr>
                <w:rFonts w:hint="eastAsia" w:ascii="Times New Roman" w:hAnsi="Times New Roman" w:eastAsia="宋体" w:cs="Times New Roman"/>
                <w:color w:val="auto"/>
                <w:sz w:val="24"/>
                <w:lang w:eastAsia="zh-CN"/>
              </w:rPr>
              <w:t>、</w:t>
            </w:r>
            <w:r>
              <w:rPr>
                <w:rFonts w:hint="eastAsia"/>
                <w:color w:val="auto"/>
              </w:rPr>
              <w:t>和</w:t>
            </w:r>
            <w:r>
              <w:rPr>
                <w:color w:val="auto"/>
              </w:rPr>
              <w:t>《挥发性有机物无组织控制排放标准》（GB37822-2019）附录A中</w:t>
            </w:r>
            <w:r>
              <w:rPr>
                <w:rFonts w:hint="eastAsia" w:ascii="宋体" w:hAnsi="宋体" w:cs="宋体"/>
                <w:color w:val="auto"/>
              </w:rPr>
              <w:t>“表</w:t>
            </w:r>
            <w:r>
              <w:rPr>
                <w:color w:val="auto"/>
              </w:rPr>
              <w:t>A.1中限值</w:t>
            </w:r>
            <w:r>
              <w:rPr>
                <w:rFonts w:hint="eastAsia" w:ascii="宋体" w:hAnsi="宋体" w:cs="宋体"/>
                <w:color w:val="auto"/>
              </w:rPr>
              <w:t>-特别排放限值”</w:t>
            </w:r>
          </w:p>
        </w:tc>
      </w:tr>
      <w:tr w14:paraId="106E22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06FE9476">
            <w:pPr>
              <w:pStyle w:val="34"/>
              <w:jc w:val="center"/>
              <w:rPr>
                <w:color w:val="auto"/>
              </w:rPr>
            </w:pPr>
            <w:r>
              <w:rPr>
                <w:rFonts w:hint="eastAsia"/>
                <w:color w:val="auto"/>
              </w:rPr>
              <w:t>水环境</w:t>
            </w:r>
          </w:p>
        </w:tc>
        <w:tc>
          <w:tcPr>
            <w:tcW w:w="2040" w:type="dxa"/>
            <w:vAlign w:val="center"/>
          </w:tcPr>
          <w:p w14:paraId="19F615FE">
            <w:pPr>
              <w:pStyle w:val="34"/>
              <w:jc w:val="center"/>
              <w:rPr>
                <w:color w:val="auto"/>
              </w:rPr>
            </w:pPr>
            <w:r>
              <w:rPr>
                <w:rFonts w:hint="eastAsia"/>
                <w:color w:val="auto"/>
              </w:rPr>
              <w:t>职工生活</w:t>
            </w:r>
          </w:p>
        </w:tc>
        <w:tc>
          <w:tcPr>
            <w:tcW w:w="2039" w:type="dxa"/>
            <w:vAlign w:val="center"/>
          </w:tcPr>
          <w:p w14:paraId="68621433">
            <w:pPr>
              <w:pStyle w:val="34"/>
              <w:jc w:val="center"/>
              <w:rPr>
                <w:color w:val="auto"/>
              </w:rPr>
            </w:pPr>
            <w:r>
              <w:rPr>
                <w:color w:val="auto"/>
              </w:rPr>
              <w:t>pH、COD、NH</w:t>
            </w:r>
            <w:r>
              <w:rPr>
                <w:color w:val="auto"/>
                <w:vertAlign w:val="subscript"/>
              </w:rPr>
              <w:t>3</w:t>
            </w:r>
            <w:r>
              <w:rPr>
                <w:color w:val="auto"/>
              </w:rPr>
              <w:t>-N、BOD</w:t>
            </w:r>
            <w:r>
              <w:rPr>
                <w:color w:val="auto"/>
                <w:vertAlign w:val="subscript"/>
              </w:rPr>
              <w:t>5</w:t>
            </w:r>
            <w:r>
              <w:rPr>
                <w:color w:val="auto"/>
              </w:rPr>
              <w:t>、SS</w:t>
            </w:r>
          </w:p>
        </w:tc>
        <w:tc>
          <w:tcPr>
            <w:tcW w:w="2042" w:type="dxa"/>
            <w:vAlign w:val="center"/>
          </w:tcPr>
          <w:p w14:paraId="471E7A1D">
            <w:pPr>
              <w:pStyle w:val="34"/>
              <w:jc w:val="center"/>
              <w:rPr>
                <w:color w:val="auto"/>
              </w:rPr>
            </w:pPr>
            <w:r>
              <w:rPr>
                <w:rFonts w:hint="eastAsia"/>
                <w:color w:val="auto"/>
              </w:rPr>
              <w:t>“化粪池”（依托）</w:t>
            </w:r>
          </w:p>
        </w:tc>
        <w:tc>
          <w:tcPr>
            <w:tcW w:w="2044" w:type="dxa"/>
            <w:vAlign w:val="center"/>
          </w:tcPr>
          <w:p w14:paraId="6E360088">
            <w:pPr>
              <w:pStyle w:val="34"/>
              <w:jc w:val="center"/>
              <w:rPr>
                <w:color w:val="auto"/>
              </w:rPr>
            </w:pPr>
            <w:r>
              <w:rPr>
                <w:rFonts w:hint="eastAsia" w:ascii="宋体" w:hAnsi="宋体" w:cs="宋体"/>
                <w:color w:val="auto"/>
              </w:rPr>
              <w:t>《污</w:t>
            </w:r>
            <w:r>
              <w:rPr>
                <w:color w:val="auto"/>
              </w:rPr>
              <w:t>水综合排放标准》（GB8978-1996）表4中三级标准及</w:t>
            </w:r>
            <w:r>
              <w:rPr>
                <w:rFonts w:hint="eastAsia"/>
                <w:color w:val="auto"/>
                <w:lang w:eastAsia="zh-CN"/>
              </w:rPr>
              <w:t>基地污水处理厂</w:t>
            </w:r>
            <w:r>
              <w:rPr>
                <w:color w:val="auto"/>
              </w:rPr>
              <w:t>接管限值</w:t>
            </w:r>
          </w:p>
        </w:tc>
      </w:tr>
      <w:tr w14:paraId="1AEB4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05DDBD5E">
            <w:pPr>
              <w:pStyle w:val="34"/>
              <w:jc w:val="center"/>
              <w:rPr>
                <w:color w:val="auto"/>
              </w:rPr>
            </w:pPr>
            <w:r>
              <w:rPr>
                <w:rFonts w:hint="eastAsia"/>
                <w:color w:val="auto"/>
              </w:rPr>
              <w:t>声环境</w:t>
            </w:r>
          </w:p>
        </w:tc>
        <w:tc>
          <w:tcPr>
            <w:tcW w:w="2040" w:type="dxa"/>
            <w:vAlign w:val="center"/>
          </w:tcPr>
          <w:p w14:paraId="0F72AA29">
            <w:pPr>
              <w:pStyle w:val="34"/>
              <w:jc w:val="center"/>
              <w:rPr>
                <w:color w:val="auto"/>
              </w:rPr>
            </w:pPr>
            <w:r>
              <w:rPr>
                <w:rFonts w:hint="eastAsia" w:cs="Times New Roman"/>
                <w:color w:val="auto"/>
                <w:kern w:val="0"/>
                <w:sz w:val="24"/>
                <w:lang w:val="en-US" w:eastAsia="zh-CN" w:bidi="ar"/>
              </w:rPr>
              <w:t>挤出机、燃烧箱</w:t>
            </w:r>
            <w:r>
              <w:rPr>
                <w:rFonts w:hint="eastAsia" w:ascii="Times New Roman" w:hAnsi="Times New Roman" w:eastAsia="宋体" w:cs="Times New Roman"/>
                <w:color w:val="auto"/>
                <w:kern w:val="0"/>
                <w:sz w:val="24"/>
                <w:lang w:bidi="ar"/>
              </w:rPr>
              <w:t>、</w:t>
            </w:r>
            <w:r>
              <w:rPr>
                <w:rFonts w:hint="eastAsia" w:cs="Times New Roman"/>
                <w:color w:val="auto"/>
                <w:kern w:val="0"/>
                <w:sz w:val="24"/>
                <w:lang w:val="en-US" w:eastAsia="zh-CN" w:bidi="ar"/>
              </w:rPr>
              <w:t>通风橱</w:t>
            </w:r>
            <w:r>
              <w:rPr>
                <w:rFonts w:hint="eastAsia" w:ascii="Times New Roman" w:hAnsi="Times New Roman" w:eastAsia="宋体" w:cs="Times New Roman"/>
                <w:color w:val="auto"/>
                <w:kern w:val="0"/>
                <w:sz w:val="24"/>
                <w:lang w:bidi="ar"/>
              </w:rPr>
              <w:t>风机</w:t>
            </w:r>
            <w:r>
              <w:rPr>
                <w:color w:val="auto"/>
              </w:rPr>
              <w:t>等</w:t>
            </w:r>
          </w:p>
        </w:tc>
        <w:tc>
          <w:tcPr>
            <w:tcW w:w="2039" w:type="dxa"/>
            <w:vAlign w:val="center"/>
          </w:tcPr>
          <w:p w14:paraId="1722959F">
            <w:pPr>
              <w:pStyle w:val="34"/>
              <w:jc w:val="center"/>
              <w:rPr>
                <w:color w:val="auto"/>
              </w:rPr>
            </w:pPr>
            <w:r>
              <w:rPr>
                <w:rFonts w:hint="eastAsia"/>
                <w:color w:val="auto"/>
              </w:rPr>
              <w:t>Leq（A）</w:t>
            </w:r>
          </w:p>
        </w:tc>
        <w:tc>
          <w:tcPr>
            <w:tcW w:w="2042" w:type="dxa"/>
            <w:vAlign w:val="center"/>
          </w:tcPr>
          <w:p w14:paraId="411F259D">
            <w:pPr>
              <w:pStyle w:val="34"/>
              <w:jc w:val="left"/>
              <w:rPr>
                <w:color w:val="auto"/>
              </w:rPr>
            </w:pPr>
            <w:r>
              <w:rPr>
                <w:color w:val="auto"/>
              </w:rPr>
              <w:t>选用低噪设备、采取基础减震、柔性连接、建筑物隔声等，再通过屏蔽、阻挡及距离衰减作用进行噪声防治。</w:t>
            </w:r>
          </w:p>
        </w:tc>
        <w:tc>
          <w:tcPr>
            <w:tcW w:w="2044" w:type="dxa"/>
            <w:vAlign w:val="center"/>
          </w:tcPr>
          <w:p w14:paraId="144283F5">
            <w:pPr>
              <w:pStyle w:val="34"/>
              <w:jc w:val="center"/>
              <w:rPr>
                <w:rFonts w:hint="eastAsia" w:eastAsia="宋体"/>
                <w:color w:val="auto"/>
                <w:lang w:eastAsia="zh-CN"/>
              </w:rPr>
            </w:pPr>
            <w:r>
              <w:rPr>
                <w:color w:val="auto"/>
              </w:rPr>
              <w:t>《工业企业厂界环境噪声排放标准》（GB12348-2008）</w:t>
            </w:r>
            <w:r>
              <w:rPr>
                <w:rFonts w:hint="eastAsia"/>
                <w:color w:val="auto"/>
              </w:rPr>
              <w:t>3</w:t>
            </w:r>
            <w:r>
              <w:rPr>
                <w:color w:val="auto"/>
              </w:rPr>
              <w:t>类标准</w:t>
            </w:r>
          </w:p>
        </w:tc>
      </w:tr>
      <w:tr w14:paraId="24D707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62872C5D">
            <w:pPr>
              <w:pStyle w:val="34"/>
              <w:jc w:val="center"/>
              <w:rPr>
                <w:color w:val="auto"/>
              </w:rPr>
            </w:pPr>
            <w:r>
              <w:rPr>
                <w:rFonts w:hint="eastAsia"/>
                <w:color w:val="auto"/>
              </w:rPr>
              <w:t>电磁辐射</w:t>
            </w:r>
          </w:p>
        </w:tc>
        <w:tc>
          <w:tcPr>
            <w:tcW w:w="2040" w:type="dxa"/>
            <w:vAlign w:val="center"/>
          </w:tcPr>
          <w:p w14:paraId="357331B2">
            <w:pPr>
              <w:pStyle w:val="34"/>
              <w:jc w:val="center"/>
              <w:rPr>
                <w:color w:val="auto"/>
              </w:rPr>
            </w:pPr>
            <w:r>
              <w:rPr>
                <w:rFonts w:hint="eastAsia"/>
                <w:color w:val="auto"/>
              </w:rPr>
              <w:t>/</w:t>
            </w:r>
          </w:p>
        </w:tc>
        <w:tc>
          <w:tcPr>
            <w:tcW w:w="2039" w:type="dxa"/>
            <w:vAlign w:val="center"/>
          </w:tcPr>
          <w:p w14:paraId="69B88D33">
            <w:pPr>
              <w:pStyle w:val="34"/>
              <w:jc w:val="center"/>
              <w:rPr>
                <w:color w:val="auto"/>
              </w:rPr>
            </w:pPr>
            <w:r>
              <w:rPr>
                <w:rFonts w:hint="eastAsia"/>
                <w:color w:val="auto"/>
              </w:rPr>
              <w:t>/</w:t>
            </w:r>
          </w:p>
        </w:tc>
        <w:tc>
          <w:tcPr>
            <w:tcW w:w="2042" w:type="dxa"/>
            <w:vAlign w:val="center"/>
          </w:tcPr>
          <w:p w14:paraId="00F21062">
            <w:pPr>
              <w:pStyle w:val="34"/>
              <w:jc w:val="center"/>
              <w:rPr>
                <w:color w:val="auto"/>
              </w:rPr>
            </w:pPr>
            <w:r>
              <w:rPr>
                <w:rFonts w:hint="eastAsia"/>
                <w:color w:val="auto"/>
              </w:rPr>
              <w:t>/</w:t>
            </w:r>
          </w:p>
        </w:tc>
        <w:tc>
          <w:tcPr>
            <w:tcW w:w="2044" w:type="dxa"/>
            <w:vAlign w:val="center"/>
          </w:tcPr>
          <w:p w14:paraId="488F0B3B">
            <w:pPr>
              <w:pStyle w:val="34"/>
              <w:jc w:val="center"/>
              <w:rPr>
                <w:color w:val="auto"/>
              </w:rPr>
            </w:pPr>
            <w:r>
              <w:rPr>
                <w:rFonts w:hint="eastAsia"/>
                <w:color w:val="auto"/>
              </w:rPr>
              <w:t>/</w:t>
            </w:r>
          </w:p>
        </w:tc>
      </w:tr>
      <w:tr w14:paraId="4FD117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56306372">
            <w:pPr>
              <w:pStyle w:val="34"/>
              <w:spacing w:line="360" w:lineRule="auto"/>
              <w:jc w:val="center"/>
              <w:rPr>
                <w:color w:val="auto"/>
              </w:rPr>
            </w:pPr>
            <w:r>
              <w:rPr>
                <w:rFonts w:hint="eastAsia"/>
                <w:color w:val="auto"/>
              </w:rPr>
              <w:t>固体废物</w:t>
            </w:r>
          </w:p>
        </w:tc>
        <w:tc>
          <w:tcPr>
            <w:tcW w:w="8165" w:type="dxa"/>
            <w:gridSpan w:val="4"/>
            <w:vAlign w:val="center"/>
          </w:tcPr>
          <w:p w14:paraId="34224C6A">
            <w:pPr>
              <w:pStyle w:val="34"/>
              <w:spacing w:line="360" w:lineRule="auto"/>
              <w:ind w:firstLine="480" w:firstLineChars="200"/>
              <w:rPr>
                <w:color w:val="auto"/>
              </w:rPr>
            </w:pPr>
            <w:r>
              <w:rPr>
                <w:rFonts w:hint="eastAsia"/>
                <w:color w:val="auto"/>
              </w:rPr>
              <w:t>废活性炭</w:t>
            </w:r>
            <w:r>
              <w:rPr>
                <w:rFonts w:hint="eastAsia"/>
                <w:color w:val="auto"/>
                <w:lang w:eastAsia="zh-CN"/>
              </w:rPr>
              <w:t>、废药剂瓶、化验室废液</w:t>
            </w:r>
            <w:r>
              <w:rPr>
                <w:rFonts w:hint="eastAsia"/>
                <w:color w:val="auto"/>
              </w:rPr>
              <w:t>等危险废物集中收集后</w:t>
            </w:r>
            <w:r>
              <w:rPr>
                <w:color w:val="auto"/>
              </w:rPr>
              <w:t>委托具有危险废物处理资质单位处置</w:t>
            </w:r>
            <w:r>
              <w:rPr>
                <w:rFonts w:hint="eastAsia"/>
                <w:color w:val="auto"/>
              </w:rPr>
              <w:t>；</w:t>
            </w:r>
            <w:r>
              <w:rPr>
                <w:color w:val="auto"/>
              </w:rPr>
              <w:t>生活垃圾集中收集后定期交由环卫部门统一清运处置。</w:t>
            </w:r>
          </w:p>
        </w:tc>
      </w:tr>
      <w:tr w14:paraId="70DB07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76553250">
            <w:pPr>
              <w:pStyle w:val="34"/>
              <w:spacing w:line="360" w:lineRule="auto"/>
              <w:jc w:val="center"/>
              <w:rPr>
                <w:color w:val="auto"/>
              </w:rPr>
            </w:pPr>
            <w:r>
              <w:rPr>
                <w:rFonts w:hint="eastAsia"/>
                <w:color w:val="auto"/>
              </w:rPr>
              <w:t>土壤及地下水污染防治措施</w:t>
            </w:r>
          </w:p>
        </w:tc>
        <w:tc>
          <w:tcPr>
            <w:tcW w:w="8165" w:type="dxa"/>
            <w:gridSpan w:val="4"/>
            <w:vAlign w:val="center"/>
          </w:tcPr>
          <w:p w14:paraId="16A6A334">
            <w:pPr>
              <w:pStyle w:val="34"/>
              <w:spacing w:line="360" w:lineRule="auto"/>
              <w:ind w:firstLine="480" w:firstLineChars="200"/>
              <w:rPr>
                <w:color w:val="auto"/>
              </w:rPr>
            </w:pPr>
            <w:r>
              <w:rPr>
                <w:color w:val="auto"/>
              </w:rPr>
              <w:t>一般防渗区防渗技术要求：等效黏土防渗层Mb≧1.5m，K≦1*10</w:t>
            </w:r>
            <w:r>
              <w:rPr>
                <w:color w:val="auto"/>
                <w:vertAlign w:val="superscript"/>
              </w:rPr>
              <w:t>-7</w:t>
            </w:r>
            <w:r>
              <w:rPr>
                <w:color w:val="auto"/>
              </w:rPr>
              <w:t>cm/s，；重点防渗区防渗技术要求：等效黏土防渗层Mb≧6m，K≦1×10</w:t>
            </w:r>
            <w:r>
              <w:rPr>
                <w:color w:val="auto"/>
                <w:vertAlign w:val="superscript"/>
              </w:rPr>
              <w:t>-7</w:t>
            </w:r>
            <w:r>
              <w:rPr>
                <w:color w:val="auto"/>
              </w:rPr>
              <w:t>cm/s；简单防渗区防渗技术要求：一般地面硬化。</w:t>
            </w:r>
          </w:p>
        </w:tc>
      </w:tr>
      <w:tr w14:paraId="56547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2ACAA6A2">
            <w:pPr>
              <w:pStyle w:val="34"/>
              <w:spacing w:line="360" w:lineRule="auto"/>
              <w:jc w:val="center"/>
              <w:rPr>
                <w:color w:val="auto"/>
              </w:rPr>
            </w:pPr>
            <w:r>
              <w:rPr>
                <w:rFonts w:hint="eastAsia"/>
                <w:color w:val="auto"/>
              </w:rPr>
              <w:t>生态保护措施</w:t>
            </w:r>
          </w:p>
        </w:tc>
        <w:tc>
          <w:tcPr>
            <w:tcW w:w="8165" w:type="dxa"/>
            <w:gridSpan w:val="4"/>
            <w:vAlign w:val="center"/>
          </w:tcPr>
          <w:p w14:paraId="2213E96A">
            <w:pPr>
              <w:pStyle w:val="40"/>
              <w:rPr>
                <w:rFonts w:ascii="Times New Roman" w:hAnsi="Times New Roman" w:cs="Times New Roman"/>
                <w:color w:val="auto"/>
              </w:rPr>
            </w:pPr>
            <w:r>
              <w:rPr>
                <w:rFonts w:hint="eastAsia"/>
                <w:color w:val="auto"/>
              </w:rPr>
              <w:t>本项目在</w:t>
            </w:r>
            <w:r>
              <w:rPr>
                <w:rFonts w:hint="eastAsia" w:ascii="Times New Roman" w:hAnsi="Times New Roman" w:cs="Times New Roman"/>
                <w:color w:val="auto"/>
                <w:sz w:val="24"/>
                <w:szCs w:val="24"/>
                <w:lang w:val="en-US" w:eastAsia="zh-CN"/>
              </w:rPr>
              <w:t>安徽（淮北）新型煤化工合成材料基地</w:t>
            </w:r>
            <w:r>
              <w:rPr>
                <w:rFonts w:hint="eastAsia"/>
                <w:color w:val="auto"/>
              </w:rPr>
              <w:t>内进行项目建设，不涉及产业园区外建设项目新增用地，与本项目用地范围内无环境保护目标，不会对周边生态环境造成明显影响。</w:t>
            </w:r>
          </w:p>
        </w:tc>
      </w:tr>
      <w:tr w14:paraId="694DAB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2EA61BE0">
            <w:pPr>
              <w:pStyle w:val="34"/>
              <w:spacing w:line="360" w:lineRule="auto"/>
              <w:jc w:val="center"/>
              <w:rPr>
                <w:color w:val="auto"/>
              </w:rPr>
            </w:pPr>
            <w:r>
              <w:rPr>
                <w:rFonts w:hint="eastAsia"/>
                <w:color w:val="auto"/>
              </w:rPr>
              <w:t>环境风险管控措施</w:t>
            </w:r>
          </w:p>
        </w:tc>
        <w:tc>
          <w:tcPr>
            <w:tcW w:w="8165" w:type="dxa"/>
            <w:gridSpan w:val="4"/>
            <w:vAlign w:val="center"/>
          </w:tcPr>
          <w:p w14:paraId="3B85346D">
            <w:pPr>
              <w:pStyle w:val="34"/>
              <w:spacing w:line="360" w:lineRule="auto"/>
              <w:ind w:firstLine="480" w:firstLineChars="200"/>
              <w:rPr>
                <w:rFonts w:hint="eastAsia" w:eastAsia="宋体"/>
                <w:color w:val="auto"/>
                <w:lang w:eastAsia="zh-CN"/>
              </w:rPr>
            </w:pPr>
            <w:r>
              <w:rPr>
                <w:color w:val="auto"/>
              </w:rPr>
              <w:t>编制突发环境事件应急预案；对</w:t>
            </w:r>
            <w:r>
              <w:rPr>
                <w:rFonts w:hint="eastAsia"/>
                <w:color w:val="auto"/>
              </w:rPr>
              <w:t>危险废物暂存间</w:t>
            </w:r>
            <w:r>
              <w:rPr>
                <w:color w:val="auto"/>
              </w:rPr>
              <w:t>做好防渗等</w:t>
            </w:r>
            <w:r>
              <w:rPr>
                <w:rFonts w:hint="eastAsia"/>
                <w:color w:val="auto"/>
                <w:kern w:val="0"/>
                <w:szCs w:val="21"/>
                <w:lang w:eastAsia="zh-CN"/>
              </w:rPr>
              <w:t>。</w:t>
            </w:r>
          </w:p>
        </w:tc>
      </w:tr>
      <w:tr w14:paraId="553586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40" w:type="dxa"/>
            <w:vAlign w:val="center"/>
          </w:tcPr>
          <w:p w14:paraId="15071A34">
            <w:pPr>
              <w:pStyle w:val="34"/>
              <w:spacing w:line="360" w:lineRule="auto"/>
              <w:jc w:val="center"/>
              <w:rPr>
                <w:color w:val="auto"/>
              </w:rPr>
            </w:pPr>
            <w:r>
              <w:rPr>
                <w:rFonts w:hint="eastAsia"/>
                <w:color w:val="auto"/>
              </w:rPr>
              <w:t>其他环境管理要求</w:t>
            </w:r>
          </w:p>
        </w:tc>
        <w:tc>
          <w:tcPr>
            <w:tcW w:w="8165" w:type="dxa"/>
            <w:gridSpan w:val="4"/>
            <w:vAlign w:val="center"/>
          </w:tcPr>
          <w:p w14:paraId="6DF0A5BD">
            <w:pPr>
              <w:widowControl/>
              <w:adjustRightInd w:val="0"/>
              <w:snapToGrid w:val="0"/>
              <w:spacing w:line="360" w:lineRule="auto"/>
              <w:ind w:firstLine="482" w:firstLineChars="200"/>
              <w:jc w:val="left"/>
              <w:rPr>
                <w:rFonts w:ascii="Times New Roman" w:hAnsi="Times New Roman" w:cs="Times New Roman"/>
                <w:b/>
                <w:bCs/>
                <w:color w:val="auto"/>
                <w:sz w:val="24"/>
              </w:rPr>
            </w:pPr>
            <w:r>
              <w:rPr>
                <w:rFonts w:hint="eastAsia" w:ascii="Times New Roman" w:hAnsi="Times New Roman" w:cs="Times New Roman"/>
                <w:b/>
                <w:bCs/>
                <w:color w:val="auto"/>
                <w:sz w:val="24"/>
              </w:rPr>
              <w:t>1</w:t>
            </w:r>
            <w:r>
              <w:rPr>
                <w:rFonts w:ascii="Times New Roman" w:hAnsi="Times New Roman" w:cs="Times New Roman"/>
                <w:b/>
                <w:bCs/>
                <w:color w:val="auto"/>
                <w:sz w:val="24"/>
              </w:rPr>
              <w:t>、排污口规范化设置</w:t>
            </w:r>
          </w:p>
          <w:p w14:paraId="730F7B74">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 xml:space="preserve">（1）废气排放口规范化 </w:t>
            </w:r>
          </w:p>
          <w:p w14:paraId="4C011CB5">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本项目建成后，在废气排放筒处应设置便于采样、</w:t>
            </w:r>
            <w:r>
              <w:rPr>
                <w:rFonts w:hint="eastAsia" w:ascii="Times New Roman" w:hAnsi="Times New Roman" w:cs="Times New Roman"/>
                <w:color w:val="auto"/>
                <w:sz w:val="24"/>
              </w:rPr>
              <w:t>检测</w:t>
            </w:r>
            <w:r>
              <w:rPr>
                <w:rFonts w:ascii="Times New Roman" w:hAnsi="Times New Roman" w:cs="Times New Roman"/>
                <w:color w:val="auto"/>
                <w:sz w:val="24"/>
              </w:rPr>
              <w:t>的采样口和采样</w:t>
            </w:r>
            <w:r>
              <w:rPr>
                <w:rFonts w:hint="eastAsia" w:ascii="Times New Roman" w:hAnsi="Times New Roman" w:cs="Times New Roman"/>
                <w:color w:val="auto"/>
                <w:sz w:val="24"/>
              </w:rPr>
              <w:t>检测</w:t>
            </w:r>
            <w:r>
              <w:rPr>
                <w:rFonts w:ascii="Times New Roman" w:hAnsi="Times New Roman" w:cs="Times New Roman"/>
                <w:color w:val="auto"/>
                <w:sz w:val="24"/>
              </w:rPr>
              <w:t>平台，并在排气筒附近地面醒目处设置环保图形标志牌，标明排气筒高度、出口内径、排放污染物种类等。</w:t>
            </w:r>
          </w:p>
          <w:p w14:paraId="1198AAF6">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 xml:space="preserve">（2）污水排放口规范化 </w:t>
            </w:r>
          </w:p>
          <w:p w14:paraId="360AF182">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 xml:space="preserve">应将全厂废水集中收集后通过厂区统一的污水排放口接管市政污水管网，本项目污水排放口依托现有排放口。 </w:t>
            </w:r>
          </w:p>
          <w:p w14:paraId="71F6EF33">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 xml:space="preserve">（3）固定噪声污染源规范化整治 </w:t>
            </w:r>
          </w:p>
          <w:p w14:paraId="685B0872">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参照《工业企业厂界环境噪声排放标准》（GB12348-2008）的规定，定期</w:t>
            </w:r>
            <w:r>
              <w:rPr>
                <w:rFonts w:hint="eastAsia" w:ascii="Times New Roman" w:hAnsi="Times New Roman" w:cs="Times New Roman"/>
                <w:color w:val="auto"/>
                <w:sz w:val="24"/>
              </w:rPr>
              <w:t>检测</w:t>
            </w:r>
            <w:r>
              <w:rPr>
                <w:rFonts w:ascii="Times New Roman" w:hAnsi="Times New Roman" w:cs="Times New Roman"/>
                <w:color w:val="auto"/>
                <w:sz w:val="24"/>
              </w:rPr>
              <w:t>，设置环境噪声</w:t>
            </w:r>
            <w:r>
              <w:rPr>
                <w:rFonts w:hint="eastAsia" w:ascii="Times New Roman" w:hAnsi="Times New Roman" w:cs="Times New Roman"/>
                <w:color w:val="auto"/>
                <w:sz w:val="24"/>
              </w:rPr>
              <w:t>检测</w:t>
            </w:r>
            <w:r>
              <w:rPr>
                <w:rFonts w:ascii="Times New Roman" w:hAnsi="Times New Roman" w:cs="Times New Roman"/>
                <w:color w:val="auto"/>
                <w:sz w:val="24"/>
              </w:rPr>
              <w:t>点，并在该处附近醒目处设置环境保护图形标志牌。</w:t>
            </w:r>
          </w:p>
          <w:p w14:paraId="2EA43A7C">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（4）固体废物</w:t>
            </w:r>
          </w:p>
          <w:p w14:paraId="6F1D2C92">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分别设置一般工业固体废物暂存间和危险废物暂存间，做好防雨淋和渗透措施，并设置标志牌。</w:t>
            </w:r>
          </w:p>
          <w:p w14:paraId="542DE138">
            <w:pPr>
              <w:jc w:val="center"/>
              <w:rPr>
                <w:rFonts w:ascii="Times New Roman" w:hAnsi="Times New Roman" w:cs="Times New Roman"/>
                <w:b/>
                <w:bCs/>
                <w:color w:val="auto"/>
                <w:sz w:val="24"/>
              </w:rPr>
            </w:pPr>
            <w:r>
              <w:rPr>
                <w:rFonts w:ascii="Times New Roman" w:hAnsi="Times New Roman" w:cs="Times New Roman"/>
                <w:b/>
                <w:bCs/>
                <w:color w:val="auto"/>
                <w:sz w:val="24"/>
              </w:rPr>
              <w:t>表5.1  环境保护图形符号一览表</w:t>
            </w:r>
          </w:p>
          <w:tbl>
            <w:tblPr>
              <w:tblStyle w:val="28"/>
              <w:tblW w:w="8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810"/>
              <w:gridCol w:w="2845"/>
              <w:gridCol w:w="2495"/>
            </w:tblGrid>
            <w:tr w14:paraId="1FF5C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7" w:type="dxa"/>
                  <w:vAlign w:val="center"/>
                </w:tcPr>
                <w:p w14:paraId="59048928">
                  <w:pPr>
                    <w:pStyle w:val="23"/>
                    <w:spacing w:after="0" w:line="240" w:lineRule="auto"/>
                    <w:jc w:val="center"/>
                    <w:rPr>
                      <w:rFonts w:cs="Times New Roman"/>
                      <w:color w:val="auto"/>
                      <w:szCs w:val="21"/>
                    </w:rPr>
                  </w:pPr>
                  <w:r>
                    <w:rPr>
                      <w:rFonts w:cs="Times New Roman"/>
                      <w:color w:val="auto"/>
                      <w:szCs w:val="21"/>
                    </w:rPr>
                    <w:t>序号</w:t>
                  </w:r>
                </w:p>
              </w:tc>
              <w:tc>
                <w:tcPr>
                  <w:tcW w:w="1785" w:type="dxa"/>
                  <w:vAlign w:val="center"/>
                </w:tcPr>
                <w:p w14:paraId="479DE9B3">
                  <w:pPr>
                    <w:pStyle w:val="23"/>
                    <w:spacing w:after="0" w:line="240" w:lineRule="auto"/>
                    <w:jc w:val="center"/>
                    <w:rPr>
                      <w:rFonts w:cs="Times New Roman"/>
                      <w:color w:val="auto"/>
                      <w:szCs w:val="21"/>
                    </w:rPr>
                  </w:pPr>
                  <w:r>
                    <w:rPr>
                      <w:rFonts w:cs="Times New Roman"/>
                      <w:color w:val="auto"/>
                      <w:szCs w:val="21"/>
                    </w:rPr>
                    <w:t>排放口名称</w:t>
                  </w:r>
                </w:p>
              </w:tc>
              <w:tc>
                <w:tcPr>
                  <w:tcW w:w="2805" w:type="dxa"/>
                  <w:vAlign w:val="center"/>
                </w:tcPr>
                <w:p w14:paraId="7FA6DE78">
                  <w:pPr>
                    <w:pStyle w:val="23"/>
                    <w:spacing w:after="0" w:line="240" w:lineRule="auto"/>
                    <w:jc w:val="center"/>
                    <w:rPr>
                      <w:rFonts w:cs="Times New Roman"/>
                      <w:color w:val="auto"/>
                      <w:szCs w:val="21"/>
                    </w:rPr>
                  </w:pPr>
                  <w:r>
                    <w:rPr>
                      <w:rFonts w:cs="Times New Roman"/>
                      <w:color w:val="auto"/>
                      <w:szCs w:val="21"/>
                    </w:rPr>
                    <w:t>提示/警告图形符号</w:t>
                  </w:r>
                </w:p>
              </w:tc>
              <w:tc>
                <w:tcPr>
                  <w:tcW w:w="2460" w:type="dxa"/>
                  <w:vAlign w:val="center"/>
                </w:tcPr>
                <w:p w14:paraId="60CBBD9A">
                  <w:pPr>
                    <w:pStyle w:val="23"/>
                    <w:spacing w:after="0" w:line="240" w:lineRule="auto"/>
                    <w:jc w:val="center"/>
                    <w:rPr>
                      <w:rFonts w:cs="Times New Roman"/>
                      <w:color w:val="auto"/>
                      <w:szCs w:val="21"/>
                    </w:rPr>
                  </w:pPr>
                  <w:r>
                    <w:rPr>
                      <w:rFonts w:cs="Times New Roman"/>
                      <w:color w:val="auto"/>
                      <w:szCs w:val="21"/>
                    </w:rPr>
                    <w:t>功能</w:t>
                  </w:r>
                </w:p>
              </w:tc>
            </w:tr>
            <w:tr w14:paraId="36B80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7" w:type="dxa"/>
                  <w:vAlign w:val="center"/>
                </w:tcPr>
                <w:p w14:paraId="720E2CCB">
                  <w:pPr>
                    <w:pStyle w:val="23"/>
                    <w:spacing w:after="0" w:line="240" w:lineRule="auto"/>
                    <w:jc w:val="center"/>
                    <w:rPr>
                      <w:rFonts w:cs="Times New Roman"/>
                      <w:color w:val="auto"/>
                      <w:szCs w:val="21"/>
                    </w:rPr>
                  </w:pPr>
                  <w:r>
                    <w:rPr>
                      <w:rFonts w:cs="Times New Roman"/>
                      <w:color w:val="auto"/>
                      <w:szCs w:val="21"/>
                    </w:rPr>
                    <w:t>1</w:t>
                  </w:r>
                </w:p>
              </w:tc>
              <w:tc>
                <w:tcPr>
                  <w:tcW w:w="1785" w:type="dxa"/>
                  <w:vAlign w:val="center"/>
                </w:tcPr>
                <w:p w14:paraId="395CA7C1">
                  <w:pPr>
                    <w:pStyle w:val="23"/>
                    <w:spacing w:after="0" w:line="240" w:lineRule="auto"/>
                    <w:jc w:val="center"/>
                    <w:rPr>
                      <w:rFonts w:cs="Times New Roman"/>
                      <w:color w:val="auto"/>
                      <w:szCs w:val="21"/>
                    </w:rPr>
                  </w:pPr>
                  <w:r>
                    <w:rPr>
                      <w:rFonts w:cs="Times New Roman"/>
                      <w:color w:val="auto"/>
                      <w:szCs w:val="21"/>
                    </w:rPr>
                    <w:t>废水排放口</w:t>
                  </w:r>
                </w:p>
              </w:tc>
              <w:tc>
                <w:tcPr>
                  <w:tcW w:w="2805" w:type="dxa"/>
                  <w:vAlign w:val="center"/>
                </w:tcPr>
                <w:p w14:paraId="6B3CD1D2">
                  <w:pPr>
                    <w:pStyle w:val="23"/>
                    <w:spacing w:after="0" w:line="240" w:lineRule="auto"/>
                    <w:jc w:val="center"/>
                    <w:rPr>
                      <w:rFonts w:cs="Times New Roman"/>
                      <w:color w:val="auto"/>
                      <w:szCs w:val="21"/>
                    </w:rPr>
                  </w:pPr>
                  <w:r>
                    <w:rPr>
                      <w:rFonts w:cs="Times New Roman"/>
                      <w:color w:val="auto"/>
                      <w:szCs w:val="21"/>
                    </w:rPr>
                    <w:drawing>
                      <wp:inline distT="0" distB="0" distL="114300" distR="114300">
                        <wp:extent cx="1557655" cy="967740"/>
                        <wp:effectExtent l="0" t="0" r="4445" b="3810"/>
                        <wp:docPr id="6" name="图片 5" descr="点击看大图及详细资料">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点击看大图及详细资料"/>
                                <pic:cNvPicPr>
                                  <a:picLocks noChangeAspect="1"/>
                                </pic:cNvPicPr>
                              </pic:nvPicPr>
                              <pic:blipFill>
                                <a:blip r:embed="rId32"/>
                                <a:stretch>
                                  <a:fillRect/>
                                </a:stretch>
                              </pic:blipFill>
                              <pic:spPr>
                                <a:xfrm>
                                  <a:off x="0" y="0"/>
                                  <a:ext cx="1557655" cy="967740"/>
                                </a:xfrm>
                                <a:prstGeom prst="rect">
                                  <a:avLst/>
                                </a:prstGeom>
                                <a:noFill/>
                                <a:ln>
                                  <a:noFill/>
                                </a:ln>
                              </pic:spPr>
                            </pic:pic>
                          </a:graphicData>
                        </a:graphic>
                      </wp:inline>
                    </w:drawing>
                  </w:r>
                </w:p>
              </w:tc>
              <w:tc>
                <w:tcPr>
                  <w:tcW w:w="2460" w:type="dxa"/>
                  <w:vAlign w:val="center"/>
                </w:tcPr>
                <w:p w14:paraId="0F4D6ED1">
                  <w:pPr>
                    <w:pStyle w:val="23"/>
                    <w:spacing w:after="0" w:line="240" w:lineRule="auto"/>
                    <w:jc w:val="center"/>
                    <w:rPr>
                      <w:rFonts w:cs="Times New Roman"/>
                      <w:color w:val="auto"/>
                      <w:szCs w:val="21"/>
                    </w:rPr>
                  </w:pPr>
                  <w:r>
                    <w:rPr>
                      <w:rFonts w:cs="Times New Roman"/>
                      <w:color w:val="auto"/>
                      <w:szCs w:val="21"/>
                    </w:rPr>
                    <w:t>表示污水向水体排放</w:t>
                  </w:r>
                </w:p>
              </w:tc>
            </w:tr>
            <w:tr w14:paraId="7DF4F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7" w:type="dxa"/>
                  <w:vAlign w:val="center"/>
                </w:tcPr>
                <w:p w14:paraId="59E9DD73">
                  <w:pPr>
                    <w:pStyle w:val="23"/>
                    <w:spacing w:after="0" w:line="240" w:lineRule="auto"/>
                    <w:jc w:val="center"/>
                    <w:rPr>
                      <w:rFonts w:cs="Times New Roman"/>
                      <w:color w:val="auto"/>
                      <w:szCs w:val="21"/>
                    </w:rPr>
                  </w:pPr>
                  <w:r>
                    <w:rPr>
                      <w:rFonts w:cs="Times New Roman"/>
                      <w:color w:val="auto"/>
                      <w:szCs w:val="21"/>
                    </w:rPr>
                    <w:t>2</w:t>
                  </w:r>
                </w:p>
              </w:tc>
              <w:tc>
                <w:tcPr>
                  <w:tcW w:w="1785" w:type="dxa"/>
                  <w:vAlign w:val="center"/>
                </w:tcPr>
                <w:p w14:paraId="47702CC7">
                  <w:pPr>
                    <w:pStyle w:val="23"/>
                    <w:spacing w:after="0" w:line="240" w:lineRule="auto"/>
                    <w:jc w:val="center"/>
                    <w:rPr>
                      <w:rFonts w:cs="Times New Roman"/>
                      <w:color w:val="auto"/>
                      <w:szCs w:val="21"/>
                    </w:rPr>
                  </w:pPr>
                  <w:r>
                    <w:rPr>
                      <w:rFonts w:cs="Times New Roman"/>
                      <w:color w:val="auto"/>
                      <w:szCs w:val="21"/>
                    </w:rPr>
                    <w:t>排气筒</w:t>
                  </w:r>
                </w:p>
              </w:tc>
              <w:tc>
                <w:tcPr>
                  <w:tcW w:w="2805" w:type="dxa"/>
                  <w:vAlign w:val="center"/>
                </w:tcPr>
                <w:p w14:paraId="072563D4">
                  <w:pPr>
                    <w:pStyle w:val="23"/>
                    <w:spacing w:after="0" w:line="240" w:lineRule="auto"/>
                    <w:jc w:val="center"/>
                    <w:rPr>
                      <w:rFonts w:cs="Times New Roman"/>
                      <w:color w:val="auto"/>
                      <w:szCs w:val="21"/>
                    </w:rPr>
                  </w:pPr>
                  <w:r>
                    <w:rPr>
                      <w:rFonts w:cs="Times New Roman"/>
                      <w:color w:val="auto"/>
                      <w:szCs w:val="21"/>
                    </w:rPr>
                    <w:drawing>
                      <wp:inline distT="0" distB="0" distL="114300" distR="114300">
                        <wp:extent cx="1586865" cy="967740"/>
                        <wp:effectExtent l="0" t="0" r="13335" b="3810"/>
                        <wp:docPr id="9" name="图片 6" descr="点击看大图及详细资料">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点击看大图及详细资料"/>
                                <pic:cNvPicPr>
                                  <a:picLocks noChangeAspect="1"/>
                                </pic:cNvPicPr>
                              </pic:nvPicPr>
                              <pic:blipFill>
                                <a:blip r:embed="rId34"/>
                                <a:stretch>
                                  <a:fillRect/>
                                </a:stretch>
                              </pic:blipFill>
                              <pic:spPr>
                                <a:xfrm>
                                  <a:off x="0" y="0"/>
                                  <a:ext cx="1586865" cy="967740"/>
                                </a:xfrm>
                                <a:prstGeom prst="rect">
                                  <a:avLst/>
                                </a:prstGeom>
                                <a:noFill/>
                                <a:ln>
                                  <a:noFill/>
                                </a:ln>
                              </pic:spPr>
                            </pic:pic>
                          </a:graphicData>
                        </a:graphic>
                      </wp:inline>
                    </w:drawing>
                  </w:r>
                </w:p>
              </w:tc>
              <w:tc>
                <w:tcPr>
                  <w:tcW w:w="2460" w:type="dxa"/>
                  <w:vAlign w:val="center"/>
                </w:tcPr>
                <w:p w14:paraId="7B867E3A">
                  <w:pPr>
                    <w:pStyle w:val="23"/>
                    <w:spacing w:after="0" w:line="240" w:lineRule="auto"/>
                    <w:jc w:val="center"/>
                    <w:rPr>
                      <w:rFonts w:cs="Times New Roman"/>
                      <w:color w:val="auto"/>
                      <w:szCs w:val="21"/>
                    </w:rPr>
                  </w:pPr>
                  <w:r>
                    <w:rPr>
                      <w:rFonts w:cs="Times New Roman"/>
                      <w:color w:val="auto"/>
                      <w:szCs w:val="21"/>
                    </w:rPr>
                    <w:t>表示废气向大气排放</w:t>
                  </w:r>
                </w:p>
              </w:tc>
            </w:tr>
            <w:tr w14:paraId="5027B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7" w:type="dxa"/>
                  <w:vAlign w:val="center"/>
                </w:tcPr>
                <w:p w14:paraId="78ACD4E8">
                  <w:pPr>
                    <w:pStyle w:val="23"/>
                    <w:spacing w:after="0" w:line="240" w:lineRule="auto"/>
                    <w:jc w:val="center"/>
                    <w:rPr>
                      <w:rFonts w:cs="Times New Roman"/>
                      <w:color w:val="auto"/>
                      <w:szCs w:val="21"/>
                    </w:rPr>
                  </w:pPr>
                  <w:r>
                    <w:rPr>
                      <w:rFonts w:cs="Times New Roman"/>
                      <w:color w:val="auto"/>
                      <w:szCs w:val="21"/>
                    </w:rPr>
                    <w:t>3</w:t>
                  </w:r>
                </w:p>
              </w:tc>
              <w:tc>
                <w:tcPr>
                  <w:tcW w:w="1785" w:type="dxa"/>
                  <w:vAlign w:val="center"/>
                </w:tcPr>
                <w:p w14:paraId="50A627A7">
                  <w:pPr>
                    <w:pStyle w:val="23"/>
                    <w:spacing w:after="0" w:line="240" w:lineRule="auto"/>
                    <w:jc w:val="center"/>
                    <w:rPr>
                      <w:rFonts w:cs="Times New Roman"/>
                      <w:color w:val="auto"/>
                      <w:szCs w:val="21"/>
                    </w:rPr>
                  </w:pPr>
                  <w:r>
                    <w:rPr>
                      <w:rFonts w:cs="Times New Roman"/>
                      <w:color w:val="auto"/>
                      <w:szCs w:val="21"/>
                    </w:rPr>
                    <w:t>噪声源</w:t>
                  </w:r>
                </w:p>
              </w:tc>
              <w:tc>
                <w:tcPr>
                  <w:tcW w:w="2805" w:type="dxa"/>
                  <w:vAlign w:val="center"/>
                </w:tcPr>
                <w:p w14:paraId="2B9AC9F6">
                  <w:pPr>
                    <w:pStyle w:val="23"/>
                    <w:spacing w:after="0" w:line="240" w:lineRule="auto"/>
                    <w:jc w:val="center"/>
                    <w:rPr>
                      <w:rFonts w:cs="Times New Roman"/>
                      <w:color w:val="auto"/>
                      <w:szCs w:val="21"/>
                    </w:rPr>
                  </w:pPr>
                  <w:r>
                    <w:rPr>
                      <w:rFonts w:cs="Times New Roman"/>
                      <w:color w:val="auto"/>
                      <w:szCs w:val="21"/>
                    </w:rPr>
                    <w:drawing>
                      <wp:inline distT="0" distB="0" distL="114300" distR="114300">
                        <wp:extent cx="1576705" cy="967740"/>
                        <wp:effectExtent l="0" t="0" r="4445" b="3810"/>
                        <wp:docPr id="8" name="图片 7" descr="点击看大图及详细资料">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点击看大图及详细资料"/>
                                <pic:cNvPicPr>
                                  <a:picLocks noChangeAspect="1"/>
                                </pic:cNvPicPr>
                              </pic:nvPicPr>
                              <pic:blipFill>
                                <a:blip r:embed="rId36"/>
                                <a:stretch>
                                  <a:fillRect/>
                                </a:stretch>
                              </pic:blipFill>
                              <pic:spPr>
                                <a:xfrm>
                                  <a:off x="0" y="0"/>
                                  <a:ext cx="1576705" cy="967740"/>
                                </a:xfrm>
                                <a:prstGeom prst="rect">
                                  <a:avLst/>
                                </a:prstGeom>
                                <a:noFill/>
                                <a:ln>
                                  <a:noFill/>
                                </a:ln>
                              </pic:spPr>
                            </pic:pic>
                          </a:graphicData>
                        </a:graphic>
                      </wp:inline>
                    </w:drawing>
                  </w:r>
                </w:p>
              </w:tc>
              <w:tc>
                <w:tcPr>
                  <w:tcW w:w="2460" w:type="dxa"/>
                  <w:vAlign w:val="center"/>
                </w:tcPr>
                <w:p w14:paraId="761C5172">
                  <w:pPr>
                    <w:pStyle w:val="23"/>
                    <w:spacing w:after="0" w:line="240" w:lineRule="auto"/>
                    <w:jc w:val="center"/>
                    <w:rPr>
                      <w:rFonts w:cs="Times New Roman"/>
                      <w:color w:val="auto"/>
                      <w:szCs w:val="21"/>
                    </w:rPr>
                  </w:pPr>
                  <w:r>
                    <w:rPr>
                      <w:rFonts w:cs="Times New Roman"/>
                      <w:color w:val="auto"/>
                      <w:szCs w:val="21"/>
                    </w:rPr>
                    <w:t>表示噪声向外环境排放</w:t>
                  </w:r>
                </w:p>
              </w:tc>
            </w:tr>
            <w:tr w14:paraId="70084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7" w:type="dxa"/>
                  <w:vAlign w:val="center"/>
                </w:tcPr>
                <w:p w14:paraId="02D0A246">
                  <w:pPr>
                    <w:pStyle w:val="23"/>
                    <w:spacing w:after="0" w:line="240" w:lineRule="auto"/>
                    <w:jc w:val="center"/>
                    <w:rPr>
                      <w:rFonts w:cs="Times New Roman"/>
                      <w:color w:val="auto"/>
                      <w:szCs w:val="21"/>
                    </w:rPr>
                  </w:pPr>
                  <w:r>
                    <w:rPr>
                      <w:rFonts w:cs="Times New Roman"/>
                      <w:color w:val="auto"/>
                      <w:szCs w:val="21"/>
                    </w:rPr>
                    <w:t>4</w:t>
                  </w:r>
                </w:p>
              </w:tc>
              <w:tc>
                <w:tcPr>
                  <w:tcW w:w="1785" w:type="dxa"/>
                  <w:vAlign w:val="center"/>
                </w:tcPr>
                <w:p w14:paraId="55595010">
                  <w:pPr>
                    <w:pStyle w:val="23"/>
                    <w:spacing w:after="0" w:line="240" w:lineRule="auto"/>
                    <w:jc w:val="center"/>
                    <w:rPr>
                      <w:rFonts w:cs="Times New Roman"/>
                      <w:color w:val="auto"/>
                      <w:szCs w:val="21"/>
                    </w:rPr>
                  </w:pPr>
                  <w:r>
                    <w:rPr>
                      <w:rFonts w:cs="Times New Roman"/>
                      <w:color w:val="auto"/>
                      <w:szCs w:val="21"/>
                    </w:rPr>
                    <w:t>危险废物</w:t>
                  </w:r>
                </w:p>
              </w:tc>
              <w:tc>
                <w:tcPr>
                  <w:tcW w:w="2805" w:type="dxa"/>
                  <w:vAlign w:val="center"/>
                </w:tcPr>
                <w:p w14:paraId="6D21BBC1">
                  <w:pPr>
                    <w:pStyle w:val="23"/>
                    <w:spacing w:after="0" w:line="240" w:lineRule="auto"/>
                    <w:jc w:val="center"/>
                    <w:rPr>
                      <w:rFonts w:cs="Times New Roman"/>
                      <w:color w:val="auto"/>
                      <w:szCs w:val="21"/>
                    </w:rPr>
                  </w:pPr>
                  <w:r>
                    <w:rPr>
                      <w:rFonts w:cs="Times New Roman"/>
                      <w:color w:val="auto"/>
                      <w:szCs w:val="21"/>
                    </w:rPr>
                    <w:drawing>
                      <wp:inline distT="0" distB="0" distL="114300" distR="114300">
                        <wp:extent cx="1590675" cy="995045"/>
                        <wp:effectExtent l="0" t="0" r="9525" b="14605"/>
                        <wp:docPr id="7" name="图片 8" descr="C:\Users\Windows 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C:\Users\Windows User\Desktop\1.jpg"/>
                                <pic:cNvPicPr>
                                  <a:picLocks noChangeAspect="1"/>
                                </pic:cNvPicPr>
                              </pic:nvPicPr>
                              <pic:blipFill>
                                <a:blip r:embed="rId37"/>
                                <a:stretch>
                                  <a:fillRect/>
                                </a:stretch>
                              </pic:blipFill>
                              <pic:spPr>
                                <a:xfrm>
                                  <a:off x="0" y="0"/>
                                  <a:ext cx="1590675" cy="995045"/>
                                </a:xfrm>
                                <a:prstGeom prst="rect">
                                  <a:avLst/>
                                </a:prstGeom>
                                <a:noFill/>
                                <a:ln>
                                  <a:noFill/>
                                </a:ln>
                              </pic:spPr>
                            </pic:pic>
                          </a:graphicData>
                        </a:graphic>
                      </wp:inline>
                    </w:drawing>
                  </w:r>
                </w:p>
              </w:tc>
              <w:tc>
                <w:tcPr>
                  <w:tcW w:w="2460" w:type="dxa"/>
                  <w:vAlign w:val="center"/>
                </w:tcPr>
                <w:p w14:paraId="34F80B44">
                  <w:pPr>
                    <w:pStyle w:val="23"/>
                    <w:spacing w:after="0" w:line="240" w:lineRule="auto"/>
                    <w:jc w:val="center"/>
                    <w:rPr>
                      <w:rFonts w:cs="Times New Roman"/>
                      <w:color w:val="auto"/>
                      <w:szCs w:val="21"/>
                    </w:rPr>
                  </w:pPr>
                  <w:r>
                    <w:rPr>
                      <w:rFonts w:cs="Times New Roman"/>
                      <w:color w:val="auto"/>
                      <w:szCs w:val="21"/>
                    </w:rPr>
                    <w:t>表示危险废物贮存、处置场所</w:t>
                  </w:r>
                </w:p>
              </w:tc>
            </w:tr>
          </w:tbl>
          <w:p w14:paraId="0F000892">
            <w:pPr>
              <w:widowControl/>
              <w:adjustRightInd w:val="0"/>
              <w:snapToGrid w:val="0"/>
              <w:spacing w:line="360" w:lineRule="auto"/>
              <w:ind w:firstLine="482" w:firstLineChars="200"/>
              <w:jc w:val="left"/>
              <w:rPr>
                <w:rFonts w:ascii="Times New Roman" w:hAnsi="Times New Roman" w:cs="Times New Roman"/>
                <w:b/>
                <w:bCs/>
                <w:color w:val="auto"/>
                <w:sz w:val="24"/>
              </w:rPr>
            </w:pPr>
            <w:r>
              <w:rPr>
                <w:rFonts w:hint="eastAsia" w:ascii="Times New Roman" w:hAnsi="Times New Roman" w:cs="Times New Roman"/>
                <w:b/>
                <w:bCs/>
                <w:color w:val="auto"/>
                <w:sz w:val="24"/>
              </w:rPr>
              <w:t>2</w:t>
            </w:r>
            <w:r>
              <w:rPr>
                <w:rFonts w:ascii="Times New Roman" w:hAnsi="Times New Roman" w:cs="Times New Roman"/>
                <w:b/>
                <w:bCs/>
                <w:color w:val="auto"/>
                <w:sz w:val="24"/>
              </w:rPr>
              <w:t>、项目竣工环境保护验收</w:t>
            </w:r>
          </w:p>
          <w:p w14:paraId="4E85E716">
            <w:pPr>
              <w:widowControl/>
              <w:adjustRightInd w:val="0"/>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建设单位应按照国家及本市有关法律法规、建设项目竣工环境保护验收技术规范、建设项目环境影响报告表和审批决定等要求，开展相关自主验收</w:t>
            </w:r>
          </w:p>
          <w:p w14:paraId="7EC2A6A2">
            <w:pPr>
              <w:widowControl/>
              <w:adjustRightInd w:val="0"/>
              <w:snapToGrid w:val="0"/>
              <w:spacing w:line="360" w:lineRule="auto"/>
              <w:jc w:val="left"/>
              <w:rPr>
                <w:rFonts w:ascii="Times New Roman" w:hAnsi="Times New Roman" w:cs="Times New Roman"/>
                <w:color w:val="auto"/>
                <w:sz w:val="24"/>
              </w:rPr>
            </w:pPr>
            <w:r>
              <w:rPr>
                <w:rFonts w:ascii="Times New Roman" w:hAnsi="Times New Roman" w:cs="Times New Roman"/>
                <w:color w:val="auto"/>
                <w:sz w:val="24"/>
              </w:rPr>
              <w:t>工作。建设项目配套建设的环境保护设施经验收合格，方可投入生产或者使用；未经验收或者验收不合格的，不得投入生产或者使用。</w:t>
            </w:r>
          </w:p>
          <w:p w14:paraId="5923A2C3">
            <w:pPr>
              <w:widowControl/>
              <w:adjustRightInd w:val="0"/>
              <w:snapToGrid w:val="0"/>
              <w:spacing w:line="360" w:lineRule="auto"/>
              <w:jc w:val="left"/>
              <w:rPr>
                <w:rFonts w:ascii="Times New Roman" w:hAnsi="Times New Roman" w:cs="Times New Roman"/>
                <w:color w:val="auto"/>
                <w:sz w:val="24"/>
              </w:rPr>
            </w:pPr>
          </w:p>
          <w:p w14:paraId="561791AE">
            <w:pPr>
              <w:pStyle w:val="23"/>
              <w:rPr>
                <w:color w:val="auto"/>
              </w:rPr>
            </w:pPr>
          </w:p>
          <w:p w14:paraId="057FE683">
            <w:pPr>
              <w:widowControl/>
              <w:adjustRightInd w:val="0"/>
              <w:snapToGrid w:val="0"/>
              <w:spacing w:line="360" w:lineRule="auto"/>
              <w:jc w:val="left"/>
              <w:rPr>
                <w:rFonts w:ascii="Times New Roman" w:hAnsi="Times New Roman" w:cs="Times New Roman"/>
                <w:color w:val="auto"/>
                <w:sz w:val="24"/>
              </w:rPr>
            </w:pPr>
          </w:p>
          <w:p w14:paraId="48FD639E">
            <w:pPr>
              <w:widowControl/>
              <w:adjustRightInd w:val="0"/>
              <w:snapToGrid w:val="0"/>
              <w:spacing w:line="360" w:lineRule="auto"/>
              <w:jc w:val="left"/>
              <w:rPr>
                <w:rFonts w:ascii="Times New Roman" w:hAnsi="Times New Roman" w:cs="Times New Roman"/>
                <w:color w:val="auto"/>
                <w:sz w:val="24"/>
              </w:rPr>
            </w:pPr>
          </w:p>
          <w:p w14:paraId="022F8356">
            <w:pPr>
              <w:widowControl/>
              <w:adjustRightInd w:val="0"/>
              <w:snapToGrid w:val="0"/>
              <w:spacing w:line="360" w:lineRule="auto"/>
              <w:jc w:val="left"/>
              <w:rPr>
                <w:rFonts w:ascii="Times New Roman" w:hAnsi="Times New Roman" w:cs="Times New Roman"/>
                <w:color w:val="auto"/>
                <w:sz w:val="24"/>
              </w:rPr>
            </w:pPr>
          </w:p>
          <w:p w14:paraId="1A312CF2">
            <w:pPr>
              <w:widowControl/>
              <w:adjustRightInd w:val="0"/>
              <w:snapToGrid w:val="0"/>
              <w:spacing w:line="360" w:lineRule="auto"/>
              <w:jc w:val="left"/>
              <w:rPr>
                <w:rFonts w:ascii="Times New Roman" w:hAnsi="Times New Roman" w:cs="Times New Roman"/>
                <w:color w:val="auto"/>
                <w:sz w:val="24"/>
              </w:rPr>
            </w:pPr>
          </w:p>
          <w:p w14:paraId="1F3DF972">
            <w:pPr>
              <w:widowControl/>
              <w:adjustRightInd w:val="0"/>
              <w:snapToGrid w:val="0"/>
              <w:spacing w:line="360" w:lineRule="auto"/>
              <w:jc w:val="left"/>
              <w:rPr>
                <w:rFonts w:ascii="Times New Roman" w:hAnsi="Times New Roman" w:cs="Times New Roman"/>
                <w:color w:val="auto"/>
                <w:sz w:val="24"/>
              </w:rPr>
            </w:pPr>
          </w:p>
          <w:p w14:paraId="6CD251E0">
            <w:pPr>
              <w:widowControl/>
              <w:adjustRightInd w:val="0"/>
              <w:snapToGrid w:val="0"/>
              <w:spacing w:line="360" w:lineRule="auto"/>
              <w:jc w:val="left"/>
              <w:rPr>
                <w:rFonts w:ascii="Times New Roman" w:hAnsi="Times New Roman" w:cs="Times New Roman"/>
                <w:color w:val="auto"/>
                <w:sz w:val="24"/>
              </w:rPr>
            </w:pPr>
          </w:p>
          <w:p w14:paraId="52907C6A">
            <w:pPr>
              <w:widowControl/>
              <w:adjustRightInd w:val="0"/>
              <w:snapToGrid w:val="0"/>
              <w:spacing w:line="360" w:lineRule="auto"/>
              <w:jc w:val="left"/>
              <w:rPr>
                <w:rFonts w:ascii="Times New Roman" w:hAnsi="Times New Roman" w:cs="Times New Roman"/>
                <w:color w:val="auto"/>
                <w:sz w:val="24"/>
              </w:rPr>
            </w:pPr>
          </w:p>
          <w:p w14:paraId="111A3801">
            <w:pPr>
              <w:widowControl/>
              <w:adjustRightInd w:val="0"/>
              <w:snapToGrid w:val="0"/>
              <w:spacing w:line="360" w:lineRule="auto"/>
              <w:jc w:val="left"/>
              <w:rPr>
                <w:rFonts w:ascii="Times New Roman" w:hAnsi="Times New Roman" w:cs="Times New Roman"/>
                <w:color w:val="auto"/>
                <w:sz w:val="24"/>
              </w:rPr>
            </w:pPr>
          </w:p>
          <w:p w14:paraId="287CA3FB">
            <w:pPr>
              <w:widowControl/>
              <w:adjustRightInd w:val="0"/>
              <w:snapToGrid w:val="0"/>
              <w:spacing w:line="360" w:lineRule="auto"/>
              <w:jc w:val="left"/>
              <w:rPr>
                <w:rFonts w:ascii="Times New Roman" w:hAnsi="Times New Roman" w:cs="Times New Roman"/>
                <w:color w:val="auto"/>
                <w:sz w:val="24"/>
              </w:rPr>
            </w:pPr>
          </w:p>
          <w:p w14:paraId="2ECA6543">
            <w:pPr>
              <w:widowControl/>
              <w:adjustRightInd w:val="0"/>
              <w:snapToGrid w:val="0"/>
              <w:spacing w:line="360" w:lineRule="auto"/>
              <w:jc w:val="left"/>
              <w:rPr>
                <w:rFonts w:ascii="Times New Roman" w:hAnsi="Times New Roman" w:cs="Times New Roman"/>
                <w:color w:val="auto"/>
                <w:sz w:val="24"/>
              </w:rPr>
            </w:pPr>
          </w:p>
          <w:p w14:paraId="4AF5B74A">
            <w:pPr>
              <w:widowControl/>
              <w:adjustRightInd w:val="0"/>
              <w:snapToGrid w:val="0"/>
              <w:spacing w:line="360" w:lineRule="auto"/>
              <w:jc w:val="left"/>
              <w:rPr>
                <w:rFonts w:ascii="Times New Roman" w:hAnsi="Times New Roman" w:cs="Times New Roman"/>
                <w:color w:val="auto"/>
                <w:sz w:val="24"/>
              </w:rPr>
            </w:pPr>
          </w:p>
          <w:p w14:paraId="05F34DBD">
            <w:pPr>
              <w:widowControl/>
              <w:adjustRightInd w:val="0"/>
              <w:snapToGrid w:val="0"/>
              <w:spacing w:line="360" w:lineRule="auto"/>
              <w:jc w:val="left"/>
              <w:rPr>
                <w:rFonts w:ascii="Times New Roman" w:hAnsi="Times New Roman" w:cs="Times New Roman"/>
                <w:color w:val="auto"/>
                <w:sz w:val="24"/>
              </w:rPr>
            </w:pPr>
          </w:p>
          <w:p w14:paraId="3048CB8A">
            <w:pPr>
              <w:widowControl/>
              <w:adjustRightInd w:val="0"/>
              <w:snapToGrid w:val="0"/>
              <w:spacing w:line="360" w:lineRule="auto"/>
              <w:jc w:val="left"/>
              <w:rPr>
                <w:rFonts w:ascii="Times New Roman" w:hAnsi="Times New Roman" w:cs="Times New Roman"/>
                <w:color w:val="auto"/>
                <w:sz w:val="24"/>
              </w:rPr>
            </w:pPr>
          </w:p>
          <w:p w14:paraId="6C3F1299">
            <w:pPr>
              <w:widowControl/>
              <w:adjustRightInd w:val="0"/>
              <w:snapToGrid w:val="0"/>
              <w:spacing w:line="360" w:lineRule="auto"/>
              <w:jc w:val="left"/>
              <w:rPr>
                <w:rFonts w:ascii="Times New Roman" w:hAnsi="Times New Roman" w:cs="Times New Roman"/>
                <w:color w:val="auto"/>
                <w:sz w:val="24"/>
              </w:rPr>
            </w:pPr>
          </w:p>
          <w:p w14:paraId="2C41D635">
            <w:pPr>
              <w:widowControl/>
              <w:adjustRightInd w:val="0"/>
              <w:snapToGrid w:val="0"/>
              <w:spacing w:line="360" w:lineRule="auto"/>
              <w:jc w:val="left"/>
              <w:rPr>
                <w:rFonts w:ascii="Times New Roman" w:hAnsi="Times New Roman" w:cs="Times New Roman"/>
                <w:color w:val="auto"/>
                <w:sz w:val="24"/>
              </w:rPr>
            </w:pPr>
          </w:p>
          <w:p w14:paraId="22788527">
            <w:pPr>
              <w:widowControl/>
              <w:adjustRightInd w:val="0"/>
              <w:snapToGrid w:val="0"/>
              <w:spacing w:line="360" w:lineRule="auto"/>
              <w:jc w:val="left"/>
              <w:rPr>
                <w:rFonts w:ascii="Times New Roman" w:hAnsi="Times New Roman" w:cs="Times New Roman"/>
                <w:color w:val="auto"/>
                <w:sz w:val="24"/>
              </w:rPr>
            </w:pPr>
          </w:p>
          <w:p w14:paraId="589665B6">
            <w:pPr>
              <w:widowControl/>
              <w:adjustRightInd w:val="0"/>
              <w:snapToGrid w:val="0"/>
              <w:spacing w:line="360" w:lineRule="auto"/>
              <w:jc w:val="left"/>
              <w:rPr>
                <w:rFonts w:ascii="Times New Roman" w:hAnsi="Times New Roman" w:cs="Times New Roman"/>
                <w:color w:val="auto"/>
                <w:sz w:val="24"/>
              </w:rPr>
            </w:pPr>
          </w:p>
          <w:p w14:paraId="2F37872A">
            <w:pPr>
              <w:widowControl/>
              <w:adjustRightInd w:val="0"/>
              <w:snapToGrid w:val="0"/>
              <w:spacing w:line="360" w:lineRule="auto"/>
              <w:jc w:val="left"/>
              <w:rPr>
                <w:rFonts w:ascii="Times New Roman" w:hAnsi="Times New Roman" w:cs="Times New Roman"/>
                <w:color w:val="auto"/>
                <w:sz w:val="24"/>
              </w:rPr>
            </w:pPr>
          </w:p>
          <w:p w14:paraId="069726A7">
            <w:pPr>
              <w:widowControl/>
              <w:adjustRightInd w:val="0"/>
              <w:snapToGrid w:val="0"/>
              <w:spacing w:line="360" w:lineRule="auto"/>
              <w:jc w:val="left"/>
              <w:rPr>
                <w:rFonts w:ascii="Times New Roman" w:hAnsi="Times New Roman" w:cs="Times New Roman"/>
                <w:color w:val="auto"/>
                <w:sz w:val="24"/>
              </w:rPr>
            </w:pPr>
          </w:p>
          <w:p w14:paraId="2874C6F9">
            <w:pPr>
              <w:widowControl/>
              <w:adjustRightInd w:val="0"/>
              <w:snapToGrid w:val="0"/>
              <w:spacing w:line="360" w:lineRule="auto"/>
              <w:jc w:val="left"/>
              <w:rPr>
                <w:color w:val="auto"/>
              </w:rPr>
            </w:pPr>
          </w:p>
        </w:tc>
      </w:tr>
    </w:tbl>
    <w:p w14:paraId="6D1FC75B">
      <w:pPr>
        <w:pStyle w:val="34"/>
        <w:rPr>
          <w:b/>
          <w:bCs/>
          <w:color w:val="auto"/>
          <w:sz w:val="28"/>
          <w:szCs w:val="28"/>
        </w:rPr>
      </w:pPr>
      <w:r>
        <w:rPr>
          <w:rFonts w:hint="eastAsia"/>
          <w:b/>
          <w:bCs/>
          <w:color w:val="auto"/>
          <w:sz w:val="28"/>
          <w:szCs w:val="28"/>
        </w:rPr>
        <w:t>六、结论</w:t>
      </w:r>
    </w:p>
    <w:tbl>
      <w:tblPr>
        <w:tblStyle w:val="29"/>
        <w:tblW w:w="102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05"/>
      </w:tblGrid>
      <w:tr w14:paraId="4EE241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638" w:type="dxa"/>
            <w:vAlign w:val="center"/>
          </w:tcPr>
          <w:p w14:paraId="7033D4A9">
            <w:pPr>
              <w:pStyle w:val="34"/>
              <w:spacing w:line="360" w:lineRule="auto"/>
              <w:ind w:firstLine="480" w:firstLineChars="200"/>
              <w:rPr>
                <w:color w:val="auto"/>
              </w:rPr>
            </w:pPr>
            <w:r>
              <w:rPr>
                <w:color w:val="auto"/>
              </w:rPr>
              <w:t>本项目建设符合国家和</w:t>
            </w:r>
            <w:r>
              <w:rPr>
                <w:rFonts w:hint="eastAsia"/>
                <w:color w:val="auto"/>
              </w:rPr>
              <w:t>淮北市</w:t>
            </w:r>
            <w:r>
              <w:rPr>
                <w:color w:val="auto"/>
              </w:rPr>
              <w:t>产业政策要求，</w:t>
            </w:r>
            <w:r>
              <w:rPr>
                <w:rFonts w:hint="eastAsia"/>
                <w:color w:val="auto"/>
                <w:lang w:eastAsia="zh-CN"/>
              </w:rPr>
              <w:t>用地性质</w:t>
            </w:r>
            <w:r>
              <w:rPr>
                <w:color w:val="auto"/>
              </w:rPr>
              <w:t>为</w:t>
            </w:r>
            <w:r>
              <w:rPr>
                <w:rFonts w:hint="eastAsia"/>
                <w:color w:val="auto"/>
                <w:lang w:eastAsia="zh-CN"/>
              </w:rPr>
              <w:t>建设</w:t>
            </w:r>
            <w:r>
              <w:rPr>
                <w:color w:val="auto"/>
              </w:rPr>
              <w:t>用地，规划选址符合</w:t>
            </w:r>
            <w:r>
              <w:rPr>
                <w:rFonts w:hint="eastAsia" w:ascii="Times New Roman" w:hAnsi="Times New Roman" w:cs="Times New Roman"/>
                <w:color w:val="auto"/>
                <w:sz w:val="24"/>
                <w:szCs w:val="24"/>
                <w:lang w:val="en-US" w:eastAsia="zh-CN"/>
              </w:rPr>
              <w:t>安徽（淮北）新型煤化工合成材料基地</w:t>
            </w:r>
            <w:r>
              <w:rPr>
                <w:rFonts w:hint="eastAsia"/>
                <w:color w:val="auto"/>
                <w:lang w:eastAsia="zh-CN"/>
              </w:rPr>
              <w:t>总体规划</w:t>
            </w:r>
            <w:r>
              <w:rPr>
                <w:color w:val="auto"/>
              </w:rPr>
              <w:t>。本项目实施后产生的废气、废水污染物经相应的环保措施治理后均可实现达标排放，厂界噪声可实现达标排放，固体废物处置去向合理，预计不会对环境产生明显不利影响。综上所述，在落实本报告提出的各项环保措施的情况下，本项目的建设具备环境可行性。</w:t>
            </w:r>
          </w:p>
          <w:p w14:paraId="18F3A9E0">
            <w:pPr>
              <w:pStyle w:val="34"/>
              <w:rPr>
                <w:color w:val="auto"/>
              </w:rPr>
            </w:pPr>
          </w:p>
          <w:p w14:paraId="7E3DC648">
            <w:pPr>
              <w:pStyle w:val="34"/>
              <w:rPr>
                <w:color w:val="auto"/>
              </w:rPr>
            </w:pPr>
          </w:p>
          <w:p w14:paraId="39798F01">
            <w:pPr>
              <w:pStyle w:val="34"/>
              <w:rPr>
                <w:color w:val="auto"/>
              </w:rPr>
            </w:pPr>
          </w:p>
          <w:p w14:paraId="74548FF7">
            <w:pPr>
              <w:pStyle w:val="34"/>
              <w:rPr>
                <w:color w:val="auto"/>
              </w:rPr>
            </w:pPr>
          </w:p>
          <w:p w14:paraId="672930B4">
            <w:pPr>
              <w:pStyle w:val="34"/>
              <w:rPr>
                <w:color w:val="auto"/>
              </w:rPr>
            </w:pPr>
          </w:p>
          <w:p w14:paraId="08F04E7F">
            <w:pPr>
              <w:pStyle w:val="34"/>
              <w:rPr>
                <w:color w:val="auto"/>
              </w:rPr>
            </w:pPr>
          </w:p>
          <w:p w14:paraId="24CDD807">
            <w:pPr>
              <w:pStyle w:val="34"/>
              <w:rPr>
                <w:color w:val="auto"/>
              </w:rPr>
            </w:pPr>
          </w:p>
          <w:p w14:paraId="59C8F4E8">
            <w:pPr>
              <w:pStyle w:val="34"/>
              <w:rPr>
                <w:color w:val="auto"/>
              </w:rPr>
            </w:pPr>
          </w:p>
          <w:p w14:paraId="38588604">
            <w:pPr>
              <w:pStyle w:val="34"/>
              <w:rPr>
                <w:color w:val="auto"/>
              </w:rPr>
            </w:pPr>
          </w:p>
          <w:p w14:paraId="1E0A9778">
            <w:pPr>
              <w:pStyle w:val="34"/>
              <w:rPr>
                <w:color w:val="auto"/>
              </w:rPr>
            </w:pPr>
          </w:p>
          <w:p w14:paraId="11651F10">
            <w:pPr>
              <w:pStyle w:val="34"/>
              <w:rPr>
                <w:color w:val="auto"/>
              </w:rPr>
            </w:pPr>
          </w:p>
          <w:p w14:paraId="25B34437">
            <w:pPr>
              <w:pStyle w:val="34"/>
              <w:rPr>
                <w:color w:val="auto"/>
              </w:rPr>
            </w:pPr>
          </w:p>
          <w:p w14:paraId="3710D112">
            <w:pPr>
              <w:pStyle w:val="34"/>
              <w:rPr>
                <w:color w:val="auto"/>
              </w:rPr>
            </w:pPr>
          </w:p>
          <w:p w14:paraId="01C55A08">
            <w:pPr>
              <w:pStyle w:val="34"/>
              <w:rPr>
                <w:color w:val="auto"/>
              </w:rPr>
            </w:pPr>
          </w:p>
          <w:p w14:paraId="1C920477">
            <w:pPr>
              <w:pStyle w:val="34"/>
              <w:rPr>
                <w:color w:val="auto"/>
              </w:rPr>
            </w:pPr>
          </w:p>
          <w:p w14:paraId="60848D2C">
            <w:pPr>
              <w:pStyle w:val="34"/>
              <w:rPr>
                <w:color w:val="auto"/>
              </w:rPr>
            </w:pPr>
          </w:p>
          <w:p w14:paraId="51615277">
            <w:pPr>
              <w:pStyle w:val="34"/>
              <w:rPr>
                <w:color w:val="auto"/>
              </w:rPr>
            </w:pPr>
          </w:p>
          <w:p w14:paraId="66C7A930">
            <w:pPr>
              <w:pStyle w:val="34"/>
              <w:rPr>
                <w:color w:val="auto"/>
              </w:rPr>
            </w:pPr>
          </w:p>
          <w:p w14:paraId="3A30AF26">
            <w:pPr>
              <w:pStyle w:val="34"/>
              <w:rPr>
                <w:color w:val="auto"/>
              </w:rPr>
            </w:pPr>
          </w:p>
          <w:p w14:paraId="521D9536">
            <w:pPr>
              <w:pStyle w:val="34"/>
              <w:rPr>
                <w:color w:val="auto"/>
              </w:rPr>
            </w:pPr>
          </w:p>
          <w:p w14:paraId="1A8AF5FE">
            <w:pPr>
              <w:pStyle w:val="34"/>
              <w:rPr>
                <w:color w:val="auto"/>
              </w:rPr>
            </w:pPr>
          </w:p>
          <w:p w14:paraId="48AA2887">
            <w:pPr>
              <w:pStyle w:val="34"/>
              <w:rPr>
                <w:color w:val="auto"/>
              </w:rPr>
            </w:pPr>
          </w:p>
          <w:p w14:paraId="286F3CBB">
            <w:pPr>
              <w:pStyle w:val="34"/>
              <w:rPr>
                <w:color w:val="auto"/>
              </w:rPr>
            </w:pPr>
          </w:p>
          <w:p w14:paraId="5C16C22A">
            <w:pPr>
              <w:pStyle w:val="34"/>
              <w:rPr>
                <w:color w:val="auto"/>
              </w:rPr>
            </w:pPr>
          </w:p>
          <w:p w14:paraId="76307805">
            <w:pPr>
              <w:pStyle w:val="34"/>
              <w:rPr>
                <w:color w:val="auto"/>
              </w:rPr>
            </w:pPr>
          </w:p>
          <w:p w14:paraId="60B2D548">
            <w:pPr>
              <w:pStyle w:val="34"/>
              <w:rPr>
                <w:color w:val="auto"/>
              </w:rPr>
            </w:pPr>
          </w:p>
          <w:p w14:paraId="5432929D">
            <w:pPr>
              <w:pStyle w:val="34"/>
              <w:rPr>
                <w:color w:val="auto"/>
              </w:rPr>
            </w:pPr>
          </w:p>
          <w:p w14:paraId="4D6F2DFB">
            <w:pPr>
              <w:pStyle w:val="34"/>
              <w:rPr>
                <w:color w:val="auto"/>
              </w:rPr>
            </w:pPr>
          </w:p>
          <w:p w14:paraId="3B661EC8">
            <w:pPr>
              <w:pStyle w:val="34"/>
              <w:rPr>
                <w:color w:val="auto"/>
              </w:rPr>
            </w:pPr>
          </w:p>
          <w:p w14:paraId="1843BCCB">
            <w:pPr>
              <w:pStyle w:val="34"/>
              <w:rPr>
                <w:color w:val="auto"/>
              </w:rPr>
            </w:pPr>
          </w:p>
          <w:p w14:paraId="763CA855">
            <w:pPr>
              <w:pStyle w:val="34"/>
              <w:rPr>
                <w:color w:val="auto"/>
              </w:rPr>
            </w:pPr>
          </w:p>
          <w:p w14:paraId="1B998A91">
            <w:pPr>
              <w:pStyle w:val="34"/>
              <w:rPr>
                <w:color w:val="auto"/>
              </w:rPr>
            </w:pPr>
          </w:p>
          <w:p w14:paraId="196BEFAE">
            <w:pPr>
              <w:pStyle w:val="34"/>
              <w:rPr>
                <w:color w:val="auto"/>
              </w:rPr>
            </w:pPr>
          </w:p>
          <w:p w14:paraId="0F40AED2">
            <w:pPr>
              <w:pStyle w:val="34"/>
              <w:rPr>
                <w:color w:val="auto"/>
              </w:rPr>
            </w:pPr>
          </w:p>
          <w:p w14:paraId="2EE20AA7">
            <w:pPr>
              <w:pStyle w:val="34"/>
              <w:rPr>
                <w:color w:val="auto"/>
              </w:rPr>
            </w:pPr>
          </w:p>
        </w:tc>
      </w:tr>
    </w:tbl>
    <w:p w14:paraId="5140361C">
      <w:pPr>
        <w:rPr>
          <w:color w:val="auto"/>
        </w:rPr>
        <w:sectPr>
          <w:headerReference r:id="rId3" w:type="default"/>
          <w:footerReference r:id="rId4" w:type="default"/>
          <w:pgSz w:w="11906" w:h="16838"/>
          <w:pgMar w:top="1440" w:right="1800" w:bottom="1440" w:left="1800" w:header="851" w:footer="992" w:gutter="0"/>
          <w:pgNumType w:fmt="numberInDash" w:start="1"/>
          <w:cols w:space="425" w:num="1"/>
          <w:docGrid w:type="lines" w:linePitch="312" w:charSpace="0"/>
        </w:sectPr>
      </w:pPr>
    </w:p>
    <w:p w14:paraId="0BA3A3EC">
      <w:pPr>
        <w:jc w:val="center"/>
        <w:rPr>
          <w:b/>
          <w:bCs/>
          <w:color w:val="auto"/>
          <w:szCs w:val="21"/>
        </w:rPr>
      </w:pPr>
      <w:r>
        <w:rPr>
          <w:rFonts w:hint="eastAsia"/>
          <w:b/>
          <w:bCs/>
          <w:color w:val="auto"/>
          <w:szCs w:val="21"/>
        </w:rPr>
        <w:t>污染物排放统计汇总表</w:t>
      </w:r>
    </w:p>
    <w:tbl>
      <w:tblPr>
        <w:tblStyle w:val="29"/>
        <w:tblW w:w="1474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37"/>
        <w:gridCol w:w="1638"/>
        <w:gridCol w:w="1638"/>
        <w:gridCol w:w="1638"/>
        <w:gridCol w:w="1637"/>
        <w:gridCol w:w="1638"/>
        <w:gridCol w:w="1638"/>
        <w:gridCol w:w="1638"/>
        <w:gridCol w:w="1638"/>
      </w:tblGrid>
      <w:tr w14:paraId="0DDAA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Align w:val="center"/>
          </w:tcPr>
          <w:p w14:paraId="4D3A1A18">
            <w:pPr>
              <w:jc w:val="center"/>
              <w:rPr>
                <w:rFonts w:ascii="Times New Roman" w:hAnsi="Times New Roman" w:cs="Times New Roman"/>
                <w:color w:val="auto"/>
                <w:szCs w:val="21"/>
              </w:rPr>
            </w:pPr>
            <w:r>
              <w:rPr>
                <w:rFonts w:ascii="Times New Roman" w:hAnsi="Times New Roman" w:cs="Times New Roman"/>
                <w:color w:val="auto"/>
                <w:szCs w:val="21"/>
              </w:rPr>
              <mc:AlternateContent>
                <mc:Choice Requires="wps">
                  <w:drawing>
                    <wp:anchor distT="0" distB="0" distL="114300" distR="114300" simplePos="0" relativeHeight="251662336" behindDoc="0" locked="0" layoutInCell="1" allowOverlap="1">
                      <wp:simplePos x="0" y="0"/>
                      <wp:positionH relativeFrom="column">
                        <wp:posOffset>-60325</wp:posOffset>
                      </wp:positionH>
                      <wp:positionV relativeFrom="paragraph">
                        <wp:posOffset>-6350</wp:posOffset>
                      </wp:positionV>
                      <wp:extent cx="1019175" cy="785495"/>
                      <wp:effectExtent l="3175" t="3810" r="6350" b="10795"/>
                      <wp:wrapNone/>
                      <wp:docPr id="4" name="直接连接符 4"/>
                      <wp:cNvGraphicFramePr/>
                      <a:graphic xmlns:a="http://schemas.openxmlformats.org/drawingml/2006/main">
                        <a:graphicData uri="http://schemas.microsoft.com/office/word/2010/wordprocessingShape">
                          <wps:wsp>
                            <wps:cNvCnPr/>
                            <wps:spPr>
                              <a:xfrm>
                                <a:off x="674370" y="1353820"/>
                                <a:ext cx="1019175" cy="7854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75pt;margin-top:-0.5pt;height:61.85pt;width:80.25pt;z-index:251662336;mso-width-relative:page;mso-height-relative:page;" filled="f" stroked="t" coordsize="21600,21600" o:gfxdata="UEsDBAoAAAAAAIdO4kAAAAAAAAAAAAAAAAAEAAAAZHJzL1BLAwQUAAAACACHTuJAFJ2JJNQAAAAJ&#10;AQAADwAAAGRycy9kb3ducmV2LnhtbE1PTU+EMBC9m/gfmjHxtlsgWVmRsgcTDyYmKnrw2IVZQNsp&#10;tl3Af+9w0tO8yXt5H+VhsUZM6MPgSEG6TUAgNa4dqFPw/vaw2YMIUVOrjSNU8IMBDtXlRamL1s30&#10;ilMdO8EmFAqtoI9xLKQMTY9Wh60bkZg7OW915Nd3svV6ZnNrZJYkN9LqgTih1yPe99h81WfLLpR/&#10;nxbjP16en/p9PX/i45SjUtdXaXIHIuIS/8Sw1ufqUHGnoztTG4RRsLndsZJvypNWfreCI4Msy0FW&#10;pfy/oPoFUEsDBBQAAAAIAIdO4kCEDJth9AEAAMEDAAAOAAAAZHJzL2Uyb0RvYy54bWytUzuO2zAQ&#10;7QPkDgT7WP6uvYLlLdbYNEFiIMkBxhQlEeAPHK5lXyIXCJAuqVKmz212c4wMJe03zRZRQQ2HM2/m&#10;PQ7XF0ej2UEGVM4WfDIacyatcKWydcE/f7p6s+IMI9gStLOy4CeJ/GLz+tW69bmcusbpUgZGIBbz&#10;1he8idHnWYaikQZw5Ly0dFi5YCDSNtRZGaAldKOz6Xh8lrUulD44IRHJu+0P+YAYXgLoqkoJuXXi&#10;2kgbe9QgNUSihI3yyDddt1UlRfxQVSgj0wUnprFbqQjZ+7RmmzXkdQDfKDG0AC9p4RknA8pS0Xuo&#10;LURg10H9A2WUCA5dFUfCmawn0ilCLCbjZ9p8bMDLjgtJjf5edPx/sOL9YReYKgs+58yCoQu//frr&#10;5sv3P7+/0Xr78webJ5FajznFXtpdGHbodyExPlbBpD9xYceCny3nsyWpe6LZmi1mq+mgsTxGJuh8&#10;Mp6cT5YLzgRFLFeL+fki4WcPQD5gfCudYckouFY2aQA5HN5h7EPvQpLbuiulNfkh15a11MFsQfUF&#10;0GxWNBNkGk/80Nacga5p6EUMHSI6rcqUnZIx1PtLHdgB0qh039DYk7BUegvY9HHdUQqD3KhI70Ir&#10;U/DV42xtiV2SrxcsWXtXnjodOz/dbMd/mMI0Oo/3XfbDy9v8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SdiSTUAAAACQEAAA8AAAAAAAAAAQAgAAAAIgAAAGRycy9kb3ducmV2LnhtbFBLAQIUABQA&#10;AAAIAIdO4kCEDJth9AEAAMEDAAAOAAAAAAAAAAEAIAAAACMBAABkcnMvZTJvRG9jLnhtbFBLBQYA&#10;AAAABgAGAFkBAACJBQAAAAA=&#10;">
                      <v:fill on="f" focussize="0,0"/>
                      <v:stroke weight="0.5pt" color="#000000 [3213]" miterlimit="8" joinstyle="miter"/>
                      <v:imagedata o:title=""/>
                      <o:lock v:ext="edit" aspectratio="f"/>
                    </v:line>
                  </w:pict>
                </mc:Fallback>
              </mc:AlternateContent>
            </w:r>
            <w:r>
              <w:rPr>
                <w:rFonts w:ascii="Times New Roman" w:hAnsi="Times New Roman" w:cs="Times New Roman"/>
                <w:color w:val="auto"/>
                <w:szCs w:val="21"/>
              </w:rPr>
              <w:t xml:space="preserve">         项目</w:t>
            </w:r>
          </w:p>
          <w:p w14:paraId="1D2CB9FF">
            <w:pPr>
              <w:rPr>
                <w:rFonts w:ascii="Times New Roman" w:hAnsi="Times New Roman" w:cs="Times New Roman"/>
                <w:color w:val="auto"/>
                <w:szCs w:val="21"/>
              </w:rPr>
            </w:pPr>
          </w:p>
          <w:p w14:paraId="78986A92">
            <w:pPr>
              <w:rPr>
                <w:rFonts w:ascii="Times New Roman" w:hAnsi="Times New Roman" w:cs="Times New Roman"/>
                <w:color w:val="auto"/>
                <w:szCs w:val="21"/>
              </w:rPr>
            </w:pPr>
          </w:p>
          <w:p w14:paraId="1693AC81">
            <w:pPr>
              <w:rPr>
                <w:rFonts w:ascii="Times New Roman" w:hAnsi="Times New Roman" w:cs="Times New Roman"/>
                <w:color w:val="auto"/>
                <w:szCs w:val="21"/>
              </w:rPr>
            </w:pPr>
            <w:r>
              <w:rPr>
                <w:rFonts w:ascii="Times New Roman" w:hAnsi="Times New Roman" w:cs="Times New Roman"/>
                <w:color w:val="auto"/>
                <w:szCs w:val="21"/>
              </w:rPr>
              <w:t>分类</w:t>
            </w:r>
          </w:p>
        </w:tc>
        <w:tc>
          <w:tcPr>
            <w:tcW w:w="1638" w:type="dxa"/>
            <w:vAlign w:val="center"/>
          </w:tcPr>
          <w:p w14:paraId="4966D14F">
            <w:pPr>
              <w:jc w:val="center"/>
              <w:rPr>
                <w:rFonts w:ascii="Times New Roman" w:hAnsi="Times New Roman" w:cs="Times New Roman"/>
                <w:color w:val="auto"/>
                <w:szCs w:val="21"/>
              </w:rPr>
            </w:pPr>
            <w:r>
              <w:rPr>
                <w:rFonts w:ascii="Times New Roman" w:hAnsi="Times New Roman" w:cs="Times New Roman"/>
                <w:color w:val="auto"/>
                <w:szCs w:val="21"/>
              </w:rPr>
              <w:t>污染物名称</w:t>
            </w:r>
          </w:p>
        </w:tc>
        <w:tc>
          <w:tcPr>
            <w:tcW w:w="1638" w:type="dxa"/>
            <w:vAlign w:val="center"/>
          </w:tcPr>
          <w:p w14:paraId="6B44F820">
            <w:pPr>
              <w:jc w:val="center"/>
              <w:rPr>
                <w:rFonts w:ascii="Times New Roman" w:hAnsi="Times New Roman" w:cs="Times New Roman"/>
                <w:color w:val="auto"/>
                <w:szCs w:val="21"/>
              </w:rPr>
            </w:pPr>
            <w:r>
              <w:rPr>
                <w:rFonts w:ascii="Times New Roman" w:hAnsi="Times New Roman" w:cs="Times New Roman"/>
                <w:color w:val="auto"/>
                <w:szCs w:val="21"/>
              </w:rPr>
              <w:t>现有工程排放量（固体废物产生量）①</w:t>
            </w:r>
          </w:p>
        </w:tc>
        <w:tc>
          <w:tcPr>
            <w:tcW w:w="1638" w:type="dxa"/>
            <w:vAlign w:val="center"/>
          </w:tcPr>
          <w:p w14:paraId="0686347A">
            <w:pPr>
              <w:jc w:val="center"/>
              <w:rPr>
                <w:rFonts w:ascii="Times New Roman" w:hAnsi="Times New Roman" w:cs="Times New Roman"/>
                <w:color w:val="auto"/>
                <w:szCs w:val="21"/>
              </w:rPr>
            </w:pPr>
            <w:r>
              <w:rPr>
                <w:rFonts w:ascii="Times New Roman" w:hAnsi="Times New Roman" w:cs="Times New Roman"/>
                <w:color w:val="auto"/>
                <w:szCs w:val="21"/>
              </w:rPr>
              <w:t>现有工程许可排放量②</w:t>
            </w:r>
          </w:p>
        </w:tc>
        <w:tc>
          <w:tcPr>
            <w:tcW w:w="1637" w:type="dxa"/>
            <w:vAlign w:val="center"/>
          </w:tcPr>
          <w:p w14:paraId="205B6F7F">
            <w:pPr>
              <w:jc w:val="center"/>
              <w:rPr>
                <w:rFonts w:ascii="Times New Roman" w:hAnsi="Times New Roman" w:cs="Times New Roman"/>
                <w:color w:val="auto"/>
                <w:szCs w:val="21"/>
              </w:rPr>
            </w:pPr>
            <w:r>
              <w:rPr>
                <w:rFonts w:ascii="Times New Roman" w:hAnsi="Times New Roman" w:cs="Times New Roman"/>
                <w:color w:val="auto"/>
                <w:szCs w:val="21"/>
              </w:rPr>
              <w:t>在建工程排放量（固体废物产生量）③</w:t>
            </w:r>
          </w:p>
        </w:tc>
        <w:tc>
          <w:tcPr>
            <w:tcW w:w="1638" w:type="dxa"/>
            <w:vAlign w:val="center"/>
          </w:tcPr>
          <w:p w14:paraId="75EB45D0">
            <w:pPr>
              <w:jc w:val="center"/>
              <w:rPr>
                <w:rFonts w:ascii="Times New Roman" w:hAnsi="Times New Roman" w:cs="Times New Roman"/>
                <w:color w:val="auto"/>
                <w:szCs w:val="21"/>
              </w:rPr>
            </w:pPr>
            <w:r>
              <w:rPr>
                <w:rFonts w:ascii="Times New Roman" w:hAnsi="Times New Roman" w:cs="Times New Roman"/>
                <w:color w:val="auto"/>
                <w:szCs w:val="21"/>
              </w:rPr>
              <w:t>本项目排放量（固体废物产生量）④</w:t>
            </w:r>
          </w:p>
        </w:tc>
        <w:tc>
          <w:tcPr>
            <w:tcW w:w="1638" w:type="dxa"/>
            <w:vAlign w:val="center"/>
          </w:tcPr>
          <w:p w14:paraId="7A67DBB0">
            <w:pPr>
              <w:jc w:val="center"/>
              <w:rPr>
                <w:rFonts w:ascii="Times New Roman" w:hAnsi="Times New Roman" w:cs="Times New Roman"/>
                <w:color w:val="auto"/>
                <w:szCs w:val="21"/>
              </w:rPr>
            </w:pPr>
            <w:r>
              <w:rPr>
                <w:rFonts w:ascii="Times New Roman" w:hAnsi="Times New Roman" w:cs="Times New Roman"/>
                <w:color w:val="auto"/>
                <w:szCs w:val="21"/>
              </w:rPr>
              <w:t>以新带老消减量（新建项目不填）⑤</w:t>
            </w:r>
          </w:p>
        </w:tc>
        <w:tc>
          <w:tcPr>
            <w:tcW w:w="1638" w:type="dxa"/>
            <w:vAlign w:val="center"/>
          </w:tcPr>
          <w:p w14:paraId="462B93BF">
            <w:pPr>
              <w:jc w:val="center"/>
              <w:rPr>
                <w:rFonts w:ascii="Times New Roman" w:hAnsi="Times New Roman" w:cs="Times New Roman"/>
                <w:color w:val="auto"/>
                <w:szCs w:val="21"/>
              </w:rPr>
            </w:pPr>
            <w:r>
              <w:rPr>
                <w:rFonts w:ascii="Times New Roman" w:hAnsi="Times New Roman" w:cs="Times New Roman"/>
                <w:color w:val="auto"/>
                <w:szCs w:val="21"/>
              </w:rPr>
              <w:t>本项目建成后全厂排放量（固体废物产生量）⑥</w:t>
            </w:r>
          </w:p>
        </w:tc>
        <w:tc>
          <w:tcPr>
            <w:tcW w:w="1638" w:type="dxa"/>
            <w:vAlign w:val="center"/>
          </w:tcPr>
          <w:p w14:paraId="1F8FEA51">
            <w:pPr>
              <w:jc w:val="center"/>
              <w:rPr>
                <w:rFonts w:ascii="Times New Roman" w:hAnsi="Times New Roman" w:cs="Times New Roman"/>
                <w:color w:val="auto"/>
                <w:szCs w:val="21"/>
              </w:rPr>
            </w:pPr>
            <w:r>
              <w:rPr>
                <w:rFonts w:ascii="Times New Roman" w:hAnsi="Times New Roman" w:cs="Times New Roman"/>
                <w:color w:val="auto"/>
                <w:szCs w:val="21"/>
              </w:rPr>
              <w:t>变化量⑦</w:t>
            </w:r>
          </w:p>
        </w:tc>
      </w:tr>
      <w:tr w14:paraId="405CF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restart"/>
            <w:vAlign w:val="center"/>
          </w:tcPr>
          <w:p w14:paraId="0414DF04">
            <w:pPr>
              <w:jc w:val="center"/>
              <w:rPr>
                <w:rFonts w:ascii="Times New Roman" w:hAnsi="Times New Roman" w:cs="Times New Roman"/>
                <w:color w:val="auto"/>
                <w:szCs w:val="21"/>
              </w:rPr>
            </w:pPr>
            <w:r>
              <w:rPr>
                <w:rFonts w:ascii="Times New Roman" w:hAnsi="Times New Roman" w:cs="Times New Roman"/>
                <w:color w:val="auto"/>
                <w:szCs w:val="21"/>
              </w:rPr>
              <w:t>废气</w:t>
            </w:r>
          </w:p>
        </w:tc>
        <w:tc>
          <w:tcPr>
            <w:tcW w:w="1638" w:type="dxa"/>
            <w:vAlign w:val="center"/>
          </w:tcPr>
          <w:p w14:paraId="127AD34C">
            <w:pPr>
              <w:pStyle w:val="34"/>
              <w:jc w:val="center"/>
              <w:rPr>
                <w:color w:val="auto"/>
                <w:sz w:val="21"/>
                <w:szCs w:val="21"/>
              </w:rPr>
            </w:pPr>
            <w:r>
              <w:rPr>
                <w:rFonts w:hint="eastAsia"/>
                <w:color w:val="auto"/>
                <w:sz w:val="21"/>
                <w:szCs w:val="21"/>
              </w:rPr>
              <w:t>二氧化硫</w:t>
            </w:r>
          </w:p>
        </w:tc>
        <w:tc>
          <w:tcPr>
            <w:tcW w:w="1638" w:type="dxa"/>
            <w:vAlign w:val="center"/>
          </w:tcPr>
          <w:p w14:paraId="1588AD7F">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638" w:type="dxa"/>
            <w:vAlign w:val="center"/>
          </w:tcPr>
          <w:p w14:paraId="295A90E2">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0.047</w:t>
            </w:r>
          </w:p>
        </w:tc>
        <w:tc>
          <w:tcPr>
            <w:tcW w:w="1637" w:type="dxa"/>
            <w:vAlign w:val="center"/>
          </w:tcPr>
          <w:p w14:paraId="7CDA998F">
            <w:pPr>
              <w:jc w:val="center"/>
              <w:rPr>
                <w:rFonts w:hint="eastAsia" w:ascii="Times New Roman" w:hAnsi="Times New Roman" w:cs="Times New Roman" w:eastAsiaTheme="minorEastAsia"/>
                <w:color w:val="auto"/>
                <w:sz w:val="21"/>
                <w:szCs w:val="21"/>
                <w:lang w:val="en-US" w:eastAsia="zh-CN"/>
              </w:rPr>
            </w:pPr>
          </w:p>
        </w:tc>
        <w:tc>
          <w:tcPr>
            <w:tcW w:w="1638" w:type="dxa"/>
            <w:vAlign w:val="center"/>
          </w:tcPr>
          <w:p w14:paraId="69DBE76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0.000032585</w:t>
            </w:r>
          </w:p>
        </w:tc>
        <w:tc>
          <w:tcPr>
            <w:tcW w:w="1638" w:type="dxa"/>
            <w:vAlign w:val="center"/>
          </w:tcPr>
          <w:p w14:paraId="447008F1">
            <w:pPr>
              <w:jc w:val="center"/>
              <w:rPr>
                <w:rFonts w:ascii="Times New Roman" w:hAnsi="Times New Roman" w:cs="Times New Roman"/>
                <w:color w:val="auto"/>
                <w:szCs w:val="21"/>
              </w:rPr>
            </w:pPr>
          </w:p>
        </w:tc>
        <w:tc>
          <w:tcPr>
            <w:tcW w:w="1638" w:type="dxa"/>
            <w:vAlign w:val="center"/>
          </w:tcPr>
          <w:p w14:paraId="65BD6877">
            <w:pPr>
              <w:jc w:val="center"/>
              <w:rPr>
                <w:rFonts w:ascii="Times New Roman" w:hAnsi="Times New Roman" w:cs="Times New Roman"/>
                <w:color w:val="auto"/>
                <w:szCs w:val="21"/>
              </w:rPr>
            </w:pPr>
            <w:r>
              <w:rPr>
                <w:rFonts w:hint="default" w:ascii="Times New Roman" w:hAnsi="Times New Roman" w:cs="Times New Roman"/>
                <w:color w:val="auto"/>
                <w:sz w:val="21"/>
                <w:szCs w:val="21"/>
                <w:lang w:val="en-US" w:eastAsia="zh-CN"/>
              </w:rPr>
              <w:t>0.000032585</w:t>
            </w:r>
          </w:p>
        </w:tc>
        <w:tc>
          <w:tcPr>
            <w:tcW w:w="1638" w:type="dxa"/>
            <w:vAlign w:val="center"/>
          </w:tcPr>
          <w:p w14:paraId="5CD0AADD">
            <w:pPr>
              <w:jc w:val="center"/>
              <w:rPr>
                <w:rFonts w:ascii="Times New Roman" w:hAnsi="Times New Roman" w:cs="Times New Roman"/>
                <w:color w:val="auto"/>
                <w:szCs w:val="21"/>
              </w:rPr>
            </w:pPr>
          </w:p>
        </w:tc>
      </w:tr>
      <w:tr w14:paraId="010DF3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5C6D3D8E">
            <w:pPr>
              <w:jc w:val="center"/>
              <w:rPr>
                <w:rFonts w:ascii="Times New Roman" w:hAnsi="Times New Roman" w:cs="Times New Roman"/>
                <w:color w:val="auto"/>
                <w:szCs w:val="21"/>
              </w:rPr>
            </w:pPr>
          </w:p>
        </w:tc>
        <w:tc>
          <w:tcPr>
            <w:tcW w:w="1638" w:type="dxa"/>
            <w:vAlign w:val="center"/>
          </w:tcPr>
          <w:p w14:paraId="661DE372">
            <w:pPr>
              <w:pStyle w:val="34"/>
              <w:jc w:val="center"/>
              <w:rPr>
                <w:color w:val="auto"/>
                <w:sz w:val="21"/>
                <w:szCs w:val="21"/>
              </w:rPr>
            </w:pPr>
            <w:r>
              <w:rPr>
                <w:rFonts w:hint="eastAsia"/>
                <w:color w:val="auto"/>
                <w:sz w:val="21"/>
                <w:szCs w:val="21"/>
              </w:rPr>
              <w:t>氮氧化物</w:t>
            </w:r>
          </w:p>
        </w:tc>
        <w:tc>
          <w:tcPr>
            <w:tcW w:w="1638" w:type="dxa"/>
            <w:vAlign w:val="center"/>
          </w:tcPr>
          <w:p w14:paraId="442ABAFA">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638" w:type="dxa"/>
            <w:vAlign w:val="center"/>
          </w:tcPr>
          <w:p w14:paraId="14EE633B">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0.294</w:t>
            </w:r>
          </w:p>
        </w:tc>
        <w:tc>
          <w:tcPr>
            <w:tcW w:w="1637" w:type="dxa"/>
            <w:vAlign w:val="center"/>
          </w:tcPr>
          <w:p w14:paraId="745955F4">
            <w:pPr>
              <w:jc w:val="center"/>
              <w:rPr>
                <w:rFonts w:hint="eastAsia" w:ascii="Times New Roman" w:hAnsi="Times New Roman" w:cs="Times New Roman" w:eastAsiaTheme="minorEastAsia"/>
                <w:color w:val="auto"/>
                <w:sz w:val="21"/>
                <w:szCs w:val="21"/>
                <w:lang w:val="en-US" w:eastAsia="zh-CN"/>
              </w:rPr>
            </w:pPr>
          </w:p>
        </w:tc>
        <w:tc>
          <w:tcPr>
            <w:tcW w:w="1638" w:type="dxa"/>
            <w:vAlign w:val="center"/>
          </w:tcPr>
          <w:p w14:paraId="5B2D79E7">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0.0002831</w:t>
            </w:r>
          </w:p>
        </w:tc>
        <w:tc>
          <w:tcPr>
            <w:tcW w:w="1638" w:type="dxa"/>
            <w:vAlign w:val="center"/>
          </w:tcPr>
          <w:p w14:paraId="40601395">
            <w:pPr>
              <w:jc w:val="center"/>
              <w:rPr>
                <w:rFonts w:ascii="Times New Roman" w:hAnsi="Times New Roman" w:cs="Times New Roman"/>
                <w:color w:val="auto"/>
                <w:szCs w:val="21"/>
              </w:rPr>
            </w:pPr>
          </w:p>
        </w:tc>
        <w:tc>
          <w:tcPr>
            <w:tcW w:w="1638" w:type="dxa"/>
            <w:vAlign w:val="center"/>
          </w:tcPr>
          <w:p w14:paraId="6803EE47">
            <w:pPr>
              <w:jc w:val="center"/>
              <w:rPr>
                <w:rFonts w:ascii="Times New Roman" w:hAnsi="Times New Roman" w:cs="Times New Roman"/>
                <w:color w:val="auto"/>
                <w:szCs w:val="21"/>
              </w:rPr>
            </w:pPr>
            <w:r>
              <w:rPr>
                <w:rFonts w:hint="default" w:ascii="Times New Roman" w:hAnsi="Times New Roman" w:cs="Times New Roman"/>
                <w:color w:val="auto"/>
                <w:sz w:val="21"/>
                <w:szCs w:val="21"/>
                <w:lang w:val="en-US" w:eastAsia="zh-CN"/>
              </w:rPr>
              <w:t>0.0002831</w:t>
            </w:r>
          </w:p>
        </w:tc>
        <w:tc>
          <w:tcPr>
            <w:tcW w:w="1638" w:type="dxa"/>
            <w:vAlign w:val="center"/>
          </w:tcPr>
          <w:p w14:paraId="6AF4A094">
            <w:pPr>
              <w:jc w:val="center"/>
              <w:rPr>
                <w:rFonts w:ascii="Times New Roman" w:hAnsi="Times New Roman" w:cs="Times New Roman"/>
                <w:color w:val="auto"/>
                <w:szCs w:val="21"/>
              </w:rPr>
            </w:pPr>
          </w:p>
        </w:tc>
      </w:tr>
      <w:tr w14:paraId="676B68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350AA25B">
            <w:pPr>
              <w:jc w:val="center"/>
              <w:rPr>
                <w:rFonts w:ascii="Times New Roman" w:hAnsi="Times New Roman" w:cs="Times New Roman"/>
                <w:color w:val="auto"/>
                <w:szCs w:val="21"/>
              </w:rPr>
            </w:pPr>
          </w:p>
        </w:tc>
        <w:tc>
          <w:tcPr>
            <w:tcW w:w="1638" w:type="dxa"/>
            <w:vAlign w:val="center"/>
          </w:tcPr>
          <w:p w14:paraId="36FB812A">
            <w:pPr>
              <w:pStyle w:val="34"/>
              <w:jc w:val="center"/>
              <w:rPr>
                <w:color w:val="auto"/>
                <w:sz w:val="21"/>
                <w:szCs w:val="21"/>
              </w:rPr>
            </w:pPr>
            <w:r>
              <w:rPr>
                <w:rFonts w:hint="eastAsia"/>
                <w:color w:val="auto"/>
                <w:sz w:val="21"/>
                <w:szCs w:val="21"/>
              </w:rPr>
              <w:t>颗粒物</w:t>
            </w:r>
          </w:p>
        </w:tc>
        <w:tc>
          <w:tcPr>
            <w:tcW w:w="1638" w:type="dxa"/>
            <w:vAlign w:val="center"/>
          </w:tcPr>
          <w:p w14:paraId="5601827D">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1.39</w:t>
            </w:r>
          </w:p>
        </w:tc>
        <w:tc>
          <w:tcPr>
            <w:tcW w:w="1638" w:type="dxa"/>
            <w:vAlign w:val="center"/>
          </w:tcPr>
          <w:p w14:paraId="09F7A92D">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9.22</w:t>
            </w:r>
          </w:p>
        </w:tc>
        <w:tc>
          <w:tcPr>
            <w:tcW w:w="1637" w:type="dxa"/>
            <w:vAlign w:val="center"/>
          </w:tcPr>
          <w:p w14:paraId="2D8B4469">
            <w:pPr>
              <w:jc w:val="center"/>
              <w:rPr>
                <w:rFonts w:hint="eastAsia" w:ascii="Times New Roman" w:hAnsi="Times New Roman" w:cs="Times New Roman" w:eastAsiaTheme="minorEastAsia"/>
                <w:color w:val="auto"/>
                <w:sz w:val="21"/>
                <w:szCs w:val="21"/>
                <w:lang w:val="en-US" w:eastAsia="zh-CN"/>
              </w:rPr>
            </w:pPr>
          </w:p>
        </w:tc>
        <w:tc>
          <w:tcPr>
            <w:tcW w:w="1638" w:type="dxa"/>
            <w:vAlign w:val="center"/>
          </w:tcPr>
          <w:p w14:paraId="5B63C653">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0.0012825</w:t>
            </w:r>
          </w:p>
        </w:tc>
        <w:tc>
          <w:tcPr>
            <w:tcW w:w="1638" w:type="dxa"/>
            <w:vAlign w:val="center"/>
          </w:tcPr>
          <w:p w14:paraId="338AAABD">
            <w:pPr>
              <w:jc w:val="center"/>
              <w:rPr>
                <w:rFonts w:ascii="Times New Roman" w:hAnsi="Times New Roman" w:cs="Times New Roman"/>
                <w:color w:val="auto"/>
                <w:szCs w:val="21"/>
              </w:rPr>
            </w:pPr>
          </w:p>
        </w:tc>
        <w:tc>
          <w:tcPr>
            <w:tcW w:w="1638" w:type="dxa"/>
            <w:vAlign w:val="center"/>
          </w:tcPr>
          <w:p w14:paraId="56E6AE53">
            <w:pPr>
              <w:jc w:val="center"/>
              <w:rPr>
                <w:rFonts w:hint="default" w:ascii="Times New Roman" w:hAnsi="Times New Roman" w:cs="Times New Roman"/>
                <w:color w:val="auto"/>
                <w:szCs w:val="21"/>
                <w:lang w:val="en-US"/>
              </w:rPr>
            </w:pPr>
            <w:r>
              <w:rPr>
                <w:rFonts w:hint="eastAsia" w:ascii="Times New Roman" w:hAnsi="Times New Roman" w:cs="Times New Roman"/>
                <w:color w:val="auto"/>
                <w:sz w:val="21"/>
                <w:szCs w:val="21"/>
                <w:lang w:val="en-US" w:eastAsia="zh-CN"/>
              </w:rPr>
              <w:t>1.3912825</w:t>
            </w:r>
          </w:p>
        </w:tc>
        <w:tc>
          <w:tcPr>
            <w:tcW w:w="1638" w:type="dxa"/>
            <w:vAlign w:val="center"/>
          </w:tcPr>
          <w:p w14:paraId="4E764B8C">
            <w:pPr>
              <w:jc w:val="center"/>
              <w:rPr>
                <w:rFonts w:ascii="Times New Roman" w:hAnsi="Times New Roman" w:cs="Times New Roman"/>
                <w:color w:val="auto"/>
                <w:szCs w:val="21"/>
              </w:rPr>
            </w:pPr>
          </w:p>
        </w:tc>
      </w:tr>
      <w:tr w14:paraId="09FB1E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760424FF">
            <w:pPr>
              <w:jc w:val="center"/>
              <w:rPr>
                <w:rFonts w:ascii="Times New Roman" w:hAnsi="Times New Roman" w:cs="Times New Roman"/>
                <w:color w:val="auto"/>
                <w:szCs w:val="21"/>
              </w:rPr>
            </w:pPr>
          </w:p>
        </w:tc>
        <w:tc>
          <w:tcPr>
            <w:tcW w:w="1638" w:type="dxa"/>
            <w:vAlign w:val="center"/>
          </w:tcPr>
          <w:p w14:paraId="4DC413E4">
            <w:pPr>
              <w:pStyle w:val="34"/>
              <w:jc w:val="center"/>
              <w:rPr>
                <w:color w:val="auto"/>
                <w:sz w:val="21"/>
                <w:szCs w:val="21"/>
              </w:rPr>
            </w:pPr>
            <w:r>
              <w:rPr>
                <w:rFonts w:hint="eastAsia"/>
                <w:color w:val="auto"/>
                <w:sz w:val="21"/>
                <w:szCs w:val="21"/>
              </w:rPr>
              <w:t>非甲烷总烃</w:t>
            </w:r>
          </w:p>
        </w:tc>
        <w:tc>
          <w:tcPr>
            <w:tcW w:w="1638" w:type="dxa"/>
            <w:vAlign w:val="center"/>
          </w:tcPr>
          <w:p w14:paraId="6912096B">
            <w:pPr>
              <w:pStyle w:val="34"/>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0.836</w:t>
            </w:r>
          </w:p>
        </w:tc>
        <w:tc>
          <w:tcPr>
            <w:tcW w:w="1638" w:type="dxa"/>
            <w:vAlign w:val="center"/>
          </w:tcPr>
          <w:p w14:paraId="33967814">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14.845</w:t>
            </w:r>
          </w:p>
        </w:tc>
        <w:tc>
          <w:tcPr>
            <w:tcW w:w="1637" w:type="dxa"/>
            <w:vAlign w:val="center"/>
          </w:tcPr>
          <w:p w14:paraId="36AD16EE">
            <w:pPr>
              <w:pStyle w:val="34"/>
              <w:jc w:val="center"/>
              <w:rPr>
                <w:rFonts w:hint="default" w:ascii="Times New Roman" w:hAnsi="Times New Roman" w:cs="Times New Roman"/>
                <w:color w:val="auto"/>
                <w:sz w:val="21"/>
                <w:szCs w:val="21"/>
              </w:rPr>
            </w:pPr>
          </w:p>
        </w:tc>
        <w:tc>
          <w:tcPr>
            <w:tcW w:w="1638" w:type="dxa"/>
            <w:vAlign w:val="center"/>
          </w:tcPr>
          <w:p w14:paraId="38FBB619">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0.00096615</w:t>
            </w:r>
          </w:p>
        </w:tc>
        <w:tc>
          <w:tcPr>
            <w:tcW w:w="1638" w:type="dxa"/>
            <w:vAlign w:val="center"/>
          </w:tcPr>
          <w:p w14:paraId="5FFDEEBA">
            <w:pPr>
              <w:jc w:val="center"/>
              <w:rPr>
                <w:rFonts w:ascii="Times New Roman" w:hAnsi="Times New Roman" w:cs="Times New Roman"/>
                <w:color w:val="auto"/>
                <w:szCs w:val="21"/>
              </w:rPr>
            </w:pPr>
          </w:p>
        </w:tc>
        <w:tc>
          <w:tcPr>
            <w:tcW w:w="1638" w:type="dxa"/>
            <w:vAlign w:val="center"/>
          </w:tcPr>
          <w:p w14:paraId="5F494ADE">
            <w:pPr>
              <w:jc w:val="center"/>
              <w:rPr>
                <w:rFonts w:hint="default" w:ascii="Times New Roman" w:hAnsi="Times New Roman" w:cs="Times New Roman"/>
                <w:color w:val="auto"/>
                <w:szCs w:val="21"/>
                <w:lang w:val="en-US"/>
              </w:rPr>
            </w:pPr>
            <w:r>
              <w:rPr>
                <w:rFonts w:hint="default" w:ascii="Times New Roman" w:hAnsi="Times New Roman" w:cs="Times New Roman"/>
                <w:color w:val="auto"/>
                <w:sz w:val="21"/>
                <w:szCs w:val="21"/>
                <w:lang w:val="en-US" w:eastAsia="zh-CN"/>
              </w:rPr>
              <w:t>0.</w:t>
            </w:r>
            <w:r>
              <w:rPr>
                <w:rFonts w:hint="eastAsia" w:ascii="Times New Roman" w:hAnsi="Times New Roman" w:cs="Times New Roman"/>
                <w:color w:val="auto"/>
                <w:sz w:val="21"/>
                <w:szCs w:val="21"/>
                <w:lang w:val="en-US" w:eastAsia="zh-CN"/>
              </w:rPr>
              <w:t>83696615</w:t>
            </w:r>
          </w:p>
        </w:tc>
        <w:tc>
          <w:tcPr>
            <w:tcW w:w="1638" w:type="dxa"/>
            <w:vAlign w:val="center"/>
          </w:tcPr>
          <w:p w14:paraId="439E93CB">
            <w:pPr>
              <w:jc w:val="center"/>
              <w:rPr>
                <w:rFonts w:ascii="Times New Roman" w:hAnsi="Times New Roman" w:cs="Times New Roman"/>
                <w:color w:val="auto"/>
                <w:szCs w:val="21"/>
              </w:rPr>
            </w:pPr>
          </w:p>
        </w:tc>
      </w:tr>
      <w:tr w14:paraId="5DBF1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restart"/>
            <w:vAlign w:val="center"/>
          </w:tcPr>
          <w:p w14:paraId="21689E54">
            <w:pPr>
              <w:jc w:val="center"/>
              <w:rPr>
                <w:rFonts w:ascii="Times New Roman" w:hAnsi="Times New Roman" w:cs="Times New Roman"/>
                <w:color w:val="auto"/>
                <w:szCs w:val="21"/>
              </w:rPr>
            </w:pPr>
            <w:r>
              <w:rPr>
                <w:rFonts w:ascii="Times New Roman" w:hAnsi="Times New Roman" w:cs="Times New Roman"/>
                <w:color w:val="auto"/>
                <w:szCs w:val="21"/>
              </w:rPr>
              <w:t>废水</w:t>
            </w:r>
          </w:p>
        </w:tc>
        <w:tc>
          <w:tcPr>
            <w:tcW w:w="1638" w:type="dxa"/>
            <w:vAlign w:val="center"/>
          </w:tcPr>
          <w:p w14:paraId="013BDE69">
            <w:pPr>
              <w:pStyle w:val="34"/>
              <w:jc w:val="center"/>
              <w:rPr>
                <w:color w:val="auto"/>
                <w:sz w:val="21"/>
                <w:szCs w:val="21"/>
              </w:rPr>
            </w:pPr>
            <w:r>
              <w:rPr>
                <w:color w:val="auto"/>
                <w:sz w:val="21"/>
                <w:szCs w:val="21"/>
              </w:rPr>
              <w:t>COD</w:t>
            </w:r>
          </w:p>
        </w:tc>
        <w:tc>
          <w:tcPr>
            <w:tcW w:w="1638" w:type="dxa"/>
            <w:vAlign w:val="center"/>
          </w:tcPr>
          <w:p w14:paraId="10F0D815">
            <w:pPr>
              <w:pStyle w:val="34"/>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1638" w:type="dxa"/>
            <w:vAlign w:val="center"/>
          </w:tcPr>
          <w:p w14:paraId="78A7E98A">
            <w:pPr>
              <w:jc w:val="center"/>
              <w:rPr>
                <w:rFonts w:hint="default" w:ascii="Times New Roman" w:hAnsi="Times New Roman" w:cs="Times New Roman"/>
                <w:color w:val="auto"/>
                <w:sz w:val="21"/>
                <w:szCs w:val="21"/>
              </w:rPr>
            </w:pPr>
          </w:p>
        </w:tc>
        <w:tc>
          <w:tcPr>
            <w:tcW w:w="1637" w:type="dxa"/>
            <w:vAlign w:val="center"/>
          </w:tcPr>
          <w:p w14:paraId="160B3648">
            <w:pPr>
              <w:jc w:val="center"/>
              <w:rPr>
                <w:rFonts w:hint="default" w:ascii="Times New Roman" w:hAnsi="Times New Roman" w:cs="Times New Roman"/>
                <w:color w:val="auto"/>
                <w:sz w:val="21"/>
                <w:szCs w:val="21"/>
              </w:rPr>
            </w:pPr>
          </w:p>
        </w:tc>
        <w:tc>
          <w:tcPr>
            <w:tcW w:w="1638" w:type="dxa"/>
            <w:vAlign w:val="center"/>
          </w:tcPr>
          <w:p w14:paraId="3C4DD656">
            <w:pPr>
              <w:jc w:val="center"/>
              <w:rPr>
                <w:rFonts w:hint="default" w:ascii="Times New Roman" w:hAnsi="Times New Roman" w:cs="Times New Roman" w:eastAsiaTheme="minorEastAsia"/>
                <w:color w:val="auto"/>
                <w:sz w:val="21"/>
                <w:szCs w:val="21"/>
                <w:lang w:val="en-US" w:eastAsia="zh-CN"/>
              </w:rPr>
            </w:pPr>
            <w:r>
              <w:rPr>
                <w:rFonts w:hint="eastAsia"/>
                <w:color w:val="auto"/>
                <w:sz w:val="21"/>
                <w:szCs w:val="21"/>
                <w:lang w:val="en-US" w:eastAsia="zh-CN"/>
              </w:rPr>
              <w:t>0.0252</w:t>
            </w:r>
          </w:p>
        </w:tc>
        <w:tc>
          <w:tcPr>
            <w:tcW w:w="1638" w:type="dxa"/>
            <w:vAlign w:val="center"/>
          </w:tcPr>
          <w:p w14:paraId="1B26E75F">
            <w:pPr>
              <w:jc w:val="center"/>
              <w:rPr>
                <w:rFonts w:ascii="Times New Roman" w:hAnsi="Times New Roman" w:cs="Times New Roman"/>
                <w:color w:val="auto"/>
                <w:szCs w:val="21"/>
              </w:rPr>
            </w:pPr>
          </w:p>
        </w:tc>
        <w:tc>
          <w:tcPr>
            <w:tcW w:w="1638" w:type="dxa"/>
            <w:vAlign w:val="center"/>
          </w:tcPr>
          <w:p w14:paraId="053BC733">
            <w:pPr>
              <w:jc w:val="center"/>
              <w:rPr>
                <w:rFonts w:ascii="Times New Roman" w:hAnsi="Times New Roman" w:cs="Times New Roman"/>
                <w:color w:val="auto"/>
                <w:szCs w:val="21"/>
              </w:rPr>
            </w:pPr>
            <w:r>
              <w:rPr>
                <w:rFonts w:hint="eastAsia"/>
                <w:color w:val="auto"/>
                <w:sz w:val="21"/>
                <w:szCs w:val="21"/>
                <w:lang w:val="en-US" w:eastAsia="zh-CN"/>
              </w:rPr>
              <w:t>0.0214</w:t>
            </w:r>
          </w:p>
        </w:tc>
        <w:tc>
          <w:tcPr>
            <w:tcW w:w="1638" w:type="dxa"/>
            <w:vAlign w:val="center"/>
          </w:tcPr>
          <w:p w14:paraId="7835123E">
            <w:pPr>
              <w:jc w:val="center"/>
              <w:rPr>
                <w:rFonts w:ascii="Times New Roman" w:hAnsi="Times New Roman" w:cs="Times New Roman"/>
                <w:color w:val="auto"/>
                <w:szCs w:val="21"/>
              </w:rPr>
            </w:pPr>
          </w:p>
        </w:tc>
      </w:tr>
      <w:tr w14:paraId="1FAA25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506E950C">
            <w:pPr>
              <w:jc w:val="center"/>
              <w:rPr>
                <w:rFonts w:ascii="Times New Roman" w:hAnsi="Times New Roman" w:cs="Times New Roman"/>
                <w:color w:val="auto"/>
                <w:szCs w:val="21"/>
              </w:rPr>
            </w:pPr>
          </w:p>
        </w:tc>
        <w:tc>
          <w:tcPr>
            <w:tcW w:w="1638" w:type="dxa"/>
            <w:vAlign w:val="center"/>
          </w:tcPr>
          <w:p w14:paraId="5ACB703F">
            <w:pPr>
              <w:pStyle w:val="34"/>
              <w:jc w:val="center"/>
              <w:rPr>
                <w:color w:val="auto"/>
                <w:sz w:val="21"/>
                <w:szCs w:val="21"/>
              </w:rPr>
            </w:pPr>
            <w:r>
              <w:rPr>
                <w:color w:val="auto"/>
                <w:sz w:val="21"/>
                <w:szCs w:val="21"/>
              </w:rPr>
              <w:t>BOD</w:t>
            </w:r>
            <w:r>
              <w:rPr>
                <w:color w:val="auto"/>
                <w:sz w:val="21"/>
                <w:szCs w:val="21"/>
                <w:vertAlign w:val="subscript"/>
              </w:rPr>
              <w:t>5</w:t>
            </w:r>
          </w:p>
        </w:tc>
        <w:tc>
          <w:tcPr>
            <w:tcW w:w="1638" w:type="dxa"/>
            <w:vAlign w:val="center"/>
          </w:tcPr>
          <w:p w14:paraId="2E640187">
            <w:pPr>
              <w:pStyle w:val="34"/>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1638" w:type="dxa"/>
            <w:vAlign w:val="center"/>
          </w:tcPr>
          <w:p w14:paraId="7FAF6FA7">
            <w:pPr>
              <w:jc w:val="center"/>
              <w:rPr>
                <w:rFonts w:hint="default" w:ascii="Times New Roman" w:hAnsi="Times New Roman" w:cs="Times New Roman"/>
                <w:color w:val="auto"/>
                <w:sz w:val="21"/>
                <w:szCs w:val="21"/>
              </w:rPr>
            </w:pPr>
          </w:p>
        </w:tc>
        <w:tc>
          <w:tcPr>
            <w:tcW w:w="1637" w:type="dxa"/>
            <w:vAlign w:val="center"/>
          </w:tcPr>
          <w:p w14:paraId="25AA58A3">
            <w:pPr>
              <w:jc w:val="center"/>
              <w:rPr>
                <w:rFonts w:hint="default" w:ascii="Times New Roman" w:hAnsi="Times New Roman" w:cs="Times New Roman"/>
                <w:color w:val="auto"/>
                <w:sz w:val="21"/>
                <w:szCs w:val="21"/>
              </w:rPr>
            </w:pPr>
          </w:p>
        </w:tc>
        <w:tc>
          <w:tcPr>
            <w:tcW w:w="1638" w:type="dxa"/>
            <w:vAlign w:val="center"/>
          </w:tcPr>
          <w:p w14:paraId="3A7FB6A3">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0.1</w:t>
            </w:r>
            <w:r>
              <w:rPr>
                <w:rFonts w:hint="eastAsia" w:ascii="Times New Roman" w:hAnsi="Times New Roman" w:cs="Times New Roman"/>
                <w:color w:val="auto"/>
                <w:sz w:val="21"/>
                <w:szCs w:val="21"/>
                <w:lang w:val="en-US" w:eastAsia="zh-CN"/>
              </w:rPr>
              <w:t>26</w:t>
            </w:r>
          </w:p>
        </w:tc>
        <w:tc>
          <w:tcPr>
            <w:tcW w:w="1638" w:type="dxa"/>
            <w:vAlign w:val="center"/>
          </w:tcPr>
          <w:p w14:paraId="7497AB37">
            <w:pPr>
              <w:jc w:val="center"/>
              <w:rPr>
                <w:rFonts w:ascii="Times New Roman" w:hAnsi="Times New Roman" w:cs="Times New Roman"/>
                <w:color w:val="auto"/>
                <w:szCs w:val="21"/>
              </w:rPr>
            </w:pPr>
          </w:p>
        </w:tc>
        <w:tc>
          <w:tcPr>
            <w:tcW w:w="1638" w:type="dxa"/>
            <w:vAlign w:val="center"/>
          </w:tcPr>
          <w:p w14:paraId="66D3DEDB">
            <w:pPr>
              <w:jc w:val="center"/>
              <w:rPr>
                <w:rFonts w:ascii="Times New Roman" w:hAnsi="Times New Roman" w:cs="Times New Roman"/>
                <w:color w:val="auto"/>
                <w:szCs w:val="21"/>
              </w:rPr>
            </w:pPr>
            <w:r>
              <w:rPr>
                <w:rFonts w:hint="eastAsia"/>
                <w:color w:val="auto"/>
                <w:sz w:val="21"/>
                <w:szCs w:val="21"/>
                <w:lang w:val="en-US" w:eastAsia="zh-CN"/>
              </w:rPr>
              <w:t>0.00101</w:t>
            </w:r>
          </w:p>
        </w:tc>
        <w:tc>
          <w:tcPr>
            <w:tcW w:w="1638" w:type="dxa"/>
            <w:vAlign w:val="center"/>
          </w:tcPr>
          <w:p w14:paraId="4F4300AA">
            <w:pPr>
              <w:jc w:val="center"/>
              <w:rPr>
                <w:rFonts w:ascii="Times New Roman" w:hAnsi="Times New Roman" w:cs="Times New Roman"/>
                <w:color w:val="auto"/>
                <w:szCs w:val="21"/>
              </w:rPr>
            </w:pPr>
          </w:p>
        </w:tc>
      </w:tr>
      <w:tr w14:paraId="7DE621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6F3F358A">
            <w:pPr>
              <w:jc w:val="center"/>
              <w:rPr>
                <w:rFonts w:ascii="Times New Roman" w:hAnsi="Times New Roman" w:cs="Times New Roman"/>
                <w:color w:val="auto"/>
                <w:szCs w:val="21"/>
              </w:rPr>
            </w:pPr>
          </w:p>
        </w:tc>
        <w:tc>
          <w:tcPr>
            <w:tcW w:w="1638" w:type="dxa"/>
            <w:vAlign w:val="center"/>
          </w:tcPr>
          <w:p w14:paraId="54AA393F">
            <w:pPr>
              <w:pStyle w:val="34"/>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1638" w:type="dxa"/>
            <w:vAlign w:val="center"/>
          </w:tcPr>
          <w:p w14:paraId="54EB33C6">
            <w:pPr>
              <w:pStyle w:val="34"/>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1638" w:type="dxa"/>
            <w:vAlign w:val="center"/>
          </w:tcPr>
          <w:p w14:paraId="78080A2E">
            <w:pPr>
              <w:jc w:val="center"/>
              <w:rPr>
                <w:rFonts w:hint="default" w:ascii="Times New Roman" w:hAnsi="Times New Roman" w:cs="Times New Roman"/>
                <w:color w:val="auto"/>
                <w:sz w:val="21"/>
                <w:szCs w:val="21"/>
              </w:rPr>
            </w:pPr>
          </w:p>
        </w:tc>
        <w:tc>
          <w:tcPr>
            <w:tcW w:w="1637" w:type="dxa"/>
            <w:vAlign w:val="center"/>
          </w:tcPr>
          <w:p w14:paraId="0DE893FB">
            <w:pPr>
              <w:jc w:val="center"/>
              <w:rPr>
                <w:rFonts w:hint="default" w:ascii="Times New Roman" w:hAnsi="Times New Roman" w:cs="Times New Roman"/>
                <w:color w:val="auto"/>
                <w:sz w:val="21"/>
                <w:szCs w:val="21"/>
              </w:rPr>
            </w:pPr>
          </w:p>
        </w:tc>
        <w:tc>
          <w:tcPr>
            <w:tcW w:w="1638" w:type="dxa"/>
            <w:vAlign w:val="center"/>
          </w:tcPr>
          <w:p w14:paraId="31AE4942">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0.0</w:t>
            </w:r>
            <w:r>
              <w:rPr>
                <w:rFonts w:hint="eastAsia" w:ascii="Times New Roman" w:hAnsi="Times New Roman" w:cs="Times New Roman"/>
                <w:color w:val="auto"/>
                <w:sz w:val="21"/>
                <w:szCs w:val="21"/>
                <w:lang w:val="en-US" w:eastAsia="zh-CN"/>
              </w:rPr>
              <w:t>025</w:t>
            </w:r>
          </w:p>
        </w:tc>
        <w:tc>
          <w:tcPr>
            <w:tcW w:w="1638" w:type="dxa"/>
            <w:vAlign w:val="center"/>
          </w:tcPr>
          <w:p w14:paraId="4A2BA3F7">
            <w:pPr>
              <w:jc w:val="center"/>
              <w:rPr>
                <w:rFonts w:ascii="Times New Roman" w:hAnsi="Times New Roman" w:cs="Times New Roman"/>
                <w:color w:val="auto"/>
                <w:szCs w:val="21"/>
              </w:rPr>
            </w:pPr>
          </w:p>
        </w:tc>
        <w:tc>
          <w:tcPr>
            <w:tcW w:w="1638" w:type="dxa"/>
            <w:vAlign w:val="center"/>
          </w:tcPr>
          <w:p w14:paraId="2A958F16">
            <w:pPr>
              <w:jc w:val="center"/>
              <w:rPr>
                <w:rFonts w:ascii="Times New Roman" w:hAnsi="Times New Roman" w:cs="Times New Roman"/>
                <w:color w:val="auto"/>
                <w:szCs w:val="21"/>
              </w:rPr>
            </w:pPr>
            <w:r>
              <w:rPr>
                <w:rFonts w:hint="eastAsia"/>
                <w:color w:val="auto"/>
                <w:sz w:val="21"/>
                <w:szCs w:val="21"/>
                <w:lang w:val="en-US" w:eastAsia="zh-CN"/>
              </w:rPr>
              <w:t>0.0024</w:t>
            </w:r>
          </w:p>
        </w:tc>
        <w:tc>
          <w:tcPr>
            <w:tcW w:w="1638" w:type="dxa"/>
            <w:vAlign w:val="center"/>
          </w:tcPr>
          <w:p w14:paraId="01671B49">
            <w:pPr>
              <w:jc w:val="center"/>
              <w:rPr>
                <w:rFonts w:ascii="Times New Roman" w:hAnsi="Times New Roman" w:cs="Times New Roman"/>
                <w:color w:val="auto"/>
                <w:szCs w:val="21"/>
              </w:rPr>
            </w:pPr>
          </w:p>
        </w:tc>
      </w:tr>
      <w:tr w14:paraId="4622EB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16044E37">
            <w:pPr>
              <w:jc w:val="center"/>
              <w:rPr>
                <w:rFonts w:ascii="Times New Roman" w:hAnsi="Times New Roman" w:cs="Times New Roman"/>
                <w:color w:val="auto"/>
                <w:szCs w:val="21"/>
              </w:rPr>
            </w:pPr>
          </w:p>
        </w:tc>
        <w:tc>
          <w:tcPr>
            <w:tcW w:w="1638" w:type="dxa"/>
            <w:vAlign w:val="center"/>
          </w:tcPr>
          <w:p w14:paraId="595D0D1F">
            <w:pPr>
              <w:pStyle w:val="34"/>
              <w:jc w:val="center"/>
              <w:rPr>
                <w:color w:val="auto"/>
                <w:sz w:val="21"/>
                <w:szCs w:val="21"/>
                <w:vertAlign w:val="subscript"/>
              </w:rPr>
            </w:pPr>
            <w:r>
              <w:rPr>
                <w:rFonts w:hint="eastAsia"/>
                <w:color w:val="auto"/>
                <w:sz w:val="21"/>
                <w:szCs w:val="21"/>
              </w:rPr>
              <w:t>SS</w:t>
            </w:r>
          </w:p>
        </w:tc>
        <w:tc>
          <w:tcPr>
            <w:tcW w:w="1638" w:type="dxa"/>
            <w:vAlign w:val="center"/>
          </w:tcPr>
          <w:p w14:paraId="6F05D496">
            <w:pPr>
              <w:pStyle w:val="34"/>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1638" w:type="dxa"/>
            <w:vAlign w:val="center"/>
          </w:tcPr>
          <w:p w14:paraId="3412C75F">
            <w:pPr>
              <w:jc w:val="center"/>
              <w:rPr>
                <w:rFonts w:hint="default" w:ascii="Times New Roman" w:hAnsi="Times New Roman" w:cs="Times New Roman"/>
                <w:color w:val="auto"/>
                <w:sz w:val="21"/>
                <w:szCs w:val="21"/>
              </w:rPr>
            </w:pPr>
          </w:p>
        </w:tc>
        <w:tc>
          <w:tcPr>
            <w:tcW w:w="1637" w:type="dxa"/>
            <w:vAlign w:val="center"/>
          </w:tcPr>
          <w:p w14:paraId="4899230B">
            <w:pPr>
              <w:jc w:val="center"/>
              <w:rPr>
                <w:rFonts w:hint="default" w:ascii="Times New Roman" w:hAnsi="Times New Roman" w:cs="Times New Roman"/>
                <w:color w:val="auto"/>
                <w:sz w:val="21"/>
                <w:szCs w:val="21"/>
              </w:rPr>
            </w:pPr>
          </w:p>
        </w:tc>
        <w:tc>
          <w:tcPr>
            <w:tcW w:w="1638" w:type="dxa"/>
            <w:vAlign w:val="center"/>
          </w:tcPr>
          <w:p w14:paraId="6AB88311">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0.</w:t>
            </w:r>
            <w:r>
              <w:rPr>
                <w:rFonts w:hint="eastAsia" w:ascii="Times New Roman" w:hAnsi="Times New Roman" w:cs="Times New Roman"/>
                <w:color w:val="auto"/>
                <w:sz w:val="21"/>
                <w:szCs w:val="21"/>
                <w:lang w:val="en-US" w:eastAsia="zh-CN"/>
              </w:rPr>
              <w:t>0168</w:t>
            </w:r>
          </w:p>
        </w:tc>
        <w:tc>
          <w:tcPr>
            <w:tcW w:w="1638" w:type="dxa"/>
            <w:vAlign w:val="center"/>
          </w:tcPr>
          <w:p w14:paraId="1FB039FE">
            <w:pPr>
              <w:jc w:val="center"/>
              <w:rPr>
                <w:rFonts w:ascii="Times New Roman" w:hAnsi="Times New Roman" w:cs="Times New Roman"/>
                <w:color w:val="auto"/>
                <w:szCs w:val="21"/>
              </w:rPr>
            </w:pPr>
          </w:p>
        </w:tc>
        <w:tc>
          <w:tcPr>
            <w:tcW w:w="1638" w:type="dxa"/>
            <w:vAlign w:val="center"/>
          </w:tcPr>
          <w:p w14:paraId="1C453A2A">
            <w:pPr>
              <w:jc w:val="center"/>
              <w:rPr>
                <w:rFonts w:ascii="Times New Roman" w:hAnsi="Times New Roman" w:cs="Times New Roman"/>
                <w:color w:val="auto"/>
                <w:szCs w:val="21"/>
              </w:rPr>
            </w:pPr>
            <w:r>
              <w:rPr>
                <w:rFonts w:hint="eastAsia"/>
                <w:color w:val="auto"/>
                <w:sz w:val="21"/>
                <w:szCs w:val="21"/>
                <w:lang w:val="en-US" w:eastAsia="zh-CN"/>
              </w:rPr>
              <w:t>0.0118</w:t>
            </w:r>
          </w:p>
        </w:tc>
        <w:tc>
          <w:tcPr>
            <w:tcW w:w="1638" w:type="dxa"/>
            <w:vAlign w:val="center"/>
          </w:tcPr>
          <w:p w14:paraId="611CEA89">
            <w:pPr>
              <w:jc w:val="center"/>
              <w:rPr>
                <w:rFonts w:ascii="Times New Roman" w:hAnsi="Times New Roman" w:cs="Times New Roman"/>
                <w:color w:val="auto"/>
                <w:szCs w:val="21"/>
              </w:rPr>
            </w:pPr>
          </w:p>
        </w:tc>
      </w:tr>
      <w:tr w14:paraId="638BC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restart"/>
            <w:vAlign w:val="center"/>
          </w:tcPr>
          <w:p w14:paraId="1DFB6922">
            <w:pPr>
              <w:jc w:val="center"/>
              <w:rPr>
                <w:rFonts w:ascii="Times New Roman" w:hAnsi="Times New Roman" w:cs="Times New Roman"/>
                <w:color w:val="auto"/>
                <w:szCs w:val="21"/>
              </w:rPr>
            </w:pPr>
            <w:r>
              <w:rPr>
                <w:rFonts w:ascii="Times New Roman" w:hAnsi="Times New Roman" w:cs="Times New Roman"/>
                <w:color w:val="auto"/>
                <w:szCs w:val="21"/>
              </w:rPr>
              <w:t>一般工业固体废物</w:t>
            </w:r>
          </w:p>
        </w:tc>
        <w:tc>
          <w:tcPr>
            <w:tcW w:w="1638" w:type="dxa"/>
            <w:vAlign w:val="center"/>
          </w:tcPr>
          <w:p w14:paraId="01BFF40E">
            <w:pPr>
              <w:pStyle w:val="43"/>
              <w:rPr>
                <w:rFonts w:hint="eastAsia" w:eastAsia="宋体" w:cs="Times New Roman"/>
                <w:color w:val="auto"/>
                <w:szCs w:val="21"/>
                <w:lang w:val="en-US" w:eastAsia="zh-CN"/>
              </w:rPr>
            </w:pPr>
            <w:r>
              <w:rPr>
                <w:rFonts w:hint="eastAsia" w:cs="Times New Roman"/>
                <w:color w:val="auto"/>
                <w:szCs w:val="21"/>
                <w:lang w:val="en-US" w:eastAsia="zh-CN"/>
              </w:rPr>
              <w:t>/</w:t>
            </w:r>
          </w:p>
        </w:tc>
        <w:tc>
          <w:tcPr>
            <w:tcW w:w="1638" w:type="dxa"/>
            <w:vAlign w:val="center"/>
          </w:tcPr>
          <w:p w14:paraId="4AEEEE05">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638" w:type="dxa"/>
            <w:vAlign w:val="center"/>
          </w:tcPr>
          <w:p w14:paraId="1D923D58">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637" w:type="dxa"/>
            <w:vAlign w:val="center"/>
          </w:tcPr>
          <w:p w14:paraId="0D3173CE">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638" w:type="dxa"/>
            <w:vAlign w:val="center"/>
          </w:tcPr>
          <w:p w14:paraId="47F5E448">
            <w:pPr>
              <w:pStyle w:val="34"/>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638" w:type="dxa"/>
            <w:vAlign w:val="center"/>
          </w:tcPr>
          <w:p w14:paraId="128105C5">
            <w:pPr>
              <w:jc w:val="center"/>
              <w:rPr>
                <w:rFonts w:ascii="Times New Roman" w:hAnsi="Times New Roman" w:cs="Times New Roman"/>
                <w:color w:val="auto"/>
                <w:szCs w:val="21"/>
              </w:rPr>
            </w:pPr>
          </w:p>
        </w:tc>
        <w:tc>
          <w:tcPr>
            <w:tcW w:w="1638" w:type="dxa"/>
            <w:vAlign w:val="center"/>
          </w:tcPr>
          <w:p w14:paraId="732E92DF">
            <w:pPr>
              <w:pStyle w:val="34"/>
              <w:jc w:val="center"/>
              <w:rPr>
                <w:rFonts w:hint="eastAsia" w:eastAsia="宋体"/>
                <w:color w:val="auto"/>
                <w:sz w:val="21"/>
                <w:szCs w:val="21"/>
                <w:lang w:val="en-US" w:eastAsia="zh-CN"/>
              </w:rPr>
            </w:pPr>
            <w:r>
              <w:rPr>
                <w:rFonts w:hint="eastAsia"/>
                <w:color w:val="auto"/>
                <w:sz w:val="21"/>
                <w:szCs w:val="21"/>
                <w:lang w:val="en-US" w:eastAsia="zh-CN"/>
              </w:rPr>
              <w:t>/</w:t>
            </w:r>
          </w:p>
        </w:tc>
        <w:tc>
          <w:tcPr>
            <w:tcW w:w="1638" w:type="dxa"/>
            <w:vAlign w:val="center"/>
          </w:tcPr>
          <w:p w14:paraId="315EDEF3">
            <w:pPr>
              <w:jc w:val="center"/>
              <w:rPr>
                <w:rFonts w:ascii="Times New Roman" w:hAnsi="Times New Roman" w:cs="Times New Roman"/>
                <w:color w:val="auto"/>
                <w:szCs w:val="21"/>
              </w:rPr>
            </w:pPr>
          </w:p>
        </w:tc>
      </w:tr>
      <w:tr w14:paraId="2610CA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42755A99">
            <w:pPr>
              <w:jc w:val="center"/>
              <w:rPr>
                <w:rFonts w:ascii="Times New Roman" w:hAnsi="Times New Roman" w:cs="Times New Roman"/>
                <w:color w:val="auto"/>
                <w:szCs w:val="21"/>
              </w:rPr>
            </w:pPr>
          </w:p>
        </w:tc>
        <w:tc>
          <w:tcPr>
            <w:tcW w:w="1638" w:type="dxa"/>
            <w:vAlign w:val="center"/>
          </w:tcPr>
          <w:p w14:paraId="6FF75C92">
            <w:pPr>
              <w:pStyle w:val="43"/>
              <w:rPr>
                <w:rFonts w:hint="default" w:eastAsia="宋体" w:cs="Times New Roman"/>
                <w:color w:val="auto"/>
                <w:szCs w:val="21"/>
                <w:lang w:val="en-US" w:eastAsia="zh-CN"/>
              </w:rPr>
            </w:pPr>
            <w:r>
              <w:rPr>
                <w:rFonts w:hint="eastAsia" w:cs="Times New Roman"/>
                <w:color w:val="auto"/>
                <w:szCs w:val="21"/>
                <w:lang w:val="en-US" w:eastAsia="zh-CN"/>
              </w:rPr>
              <w:t>/</w:t>
            </w:r>
          </w:p>
        </w:tc>
        <w:tc>
          <w:tcPr>
            <w:tcW w:w="1638" w:type="dxa"/>
            <w:vAlign w:val="center"/>
          </w:tcPr>
          <w:p w14:paraId="163B3C24">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638" w:type="dxa"/>
            <w:vAlign w:val="center"/>
          </w:tcPr>
          <w:p w14:paraId="61C5B019">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637" w:type="dxa"/>
            <w:vAlign w:val="center"/>
          </w:tcPr>
          <w:p w14:paraId="319BE378">
            <w:pPr>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638" w:type="dxa"/>
            <w:vAlign w:val="center"/>
          </w:tcPr>
          <w:p w14:paraId="6E7E9B61">
            <w:pPr>
              <w:pStyle w:val="34"/>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bookmarkStart w:id="0" w:name="_GoBack"/>
            <w:bookmarkEnd w:id="0"/>
          </w:p>
        </w:tc>
        <w:tc>
          <w:tcPr>
            <w:tcW w:w="1638" w:type="dxa"/>
            <w:vAlign w:val="center"/>
          </w:tcPr>
          <w:p w14:paraId="717C7090">
            <w:pPr>
              <w:jc w:val="center"/>
              <w:rPr>
                <w:rFonts w:ascii="Times New Roman" w:hAnsi="Times New Roman" w:cs="Times New Roman"/>
                <w:color w:val="auto"/>
                <w:szCs w:val="21"/>
              </w:rPr>
            </w:pPr>
          </w:p>
        </w:tc>
        <w:tc>
          <w:tcPr>
            <w:tcW w:w="1638" w:type="dxa"/>
            <w:vAlign w:val="center"/>
          </w:tcPr>
          <w:p w14:paraId="7DEB455A">
            <w:pPr>
              <w:pStyle w:val="34"/>
              <w:jc w:val="center"/>
              <w:rPr>
                <w:rFonts w:hint="eastAsia" w:eastAsia="宋体"/>
                <w:color w:val="auto"/>
                <w:sz w:val="21"/>
                <w:szCs w:val="21"/>
                <w:lang w:val="en-US" w:eastAsia="zh-CN"/>
              </w:rPr>
            </w:pPr>
            <w:r>
              <w:rPr>
                <w:rFonts w:hint="eastAsia"/>
                <w:color w:val="auto"/>
                <w:sz w:val="21"/>
                <w:szCs w:val="21"/>
                <w:lang w:val="en-US" w:eastAsia="zh-CN"/>
              </w:rPr>
              <w:t>/</w:t>
            </w:r>
          </w:p>
        </w:tc>
        <w:tc>
          <w:tcPr>
            <w:tcW w:w="1638" w:type="dxa"/>
            <w:vAlign w:val="center"/>
          </w:tcPr>
          <w:p w14:paraId="4A97B256">
            <w:pPr>
              <w:jc w:val="center"/>
              <w:rPr>
                <w:rFonts w:ascii="Times New Roman" w:hAnsi="Times New Roman" w:cs="Times New Roman"/>
                <w:color w:val="auto"/>
                <w:szCs w:val="21"/>
              </w:rPr>
            </w:pPr>
          </w:p>
        </w:tc>
      </w:tr>
      <w:tr w14:paraId="47A660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restart"/>
            <w:vAlign w:val="center"/>
          </w:tcPr>
          <w:p w14:paraId="54796EF3">
            <w:pPr>
              <w:jc w:val="center"/>
              <w:rPr>
                <w:rFonts w:ascii="Times New Roman" w:hAnsi="Times New Roman" w:cs="Times New Roman"/>
                <w:color w:val="auto"/>
                <w:szCs w:val="21"/>
              </w:rPr>
            </w:pPr>
            <w:r>
              <w:rPr>
                <w:rFonts w:ascii="Times New Roman" w:hAnsi="Times New Roman" w:cs="Times New Roman"/>
                <w:color w:val="auto"/>
                <w:szCs w:val="21"/>
              </w:rPr>
              <w:t>危险废物</w:t>
            </w:r>
          </w:p>
        </w:tc>
        <w:tc>
          <w:tcPr>
            <w:tcW w:w="1638" w:type="dxa"/>
            <w:vAlign w:val="center"/>
          </w:tcPr>
          <w:p w14:paraId="57839462">
            <w:pPr>
              <w:pStyle w:val="34"/>
              <w:jc w:val="center"/>
              <w:rPr>
                <w:color w:val="auto"/>
                <w:sz w:val="21"/>
                <w:szCs w:val="21"/>
              </w:rPr>
            </w:pPr>
            <w:r>
              <w:rPr>
                <w:color w:val="auto"/>
                <w:sz w:val="21"/>
                <w:szCs w:val="21"/>
              </w:rPr>
              <w:t>废活性炭</w:t>
            </w:r>
          </w:p>
        </w:tc>
        <w:tc>
          <w:tcPr>
            <w:tcW w:w="1638" w:type="dxa"/>
            <w:vAlign w:val="center"/>
          </w:tcPr>
          <w:p w14:paraId="72865D94">
            <w:pPr>
              <w:jc w:val="center"/>
              <w:rPr>
                <w:rFonts w:ascii="Times New Roman" w:hAnsi="Times New Roman" w:cs="Times New Roman"/>
                <w:color w:val="auto"/>
                <w:szCs w:val="21"/>
              </w:rPr>
            </w:pPr>
          </w:p>
        </w:tc>
        <w:tc>
          <w:tcPr>
            <w:tcW w:w="1638" w:type="dxa"/>
            <w:vAlign w:val="center"/>
          </w:tcPr>
          <w:p w14:paraId="5DA9268D">
            <w:pPr>
              <w:jc w:val="center"/>
              <w:rPr>
                <w:rFonts w:ascii="Times New Roman" w:hAnsi="Times New Roman" w:cs="Times New Roman"/>
                <w:color w:val="auto"/>
                <w:szCs w:val="21"/>
              </w:rPr>
            </w:pPr>
          </w:p>
        </w:tc>
        <w:tc>
          <w:tcPr>
            <w:tcW w:w="1637" w:type="dxa"/>
            <w:vAlign w:val="center"/>
          </w:tcPr>
          <w:p w14:paraId="616CB817">
            <w:pPr>
              <w:jc w:val="center"/>
              <w:rPr>
                <w:rFonts w:ascii="Times New Roman" w:hAnsi="Times New Roman" w:cs="Times New Roman"/>
                <w:color w:val="auto"/>
                <w:szCs w:val="21"/>
              </w:rPr>
            </w:pPr>
          </w:p>
        </w:tc>
        <w:tc>
          <w:tcPr>
            <w:tcW w:w="1638" w:type="dxa"/>
            <w:vAlign w:val="center"/>
          </w:tcPr>
          <w:p w14:paraId="7E63762B">
            <w:pPr>
              <w:pStyle w:val="34"/>
              <w:jc w:val="center"/>
              <w:rPr>
                <w:color w:val="auto"/>
                <w:sz w:val="21"/>
                <w:szCs w:val="21"/>
              </w:rPr>
            </w:pPr>
            <w:r>
              <w:rPr>
                <w:rFonts w:hint="eastAsia"/>
                <w:color w:val="auto"/>
                <w:sz w:val="21"/>
                <w:szCs w:val="21"/>
                <w:lang w:val="en-US" w:eastAsia="zh-CN"/>
              </w:rPr>
              <w:t>0.044</w:t>
            </w:r>
          </w:p>
        </w:tc>
        <w:tc>
          <w:tcPr>
            <w:tcW w:w="1638" w:type="dxa"/>
            <w:vAlign w:val="center"/>
          </w:tcPr>
          <w:p w14:paraId="7FB5FDDB">
            <w:pPr>
              <w:jc w:val="center"/>
              <w:rPr>
                <w:rFonts w:ascii="Times New Roman" w:hAnsi="Times New Roman" w:cs="Times New Roman"/>
                <w:color w:val="auto"/>
                <w:szCs w:val="21"/>
              </w:rPr>
            </w:pPr>
          </w:p>
        </w:tc>
        <w:tc>
          <w:tcPr>
            <w:tcW w:w="1638" w:type="dxa"/>
            <w:vAlign w:val="center"/>
          </w:tcPr>
          <w:p w14:paraId="2903B0A5">
            <w:pPr>
              <w:pStyle w:val="34"/>
              <w:jc w:val="center"/>
              <w:rPr>
                <w:color w:val="auto"/>
                <w:sz w:val="21"/>
                <w:szCs w:val="21"/>
              </w:rPr>
            </w:pPr>
            <w:r>
              <w:rPr>
                <w:rFonts w:hint="eastAsia"/>
                <w:color w:val="auto"/>
                <w:sz w:val="21"/>
                <w:szCs w:val="21"/>
                <w:lang w:val="en-US" w:eastAsia="zh-CN"/>
              </w:rPr>
              <w:t>0.044</w:t>
            </w:r>
          </w:p>
        </w:tc>
        <w:tc>
          <w:tcPr>
            <w:tcW w:w="1638" w:type="dxa"/>
            <w:vAlign w:val="center"/>
          </w:tcPr>
          <w:p w14:paraId="5973DC5B">
            <w:pPr>
              <w:pStyle w:val="34"/>
              <w:jc w:val="center"/>
              <w:rPr>
                <w:color w:val="auto"/>
                <w:sz w:val="21"/>
                <w:szCs w:val="21"/>
              </w:rPr>
            </w:pPr>
          </w:p>
        </w:tc>
      </w:tr>
      <w:tr w14:paraId="046615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191F587D">
            <w:pPr>
              <w:jc w:val="center"/>
              <w:rPr>
                <w:rFonts w:ascii="Times New Roman" w:hAnsi="Times New Roman" w:cs="Times New Roman"/>
                <w:color w:val="auto"/>
                <w:szCs w:val="21"/>
              </w:rPr>
            </w:pPr>
          </w:p>
        </w:tc>
        <w:tc>
          <w:tcPr>
            <w:tcW w:w="1638" w:type="dxa"/>
            <w:vAlign w:val="center"/>
          </w:tcPr>
          <w:p w14:paraId="39305CE7">
            <w:pPr>
              <w:pStyle w:val="34"/>
              <w:jc w:val="center"/>
              <w:rPr>
                <w:color w:val="auto"/>
                <w:sz w:val="21"/>
                <w:szCs w:val="21"/>
              </w:rPr>
            </w:pPr>
            <w:r>
              <w:rPr>
                <w:rFonts w:hint="eastAsia"/>
                <w:bCs/>
                <w:color w:val="auto"/>
                <w:sz w:val="21"/>
                <w:szCs w:val="21"/>
                <w:lang w:eastAsia="zh-CN"/>
              </w:rPr>
              <w:t>废药剂瓶</w:t>
            </w:r>
          </w:p>
        </w:tc>
        <w:tc>
          <w:tcPr>
            <w:tcW w:w="1638" w:type="dxa"/>
            <w:vAlign w:val="center"/>
          </w:tcPr>
          <w:p w14:paraId="3030E8B2">
            <w:pPr>
              <w:jc w:val="center"/>
              <w:rPr>
                <w:rFonts w:ascii="Times New Roman" w:hAnsi="Times New Roman" w:cs="Times New Roman"/>
                <w:color w:val="auto"/>
                <w:szCs w:val="21"/>
              </w:rPr>
            </w:pPr>
          </w:p>
        </w:tc>
        <w:tc>
          <w:tcPr>
            <w:tcW w:w="1638" w:type="dxa"/>
            <w:vAlign w:val="center"/>
          </w:tcPr>
          <w:p w14:paraId="1F711B76">
            <w:pPr>
              <w:jc w:val="center"/>
              <w:rPr>
                <w:rFonts w:ascii="Times New Roman" w:hAnsi="Times New Roman" w:cs="Times New Roman"/>
                <w:color w:val="auto"/>
                <w:szCs w:val="21"/>
              </w:rPr>
            </w:pPr>
          </w:p>
        </w:tc>
        <w:tc>
          <w:tcPr>
            <w:tcW w:w="1637" w:type="dxa"/>
            <w:vAlign w:val="center"/>
          </w:tcPr>
          <w:p w14:paraId="2D93CB53">
            <w:pPr>
              <w:jc w:val="center"/>
              <w:rPr>
                <w:rFonts w:ascii="Times New Roman" w:hAnsi="Times New Roman" w:cs="Times New Roman"/>
                <w:color w:val="auto"/>
                <w:szCs w:val="21"/>
              </w:rPr>
            </w:pPr>
          </w:p>
        </w:tc>
        <w:tc>
          <w:tcPr>
            <w:tcW w:w="1638" w:type="dxa"/>
            <w:vAlign w:val="center"/>
          </w:tcPr>
          <w:p w14:paraId="18466122">
            <w:pPr>
              <w:pStyle w:val="34"/>
              <w:jc w:val="center"/>
              <w:rPr>
                <w:color w:val="auto"/>
                <w:sz w:val="21"/>
                <w:szCs w:val="21"/>
              </w:rPr>
            </w:pPr>
            <w:r>
              <w:rPr>
                <w:rFonts w:hint="eastAsia"/>
                <w:color w:val="auto"/>
                <w:sz w:val="21"/>
                <w:szCs w:val="21"/>
              </w:rPr>
              <w:t>0.0</w:t>
            </w:r>
            <w:r>
              <w:rPr>
                <w:rFonts w:hint="eastAsia"/>
                <w:color w:val="auto"/>
                <w:sz w:val="21"/>
                <w:szCs w:val="21"/>
                <w:lang w:val="en-US" w:eastAsia="zh-CN"/>
              </w:rPr>
              <w:t>5</w:t>
            </w:r>
          </w:p>
        </w:tc>
        <w:tc>
          <w:tcPr>
            <w:tcW w:w="1638" w:type="dxa"/>
            <w:vAlign w:val="center"/>
          </w:tcPr>
          <w:p w14:paraId="0869B099">
            <w:pPr>
              <w:jc w:val="center"/>
              <w:rPr>
                <w:rFonts w:ascii="Times New Roman" w:hAnsi="Times New Roman" w:cs="Times New Roman"/>
                <w:color w:val="auto"/>
                <w:szCs w:val="21"/>
              </w:rPr>
            </w:pPr>
          </w:p>
        </w:tc>
        <w:tc>
          <w:tcPr>
            <w:tcW w:w="1638" w:type="dxa"/>
            <w:vAlign w:val="center"/>
          </w:tcPr>
          <w:p w14:paraId="4756D6FA">
            <w:pPr>
              <w:pStyle w:val="34"/>
              <w:jc w:val="center"/>
              <w:rPr>
                <w:color w:val="auto"/>
                <w:sz w:val="21"/>
                <w:szCs w:val="21"/>
              </w:rPr>
            </w:pPr>
            <w:r>
              <w:rPr>
                <w:rFonts w:hint="eastAsia"/>
                <w:color w:val="auto"/>
                <w:sz w:val="21"/>
                <w:szCs w:val="21"/>
              </w:rPr>
              <w:t>0.0</w:t>
            </w:r>
            <w:r>
              <w:rPr>
                <w:rFonts w:hint="eastAsia"/>
                <w:color w:val="auto"/>
                <w:sz w:val="21"/>
                <w:szCs w:val="21"/>
                <w:lang w:val="en-US" w:eastAsia="zh-CN"/>
              </w:rPr>
              <w:t>5</w:t>
            </w:r>
          </w:p>
        </w:tc>
        <w:tc>
          <w:tcPr>
            <w:tcW w:w="1638" w:type="dxa"/>
            <w:vAlign w:val="center"/>
          </w:tcPr>
          <w:p w14:paraId="408B1ADC">
            <w:pPr>
              <w:pStyle w:val="34"/>
              <w:jc w:val="center"/>
              <w:rPr>
                <w:color w:val="auto"/>
                <w:sz w:val="21"/>
                <w:szCs w:val="21"/>
              </w:rPr>
            </w:pPr>
          </w:p>
        </w:tc>
      </w:tr>
      <w:tr w14:paraId="4F8A31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vMerge w:val="continue"/>
            <w:vAlign w:val="center"/>
          </w:tcPr>
          <w:p w14:paraId="4B242EE5">
            <w:pPr>
              <w:jc w:val="center"/>
              <w:rPr>
                <w:rFonts w:ascii="Times New Roman" w:hAnsi="Times New Roman" w:cs="Times New Roman"/>
                <w:color w:val="auto"/>
                <w:szCs w:val="21"/>
              </w:rPr>
            </w:pPr>
          </w:p>
        </w:tc>
        <w:tc>
          <w:tcPr>
            <w:tcW w:w="1638" w:type="dxa"/>
            <w:vAlign w:val="center"/>
          </w:tcPr>
          <w:p w14:paraId="777B1BB5">
            <w:pPr>
              <w:pStyle w:val="34"/>
              <w:jc w:val="center"/>
              <w:rPr>
                <w:color w:val="auto"/>
                <w:sz w:val="21"/>
                <w:szCs w:val="21"/>
              </w:rPr>
            </w:pPr>
            <w:r>
              <w:rPr>
                <w:rFonts w:hint="eastAsia" w:ascii="Times New Roman" w:hAnsi="Times New Roman" w:cs="Times New Roman"/>
                <w:bCs/>
                <w:color w:val="auto"/>
                <w:sz w:val="21"/>
                <w:szCs w:val="21"/>
                <w:lang w:eastAsia="zh-CN"/>
              </w:rPr>
              <w:t>实验废液</w:t>
            </w:r>
          </w:p>
        </w:tc>
        <w:tc>
          <w:tcPr>
            <w:tcW w:w="1638" w:type="dxa"/>
            <w:vAlign w:val="center"/>
          </w:tcPr>
          <w:p w14:paraId="2E90160E">
            <w:pPr>
              <w:jc w:val="center"/>
              <w:rPr>
                <w:rFonts w:ascii="Times New Roman" w:hAnsi="Times New Roman" w:cs="Times New Roman"/>
                <w:color w:val="auto"/>
                <w:szCs w:val="21"/>
              </w:rPr>
            </w:pPr>
          </w:p>
        </w:tc>
        <w:tc>
          <w:tcPr>
            <w:tcW w:w="1638" w:type="dxa"/>
            <w:vAlign w:val="center"/>
          </w:tcPr>
          <w:p w14:paraId="10B477C5">
            <w:pPr>
              <w:jc w:val="center"/>
              <w:rPr>
                <w:rFonts w:ascii="Times New Roman" w:hAnsi="Times New Roman" w:cs="Times New Roman"/>
                <w:color w:val="auto"/>
                <w:szCs w:val="21"/>
              </w:rPr>
            </w:pPr>
          </w:p>
        </w:tc>
        <w:tc>
          <w:tcPr>
            <w:tcW w:w="1637" w:type="dxa"/>
            <w:vAlign w:val="center"/>
          </w:tcPr>
          <w:p w14:paraId="0D2F7514">
            <w:pPr>
              <w:jc w:val="center"/>
              <w:rPr>
                <w:rFonts w:ascii="Times New Roman" w:hAnsi="Times New Roman" w:cs="Times New Roman"/>
                <w:color w:val="auto"/>
                <w:szCs w:val="21"/>
              </w:rPr>
            </w:pPr>
          </w:p>
        </w:tc>
        <w:tc>
          <w:tcPr>
            <w:tcW w:w="1638" w:type="dxa"/>
            <w:vAlign w:val="center"/>
          </w:tcPr>
          <w:p w14:paraId="7855E9CD">
            <w:pPr>
              <w:pStyle w:val="34"/>
              <w:jc w:val="center"/>
              <w:rPr>
                <w:color w:val="auto"/>
                <w:sz w:val="21"/>
                <w:szCs w:val="21"/>
              </w:rPr>
            </w:pPr>
            <w:r>
              <w:rPr>
                <w:rFonts w:hint="eastAsia"/>
                <w:color w:val="auto"/>
                <w:sz w:val="21"/>
                <w:szCs w:val="21"/>
                <w:lang w:val="en-US" w:eastAsia="zh-CN"/>
              </w:rPr>
              <w:t>500L/a</w:t>
            </w:r>
          </w:p>
        </w:tc>
        <w:tc>
          <w:tcPr>
            <w:tcW w:w="1638" w:type="dxa"/>
            <w:vAlign w:val="center"/>
          </w:tcPr>
          <w:p w14:paraId="7A699287">
            <w:pPr>
              <w:jc w:val="center"/>
              <w:rPr>
                <w:rFonts w:ascii="Times New Roman" w:hAnsi="Times New Roman" w:cs="Times New Roman"/>
                <w:color w:val="auto"/>
                <w:szCs w:val="21"/>
              </w:rPr>
            </w:pPr>
          </w:p>
        </w:tc>
        <w:tc>
          <w:tcPr>
            <w:tcW w:w="1638" w:type="dxa"/>
            <w:vAlign w:val="center"/>
          </w:tcPr>
          <w:p w14:paraId="44582D27">
            <w:pPr>
              <w:pStyle w:val="34"/>
              <w:jc w:val="center"/>
              <w:rPr>
                <w:color w:val="auto"/>
                <w:sz w:val="21"/>
                <w:szCs w:val="21"/>
              </w:rPr>
            </w:pPr>
            <w:r>
              <w:rPr>
                <w:rFonts w:hint="eastAsia"/>
                <w:color w:val="auto"/>
                <w:sz w:val="21"/>
                <w:szCs w:val="21"/>
                <w:lang w:val="en-US" w:eastAsia="zh-CN"/>
              </w:rPr>
              <w:t>500L/a</w:t>
            </w:r>
          </w:p>
        </w:tc>
        <w:tc>
          <w:tcPr>
            <w:tcW w:w="1638" w:type="dxa"/>
            <w:vAlign w:val="center"/>
          </w:tcPr>
          <w:p w14:paraId="59F6B293">
            <w:pPr>
              <w:jc w:val="center"/>
              <w:rPr>
                <w:rFonts w:ascii="Times New Roman" w:hAnsi="Times New Roman" w:cs="Times New Roman"/>
                <w:color w:val="auto"/>
                <w:szCs w:val="21"/>
              </w:rPr>
            </w:pPr>
          </w:p>
        </w:tc>
      </w:tr>
    </w:tbl>
    <w:p w14:paraId="0D315049">
      <w:pPr>
        <w:pStyle w:val="34"/>
        <w:rPr>
          <w:rFonts w:hint="eastAsia"/>
          <w:color w:val="auto"/>
        </w:rPr>
      </w:pPr>
      <w:r>
        <w:rPr>
          <w:rFonts w:hint="eastAsia"/>
          <w:b/>
          <w:bCs/>
          <w:color w:val="auto"/>
        </w:rPr>
        <w:t>注：</w:t>
      </w:r>
      <w:r>
        <w:rPr>
          <w:rFonts w:hint="eastAsia"/>
          <w:color w:val="auto"/>
        </w:rPr>
        <w:t>⑥=①+③+④-⑤；⑦=⑥-①</w:t>
      </w:r>
    </w:p>
    <w:p w14:paraId="1F653A45">
      <w:pPr>
        <w:rPr>
          <w:rFonts w:hint="eastAsia"/>
          <w:color w:val="auto"/>
        </w:rPr>
      </w:pPr>
    </w:p>
    <w:p w14:paraId="485B0C64">
      <w:pPr>
        <w:rPr>
          <w:rFonts w:hint="eastAsia"/>
          <w:color w:val="auto"/>
        </w:rPr>
      </w:pPr>
    </w:p>
    <w:p w14:paraId="2A94CFBF">
      <w:pPr>
        <w:rPr>
          <w:rFonts w:hint="eastAsia"/>
          <w:color w:val="auto"/>
        </w:rPr>
      </w:pPr>
    </w:p>
    <w:p w14:paraId="7B420B31">
      <w:pPr>
        <w:rPr>
          <w:rFonts w:hint="eastAsia"/>
          <w:color w:val="auto"/>
        </w:rPr>
        <w:sectPr>
          <w:footerReference r:id="rId5" w:type="default"/>
          <w:pgSz w:w="16838" w:h="11906" w:orient="landscape"/>
          <w:pgMar w:top="1800" w:right="1440" w:bottom="1800" w:left="1440" w:header="851" w:footer="992" w:gutter="0"/>
          <w:pgNumType w:fmt="numberInDash"/>
          <w:cols w:space="425" w:num="1"/>
          <w:docGrid w:type="lines" w:linePitch="312" w:charSpace="0"/>
        </w:sectPr>
      </w:pPr>
    </w:p>
    <w:p w14:paraId="0785228C">
      <w:pPr>
        <w:rPr>
          <w:rFonts w:hint="eastAsia" w:eastAsiaTheme="minorEastAsia"/>
          <w:color w:val="auto"/>
          <w:lang w:eastAsia="zh-CN"/>
        </w:rPr>
      </w:pPr>
      <w:r>
        <w:rPr>
          <w:rFonts w:hint="eastAsia" w:eastAsiaTheme="minorEastAsia"/>
          <w:color w:val="auto"/>
          <w:lang w:eastAsia="zh-CN"/>
        </w:rPr>
        <w:drawing>
          <wp:inline distT="0" distB="0" distL="114300" distR="114300">
            <wp:extent cx="5254625" cy="7315200"/>
            <wp:effectExtent l="0" t="0" r="3175" b="0"/>
            <wp:docPr id="28" name="图片 28" descr="c84f1e87ea3c9a023d3b7ae8bb7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84f1e87ea3c9a023d3b7ae8bb78978"/>
                    <pic:cNvPicPr>
                      <a:picLocks noChangeAspect="1"/>
                    </pic:cNvPicPr>
                  </pic:nvPicPr>
                  <pic:blipFill>
                    <a:blip r:embed="rId38"/>
                    <a:stretch>
                      <a:fillRect/>
                    </a:stretch>
                  </pic:blipFill>
                  <pic:spPr>
                    <a:xfrm>
                      <a:off x="0" y="0"/>
                      <a:ext cx="5254625" cy="7315200"/>
                    </a:xfrm>
                    <a:prstGeom prst="rect">
                      <a:avLst/>
                    </a:prstGeom>
                  </pic:spPr>
                </pic:pic>
              </a:graphicData>
            </a:graphic>
          </wp:inline>
        </w:drawing>
      </w:r>
    </w:p>
    <w:p w14:paraId="4A0451B6">
      <w:pPr>
        <w:rPr>
          <w:rFonts w:hint="eastAsia" w:eastAsiaTheme="minorEastAsia"/>
          <w:color w:val="auto"/>
          <w:lang w:eastAsia="zh-CN"/>
        </w:rPr>
      </w:pPr>
    </w:p>
    <w:p w14:paraId="1B848A9B">
      <w:pPr>
        <w:rPr>
          <w:rFonts w:hint="eastAsia" w:eastAsiaTheme="minorEastAsia"/>
          <w:color w:val="auto"/>
          <w:lang w:eastAsia="zh-CN"/>
        </w:rPr>
      </w:pPr>
    </w:p>
    <w:p w14:paraId="6DD31538">
      <w:pPr>
        <w:rPr>
          <w:rFonts w:hint="eastAsia" w:eastAsiaTheme="minorEastAsia"/>
          <w:color w:val="auto"/>
          <w:lang w:eastAsia="zh-CN"/>
        </w:rPr>
      </w:pPr>
    </w:p>
    <w:p w14:paraId="1FE44940">
      <w:pPr>
        <w:rPr>
          <w:rFonts w:hint="eastAsia" w:eastAsiaTheme="minorEastAsia"/>
          <w:color w:val="auto"/>
          <w:lang w:eastAsia="zh-CN"/>
        </w:rPr>
      </w:pPr>
    </w:p>
    <w:p w14:paraId="121462DE">
      <w:pPr>
        <w:rPr>
          <w:rFonts w:hint="eastAsia" w:eastAsiaTheme="minorEastAsia"/>
          <w:color w:val="auto"/>
          <w:lang w:eastAsia="zh-CN"/>
        </w:rPr>
      </w:pPr>
    </w:p>
    <w:p w14:paraId="39601634">
      <w:pPr>
        <w:rPr>
          <w:rFonts w:hint="eastAsia" w:eastAsiaTheme="minorEastAsia"/>
          <w:color w:val="auto"/>
          <w:lang w:eastAsia="zh-CN"/>
        </w:rPr>
      </w:pPr>
    </w:p>
    <w:p w14:paraId="0C995BB7">
      <w:pPr>
        <w:rPr>
          <w:rFonts w:hint="eastAsia" w:eastAsiaTheme="minorEastAsia"/>
          <w:color w:val="auto"/>
          <w:lang w:eastAsia="zh-CN"/>
        </w:rPr>
      </w:pPr>
    </w:p>
    <w:p w14:paraId="549CD0E8">
      <w:pPr>
        <w:rPr>
          <w:rFonts w:hint="eastAsia" w:eastAsiaTheme="minorEastAsia"/>
          <w:color w:val="auto"/>
          <w:lang w:eastAsia="zh-CN"/>
        </w:rPr>
      </w:pPr>
      <w:r>
        <w:rPr>
          <w:rFonts w:hint="eastAsia" w:eastAsiaTheme="minorEastAsia"/>
          <w:color w:val="auto"/>
          <w:lang w:eastAsia="zh-CN"/>
        </w:rPr>
        <w:drawing>
          <wp:inline distT="0" distB="0" distL="114300" distR="114300">
            <wp:extent cx="5254625" cy="7315200"/>
            <wp:effectExtent l="0" t="0" r="3175" b="0"/>
            <wp:docPr id="29" name="图片 29" descr="c84f1e87ea3c9a023d3b7ae8bb7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84f1e87ea3c9a023d3b7ae8bb78978"/>
                    <pic:cNvPicPr>
                      <a:picLocks noChangeAspect="1"/>
                    </pic:cNvPicPr>
                  </pic:nvPicPr>
                  <pic:blipFill>
                    <a:blip r:embed="rId38"/>
                    <a:stretch>
                      <a:fillRect/>
                    </a:stretch>
                  </pic:blipFill>
                  <pic:spPr>
                    <a:xfrm>
                      <a:off x="0" y="0"/>
                      <a:ext cx="5254625" cy="7315200"/>
                    </a:xfrm>
                    <a:prstGeom prst="rect">
                      <a:avLst/>
                    </a:prstGeom>
                  </pic:spPr>
                </pic:pic>
              </a:graphicData>
            </a:graphic>
          </wp:inline>
        </w:drawing>
      </w:r>
    </w:p>
    <w:p w14:paraId="7BEBF62C">
      <w:pPr>
        <w:rPr>
          <w:rFonts w:hint="eastAsia" w:eastAsiaTheme="minorEastAsia"/>
          <w:color w:val="auto"/>
          <w:lang w:eastAsia="zh-CN"/>
        </w:rPr>
      </w:pPr>
    </w:p>
    <w:p w14:paraId="5A295DDB">
      <w:pPr>
        <w:rPr>
          <w:rFonts w:hint="eastAsia" w:eastAsiaTheme="minorEastAsia"/>
          <w:color w:val="auto"/>
          <w:lang w:eastAsia="zh-CN"/>
        </w:rPr>
      </w:pPr>
    </w:p>
    <w:p w14:paraId="076BA97A">
      <w:pPr>
        <w:rPr>
          <w:rFonts w:hint="eastAsia" w:eastAsiaTheme="minorEastAsia"/>
          <w:color w:val="auto"/>
          <w:lang w:eastAsia="zh-CN"/>
        </w:rPr>
      </w:pPr>
    </w:p>
    <w:p w14:paraId="0BF38CCF">
      <w:pPr>
        <w:rPr>
          <w:rFonts w:hint="eastAsia" w:eastAsiaTheme="minorEastAsia"/>
          <w:color w:val="auto"/>
          <w:lang w:eastAsia="zh-CN"/>
        </w:rPr>
      </w:pPr>
    </w:p>
    <w:p w14:paraId="779ED0F8">
      <w:pPr>
        <w:rPr>
          <w:rFonts w:hint="eastAsia" w:eastAsiaTheme="minorEastAsia"/>
          <w:color w:val="auto"/>
          <w:lang w:eastAsia="zh-CN"/>
        </w:rPr>
      </w:pPr>
    </w:p>
    <w:p w14:paraId="78012DFB">
      <w:pPr>
        <w:rPr>
          <w:rFonts w:hint="eastAsia" w:eastAsiaTheme="minorEastAsia"/>
          <w:color w:val="auto"/>
          <w:lang w:eastAsia="zh-CN"/>
        </w:rPr>
      </w:pPr>
    </w:p>
    <w:p w14:paraId="7721ACD4">
      <w:pPr>
        <w:rPr>
          <w:rFonts w:hint="eastAsia" w:eastAsiaTheme="minorEastAsia"/>
          <w:color w:val="auto"/>
          <w:lang w:eastAsia="zh-CN"/>
        </w:rPr>
      </w:pPr>
    </w:p>
    <w:p w14:paraId="31227D21">
      <w:pPr>
        <w:rPr>
          <w:rFonts w:hint="eastAsia" w:eastAsiaTheme="minorEastAsia"/>
          <w:color w:val="auto"/>
          <w:lang w:eastAsia="zh-CN"/>
        </w:rPr>
      </w:pPr>
      <w:r>
        <w:rPr>
          <w:rFonts w:hint="eastAsia" w:eastAsiaTheme="minorEastAsia"/>
          <w:color w:val="auto"/>
          <w:lang w:eastAsia="zh-CN"/>
        </w:rPr>
        <w:drawing>
          <wp:inline distT="0" distB="0" distL="114300" distR="114300">
            <wp:extent cx="6254115" cy="7087870"/>
            <wp:effectExtent l="0" t="0" r="13335" b="17780"/>
            <wp:docPr id="30" name="图片 30" descr="175072222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50722220162"/>
                    <pic:cNvPicPr>
                      <a:picLocks noChangeAspect="1"/>
                    </pic:cNvPicPr>
                  </pic:nvPicPr>
                  <pic:blipFill>
                    <a:blip r:embed="rId39"/>
                    <a:stretch>
                      <a:fillRect/>
                    </a:stretch>
                  </pic:blipFill>
                  <pic:spPr>
                    <a:xfrm>
                      <a:off x="0" y="0"/>
                      <a:ext cx="6254115" cy="7087870"/>
                    </a:xfrm>
                    <a:prstGeom prst="rect">
                      <a:avLst/>
                    </a:prstGeom>
                  </pic:spPr>
                </pic:pic>
              </a:graphicData>
            </a:graphic>
          </wp:inline>
        </w:drawing>
      </w:r>
    </w:p>
    <w:p w14:paraId="7360753D">
      <w:pPr>
        <w:rPr>
          <w:rFonts w:hint="eastAsia" w:eastAsiaTheme="minorEastAsia"/>
          <w:color w:val="auto"/>
          <w:lang w:eastAsia="zh-CN"/>
        </w:rPr>
      </w:pPr>
    </w:p>
    <w:p w14:paraId="30D39636">
      <w:pPr>
        <w:rPr>
          <w:rFonts w:hint="eastAsia" w:eastAsiaTheme="minorEastAsia"/>
          <w:color w:val="auto"/>
          <w:lang w:eastAsia="zh-CN"/>
        </w:rPr>
      </w:pPr>
    </w:p>
    <w:p w14:paraId="73C77CA2">
      <w:pPr>
        <w:rPr>
          <w:rFonts w:hint="eastAsia" w:eastAsiaTheme="minorEastAsia"/>
          <w:color w:val="auto"/>
          <w:lang w:eastAsia="zh-CN"/>
        </w:rPr>
      </w:pPr>
    </w:p>
    <w:p w14:paraId="2BB4D929">
      <w:pPr>
        <w:rPr>
          <w:rFonts w:hint="eastAsia" w:eastAsiaTheme="minorEastAsia"/>
          <w:color w:val="auto"/>
          <w:lang w:eastAsia="zh-CN"/>
        </w:rPr>
      </w:pPr>
    </w:p>
    <w:p w14:paraId="1E1C1C77">
      <w:pPr>
        <w:rPr>
          <w:rFonts w:hint="eastAsia" w:eastAsiaTheme="minorEastAsia"/>
          <w:color w:val="auto"/>
          <w:lang w:eastAsia="zh-CN"/>
        </w:rPr>
      </w:pPr>
    </w:p>
    <w:p w14:paraId="3EDAF554">
      <w:pPr>
        <w:rPr>
          <w:rFonts w:hint="eastAsia" w:eastAsiaTheme="minorEastAsia"/>
          <w:color w:val="auto"/>
          <w:lang w:eastAsia="zh-CN"/>
        </w:rPr>
      </w:pPr>
    </w:p>
    <w:p w14:paraId="1B1B78A8">
      <w:pPr>
        <w:rPr>
          <w:rFonts w:hint="eastAsia" w:eastAsiaTheme="minorEastAsia"/>
          <w:color w:val="auto"/>
          <w:lang w:eastAsia="zh-CN"/>
        </w:rPr>
      </w:pPr>
    </w:p>
    <w:p w14:paraId="66747FBC">
      <w:pPr>
        <w:rPr>
          <w:rFonts w:hint="eastAsia" w:eastAsiaTheme="minorEastAsia"/>
          <w:color w:val="auto"/>
          <w:lang w:eastAsia="zh-CN"/>
        </w:rPr>
      </w:pPr>
    </w:p>
    <w:p w14:paraId="1E9C6A2A">
      <w:pPr>
        <w:rPr>
          <w:rFonts w:hint="eastAsia" w:eastAsiaTheme="minorEastAsia"/>
          <w:color w:val="auto"/>
          <w:lang w:eastAsia="zh-CN"/>
        </w:rPr>
      </w:pPr>
      <w:r>
        <w:rPr>
          <w:rFonts w:hint="eastAsia" w:eastAsiaTheme="minorEastAsia"/>
          <w:color w:val="auto"/>
          <w:lang w:eastAsia="zh-CN"/>
        </w:rPr>
        <w:drawing>
          <wp:inline distT="0" distB="0" distL="114300" distR="114300">
            <wp:extent cx="5272405" cy="5558155"/>
            <wp:effectExtent l="0" t="0" r="4445" b="4445"/>
            <wp:docPr id="31" name="图片 31" descr="175072228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50722281727"/>
                    <pic:cNvPicPr>
                      <a:picLocks noChangeAspect="1"/>
                    </pic:cNvPicPr>
                  </pic:nvPicPr>
                  <pic:blipFill>
                    <a:blip r:embed="rId40"/>
                    <a:stretch>
                      <a:fillRect/>
                    </a:stretch>
                  </pic:blipFill>
                  <pic:spPr>
                    <a:xfrm>
                      <a:off x="0" y="0"/>
                      <a:ext cx="5272405" cy="5558155"/>
                    </a:xfrm>
                    <a:prstGeom prst="rect">
                      <a:avLst/>
                    </a:prstGeom>
                  </pic:spPr>
                </pic:pic>
              </a:graphicData>
            </a:graphic>
          </wp:inline>
        </w:drawing>
      </w:r>
    </w:p>
    <w:p w14:paraId="1261D829">
      <w:pPr>
        <w:rPr>
          <w:rFonts w:hint="eastAsia" w:eastAsiaTheme="minorEastAsia"/>
          <w:color w:val="auto"/>
          <w:lang w:eastAsia="zh-CN"/>
        </w:rPr>
      </w:pPr>
    </w:p>
    <w:p w14:paraId="38FC431E">
      <w:pPr>
        <w:rPr>
          <w:rFonts w:hint="eastAsia" w:eastAsiaTheme="minorEastAsia"/>
          <w:color w:val="auto"/>
          <w:lang w:eastAsia="zh-CN"/>
        </w:rPr>
      </w:pPr>
    </w:p>
    <w:p w14:paraId="26948D6E">
      <w:pPr>
        <w:rPr>
          <w:rFonts w:hint="eastAsia" w:eastAsiaTheme="minorEastAsia"/>
          <w:color w:val="auto"/>
          <w:lang w:eastAsia="zh-CN"/>
        </w:rPr>
      </w:pPr>
    </w:p>
    <w:p w14:paraId="359910F0">
      <w:pPr>
        <w:rPr>
          <w:rFonts w:hint="eastAsia" w:eastAsiaTheme="minorEastAsia"/>
          <w:color w:val="auto"/>
          <w:lang w:eastAsia="zh-CN"/>
        </w:rPr>
      </w:pPr>
    </w:p>
    <w:p w14:paraId="3D99C544">
      <w:pPr>
        <w:rPr>
          <w:rFonts w:hint="eastAsia" w:eastAsiaTheme="minorEastAsia"/>
          <w:color w:val="auto"/>
          <w:lang w:eastAsia="zh-CN"/>
        </w:rPr>
      </w:pPr>
    </w:p>
    <w:p w14:paraId="5ED6067F">
      <w:pPr>
        <w:rPr>
          <w:rFonts w:hint="eastAsia" w:eastAsiaTheme="minorEastAsia"/>
          <w:color w:val="auto"/>
          <w:lang w:eastAsia="zh-CN"/>
        </w:rPr>
      </w:pPr>
    </w:p>
    <w:p w14:paraId="3FEDC1F0">
      <w:pPr>
        <w:rPr>
          <w:rFonts w:hint="eastAsia" w:eastAsiaTheme="minorEastAsia"/>
          <w:color w:val="auto"/>
          <w:lang w:eastAsia="zh-CN"/>
        </w:rPr>
      </w:pPr>
    </w:p>
    <w:p w14:paraId="505F6E0D">
      <w:pPr>
        <w:rPr>
          <w:rFonts w:hint="eastAsia" w:eastAsiaTheme="minorEastAsia"/>
          <w:color w:val="auto"/>
          <w:lang w:eastAsia="zh-CN"/>
        </w:rPr>
      </w:pPr>
    </w:p>
    <w:p w14:paraId="0D83FACF">
      <w:pPr>
        <w:rPr>
          <w:rFonts w:hint="eastAsia" w:eastAsiaTheme="minorEastAsia"/>
          <w:color w:val="auto"/>
          <w:lang w:eastAsia="zh-CN"/>
        </w:rPr>
      </w:pPr>
    </w:p>
    <w:p w14:paraId="42288FD0">
      <w:pPr>
        <w:rPr>
          <w:rFonts w:hint="eastAsia" w:eastAsiaTheme="minorEastAsia"/>
          <w:color w:val="auto"/>
          <w:lang w:eastAsia="zh-CN"/>
        </w:rPr>
      </w:pPr>
      <w:r>
        <w:rPr>
          <w:rFonts w:hint="eastAsia" w:eastAsiaTheme="minorEastAsia"/>
          <w:color w:val="auto"/>
          <w:lang w:eastAsia="zh-CN"/>
        </w:rPr>
        <w:drawing>
          <wp:inline distT="0" distB="0" distL="114300" distR="114300">
            <wp:extent cx="5260340" cy="7037705"/>
            <wp:effectExtent l="0" t="0" r="16510" b="10795"/>
            <wp:docPr id="42" name="图片 42" descr="c3550737a1417779516a41e2f18ab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3550737a1417779516a41e2f18ab47"/>
                    <pic:cNvPicPr>
                      <a:picLocks noChangeAspect="1"/>
                    </pic:cNvPicPr>
                  </pic:nvPicPr>
                  <pic:blipFill>
                    <a:blip r:embed="rId41"/>
                    <a:stretch>
                      <a:fillRect/>
                    </a:stretch>
                  </pic:blipFill>
                  <pic:spPr>
                    <a:xfrm>
                      <a:off x="0" y="0"/>
                      <a:ext cx="5260340" cy="7037705"/>
                    </a:xfrm>
                    <a:prstGeom prst="rect">
                      <a:avLst/>
                    </a:prstGeom>
                  </pic:spPr>
                </pic:pic>
              </a:graphicData>
            </a:graphic>
          </wp:inline>
        </w:drawing>
      </w:r>
    </w:p>
    <w:p w14:paraId="0D1B62AC">
      <w:pPr>
        <w:rPr>
          <w:rFonts w:hint="eastAsia" w:eastAsiaTheme="minorEastAsia"/>
          <w:color w:val="auto"/>
          <w:lang w:eastAsia="zh-CN"/>
        </w:rPr>
      </w:pPr>
    </w:p>
    <w:p w14:paraId="2AA474D1">
      <w:pPr>
        <w:rPr>
          <w:rFonts w:hint="eastAsia" w:eastAsiaTheme="minorEastAsia"/>
          <w:color w:val="auto"/>
          <w:lang w:eastAsia="zh-CN"/>
        </w:rPr>
      </w:pPr>
    </w:p>
    <w:p w14:paraId="6D68675B">
      <w:pPr>
        <w:rPr>
          <w:rFonts w:hint="eastAsia" w:eastAsiaTheme="minorEastAsia"/>
          <w:color w:val="auto"/>
          <w:lang w:eastAsia="zh-CN"/>
        </w:rPr>
      </w:pPr>
    </w:p>
    <w:p w14:paraId="4DC4031C">
      <w:pPr>
        <w:rPr>
          <w:rFonts w:hint="eastAsia" w:eastAsiaTheme="minorEastAsia"/>
          <w:color w:val="auto"/>
          <w:lang w:eastAsia="zh-CN"/>
        </w:rPr>
      </w:pPr>
    </w:p>
    <w:p w14:paraId="1BFCEA80">
      <w:pPr>
        <w:rPr>
          <w:rFonts w:hint="eastAsia" w:eastAsiaTheme="minorEastAsia"/>
          <w:color w:val="auto"/>
          <w:lang w:eastAsia="zh-CN"/>
        </w:rPr>
      </w:pPr>
    </w:p>
    <w:p w14:paraId="21E923CC">
      <w:r>
        <w:drawing>
          <wp:inline distT="0" distB="0" distL="114300" distR="114300">
            <wp:extent cx="5263515" cy="7447915"/>
            <wp:effectExtent l="0" t="0" r="13335" b="63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2"/>
                    <a:stretch>
                      <a:fillRect/>
                    </a:stretch>
                  </pic:blipFill>
                  <pic:spPr>
                    <a:xfrm>
                      <a:off x="0" y="0"/>
                      <a:ext cx="5263515" cy="7447915"/>
                    </a:xfrm>
                    <a:prstGeom prst="rect">
                      <a:avLst/>
                    </a:prstGeom>
                    <a:noFill/>
                    <a:ln>
                      <a:noFill/>
                    </a:ln>
                  </pic:spPr>
                </pic:pic>
              </a:graphicData>
            </a:graphic>
          </wp:inline>
        </w:drawing>
      </w:r>
    </w:p>
    <w:p w14:paraId="7FF61BD0"/>
    <w:p w14:paraId="283977A4"/>
    <w:p w14:paraId="49B5A154"/>
    <w:p w14:paraId="46BE0675"/>
    <w:p w14:paraId="4C9BF849"/>
    <w:p w14:paraId="23B42301"/>
    <w:p w14:paraId="65F51B4E">
      <w:r>
        <w:drawing>
          <wp:inline distT="0" distB="0" distL="114300" distR="114300">
            <wp:extent cx="5263515" cy="7447915"/>
            <wp:effectExtent l="0" t="0" r="13335" b="63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3"/>
                    <a:stretch>
                      <a:fillRect/>
                    </a:stretch>
                  </pic:blipFill>
                  <pic:spPr>
                    <a:xfrm>
                      <a:off x="0" y="0"/>
                      <a:ext cx="5263515" cy="7447915"/>
                    </a:xfrm>
                    <a:prstGeom prst="rect">
                      <a:avLst/>
                    </a:prstGeom>
                    <a:noFill/>
                    <a:ln>
                      <a:noFill/>
                    </a:ln>
                  </pic:spPr>
                </pic:pic>
              </a:graphicData>
            </a:graphic>
          </wp:inline>
        </w:drawing>
      </w:r>
      <w:r>
        <w:drawing>
          <wp:inline distT="0" distB="0" distL="114300" distR="114300">
            <wp:extent cx="5263515" cy="7447915"/>
            <wp:effectExtent l="0" t="0" r="13335" b="63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4"/>
                    <a:stretch>
                      <a:fillRect/>
                    </a:stretch>
                  </pic:blipFill>
                  <pic:spPr>
                    <a:xfrm>
                      <a:off x="0" y="0"/>
                      <a:ext cx="5263515" cy="7447915"/>
                    </a:xfrm>
                    <a:prstGeom prst="rect">
                      <a:avLst/>
                    </a:prstGeom>
                    <a:noFill/>
                    <a:ln>
                      <a:noFill/>
                    </a:ln>
                  </pic:spPr>
                </pic:pic>
              </a:graphicData>
            </a:graphic>
          </wp:inline>
        </w:drawing>
      </w:r>
    </w:p>
    <w:p w14:paraId="100C3259"/>
    <w:p w14:paraId="6D51A890">
      <w:r>
        <w:drawing>
          <wp:inline distT="0" distB="0" distL="114300" distR="114300">
            <wp:extent cx="5263515" cy="7447915"/>
            <wp:effectExtent l="0" t="0" r="13335" b="63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5"/>
                    <a:stretch>
                      <a:fillRect/>
                    </a:stretch>
                  </pic:blipFill>
                  <pic:spPr>
                    <a:xfrm>
                      <a:off x="0" y="0"/>
                      <a:ext cx="5263515" cy="7447915"/>
                    </a:xfrm>
                    <a:prstGeom prst="rect">
                      <a:avLst/>
                    </a:prstGeom>
                    <a:noFill/>
                    <a:ln>
                      <a:noFill/>
                    </a:ln>
                  </pic:spPr>
                </pic:pic>
              </a:graphicData>
            </a:graphic>
          </wp:inline>
        </w:drawing>
      </w:r>
      <w:r>
        <w:drawing>
          <wp:inline distT="0" distB="0" distL="114300" distR="114300">
            <wp:extent cx="5263515" cy="7447915"/>
            <wp:effectExtent l="0" t="0" r="13335" b="635"/>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46"/>
                    <a:stretch>
                      <a:fillRect/>
                    </a:stretch>
                  </pic:blipFill>
                  <pic:spPr>
                    <a:xfrm>
                      <a:off x="0" y="0"/>
                      <a:ext cx="5263515" cy="7447915"/>
                    </a:xfrm>
                    <a:prstGeom prst="rect">
                      <a:avLst/>
                    </a:prstGeom>
                    <a:noFill/>
                    <a:ln>
                      <a:noFill/>
                    </a:ln>
                  </pic:spPr>
                </pic:pic>
              </a:graphicData>
            </a:graphic>
          </wp:inline>
        </w:drawing>
      </w:r>
    </w:p>
    <w:p w14:paraId="570E3762"/>
    <w:p w14:paraId="710428C1"/>
    <w:p w14:paraId="684C42C3"/>
    <w:p w14:paraId="4F966CAE"/>
    <w:p w14:paraId="60AA6466"/>
    <w:p w14:paraId="5CFF93FD"/>
    <w:p w14:paraId="2DA9E152">
      <w:r>
        <w:drawing>
          <wp:inline distT="0" distB="0" distL="114300" distR="114300">
            <wp:extent cx="5263515" cy="7447915"/>
            <wp:effectExtent l="0" t="0" r="13335" b="635"/>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47"/>
                    <a:stretch>
                      <a:fillRect/>
                    </a:stretch>
                  </pic:blipFill>
                  <pic:spPr>
                    <a:xfrm>
                      <a:off x="0" y="0"/>
                      <a:ext cx="5263515" cy="7447915"/>
                    </a:xfrm>
                    <a:prstGeom prst="rect">
                      <a:avLst/>
                    </a:prstGeom>
                    <a:noFill/>
                    <a:ln>
                      <a:noFill/>
                    </a:ln>
                  </pic:spPr>
                </pic:pic>
              </a:graphicData>
            </a:graphic>
          </wp:inline>
        </w:drawing>
      </w:r>
    </w:p>
    <w:p w14:paraId="2D2E14E0"/>
    <w:p w14:paraId="327BB3E2"/>
    <w:p w14:paraId="364332C2"/>
    <w:p w14:paraId="2573F122"/>
    <w:p w14:paraId="6E80B747"/>
    <w:p w14:paraId="5F2D55AF"/>
    <w:p w14:paraId="5D67C5D3"/>
    <w:p w14:paraId="5E9D7424">
      <w:pPr>
        <w:rPr>
          <w:rFonts w:hint="eastAsia" w:eastAsiaTheme="minorEastAsia"/>
          <w:lang w:eastAsia="zh-CN"/>
        </w:rPr>
        <w:sectPr>
          <w:pgSz w:w="11906" w:h="16838"/>
          <w:pgMar w:top="1440" w:right="1800" w:bottom="1440" w:left="1800" w:header="851" w:footer="992" w:gutter="0"/>
          <w:pgNumType w:fmt="numberInDash"/>
          <w:cols w:space="425" w:num="1"/>
          <w:docGrid w:type="lines" w:linePitch="312" w:charSpace="0"/>
        </w:sectPr>
      </w:pPr>
      <w:r>
        <w:rPr>
          <w:rFonts w:hint="eastAsia" w:eastAsiaTheme="minorEastAsia"/>
          <w:lang w:eastAsia="zh-CN"/>
        </w:rPr>
        <w:drawing>
          <wp:inline distT="0" distB="0" distL="114300" distR="114300">
            <wp:extent cx="5851525" cy="6639560"/>
            <wp:effectExtent l="0" t="0" r="15875" b="8890"/>
            <wp:docPr id="43" name="图片 43" descr="175213600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752136008051"/>
                    <pic:cNvPicPr>
                      <a:picLocks noChangeAspect="1"/>
                    </pic:cNvPicPr>
                  </pic:nvPicPr>
                  <pic:blipFill>
                    <a:blip r:embed="rId48"/>
                    <a:stretch>
                      <a:fillRect/>
                    </a:stretch>
                  </pic:blipFill>
                  <pic:spPr>
                    <a:xfrm>
                      <a:off x="0" y="0"/>
                      <a:ext cx="5851525" cy="6639560"/>
                    </a:xfrm>
                    <a:prstGeom prst="rect">
                      <a:avLst/>
                    </a:prstGeom>
                  </pic:spPr>
                </pic:pic>
              </a:graphicData>
            </a:graphic>
          </wp:inline>
        </w:drawing>
      </w:r>
    </w:p>
    <w:p w14:paraId="07801398">
      <w:pPr>
        <w:jc w:val="center"/>
        <w:rPr>
          <w:sz w:val="44"/>
          <w:szCs w:val="44"/>
        </w:rPr>
      </w:pPr>
      <w:r>
        <w:drawing>
          <wp:inline distT="0" distB="0" distL="114300" distR="114300">
            <wp:extent cx="8857615" cy="4779645"/>
            <wp:effectExtent l="0" t="0" r="635" b="190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9"/>
                    <a:stretch>
                      <a:fillRect/>
                    </a:stretch>
                  </pic:blipFill>
                  <pic:spPr>
                    <a:xfrm>
                      <a:off x="0" y="0"/>
                      <a:ext cx="8857615" cy="4779645"/>
                    </a:xfrm>
                    <a:prstGeom prst="rect">
                      <a:avLst/>
                    </a:prstGeom>
                    <a:noFill/>
                    <a:ln>
                      <a:noFill/>
                    </a:ln>
                  </pic:spPr>
                </pic:pic>
              </a:graphicData>
            </a:graphic>
          </wp:inline>
        </w:drawing>
      </w:r>
      <w:r>
        <w:rPr>
          <w:rFonts w:hint="eastAsia"/>
          <w:b/>
          <w:bCs/>
          <w:sz w:val="44"/>
          <w:szCs w:val="44"/>
          <w:lang w:val="en-US" w:eastAsia="zh-CN"/>
        </w:rPr>
        <w:t>附图1项目地理位置图</w:t>
      </w:r>
    </w:p>
    <w:p w14:paraId="2B22D8F2">
      <w:pPr>
        <w:jc w:val="center"/>
      </w:pPr>
      <w:r>
        <w:drawing>
          <wp:inline distT="0" distB="0" distL="114300" distR="114300">
            <wp:extent cx="7028815" cy="4970780"/>
            <wp:effectExtent l="0" t="0" r="635" b="1270"/>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50"/>
                    <a:stretch>
                      <a:fillRect/>
                    </a:stretch>
                  </pic:blipFill>
                  <pic:spPr>
                    <a:xfrm>
                      <a:off x="0" y="0"/>
                      <a:ext cx="7028815" cy="4970780"/>
                    </a:xfrm>
                    <a:prstGeom prst="rect">
                      <a:avLst/>
                    </a:prstGeom>
                    <a:noFill/>
                    <a:ln>
                      <a:noFill/>
                    </a:ln>
                  </pic:spPr>
                </pic:pic>
              </a:graphicData>
            </a:graphic>
          </wp:inline>
        </w:drawing>
      </w:r>
    </w:p>
    <w:p w14:paraId="34724834">
      <w:pPr>
        <w:jc w:val="center"/>
        <w:rPr>
          <w:rFonts w:hint="eastAsia"/>
          <w:b/>
          <w:bCs/>
          <w:sz w:val="44"/>
          <w:szCs w:val="44"/>
          <w:lang w:val="en-US" w:eastAsia="zh-CN"/>
        </w:rPr>
        <w:sectPr>
          <w:pgSz w:w="16838" w:h="11906" w:orient="landscape"/>
          <w:pgMar w:top="1519" w:right="1440" w:bottom="1519" w:left="1440" w:header="851" w:footer="992" w:gutter="0"/>
          <w:pgNumType w:fmt="numberInDash"/>
          <w:cols w:space="425" w:num="1"/>
          <w:docGrid w:type="lines" w:linePitch="312" w:charSpace="0"/>
        </w:sectPr>
      </w:pPr>
      <w:r>
        <w:rPr>
          <w:rFonts w:hint="eastAsia"/>
          <w:b/>
          <w:bCs/>
          <w:sz w:val="44"/>
          <w:szCs w:val="44"/>
          <w:lang w:val="en-US" w:eastAsia="zh-CN"/>
        </w:rPr>
        <w:t>附图2项目所在厂区平面布局图</w:t>
      </w:r>
    </w:p>
    <w:p w14:paraId="415BCD1F">
      <w:pPr>
        <w:jc w:val="center"/>
        <w:rPr>
          <w:rFonts w:hint="eastAsia"/>
          <w:b/>
          <w:bCs/>
          <w:sz w:val="44"/>
          <w:szCs w:val="44"/>
          <w:lang w:val="en-US" w:eastAsia="zh-CN"/>
        </w:rPr>
      </w:pPr>
      <w:r>
        <w:rPr>
          <w:rFonts w:hint="eastAsia"/>
          <w:b/>
          <w:bCs/>
          <w:sz w:val="44"/>
          <w:szCs w:val="44"/>
          <w:lang w:val="en-US" w:eastAsia="zh-CN"/>
        </w:rPr>
        <w:drawing>
          <wp:inline distT="0" distB="0" distL="114300" distR="114300">
            <wp:extent cx="4676775" cy="6924675"/>
            <wp:effectExtent l="0" t="0" r="9525" b="9525"/>
            <wp:docPr id="41" name="图片 41" descr="175072314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750723144231"/>
                    <pic:cNvPicPr>
                      <a:picLocks noChangeAspect="1"/>
                    </pic:cNvPicPr>
                  </pic:nvPicPr>
                  <pic:blipFill>
                    <a:blip r:embed="rId51"/>
                    <a:stretch>
                      <a:fillRect/>
                    </a:stretch>
                  </pic:blipFill>
                  <pic:spPr>
                    <a:xfrm>
                      <a:off x="0" y="0"/>
                      <a:ext cx="4676775" cy="6924675"/>
                    </a:xfrm>
                    <a:prstGeom prst="rect">
                      <a:avLst/>
                    </a:prstGeom>
                  </pic:spPr>
                </pic:pic>
              </a:graphicData>
            </a:graphic>
          </wp:inline>
        </w:drawing>
      </w:r>
    </w:p>
    <w:p w14:paraId="68D011A3">
      <w:pPr>
        <w:jc w:val="center"/>
        <w:rPr>
          <w:rFonts w:hint="eastAsia"/>
          <w:b/>
          <w:bCs/>
          <w:sz w:val="44"/>
          <w:szCs w:val="44"/>
          <w:lang w:val="en-US" w:eastAsia="zh-CN"/>
        </w:rPr>
      </w:pPr>
    </w:p>
    <w:p w14:paraId="710C63AC">
      <w:pPr>
        <w:jc w:val="center"/>
        <w:rPr>
          <w:rFonts w:hint="eastAsia"/>
          <w:b/>
          <w:bCs/>
          <w:sz w:val="44"/>
          <w:szCs w:val="44"/>
          <w:lang w:val="en-US" w:eastAsia="zh-CN"/>
        </w:rPr>
        <w:sectPr>
          <w:pgSz w:w="11906" w:h="16838"/>
          <w:pgMar w:top="1440" w:right="1519" w:bottom="1440" w:left="1519" w:header="851" w:footer="992" w:gutter="0"/>
          <w:pgNumType w:fmt="numberInDash"/>
          <w:cols w:space="425" w:num="1"/>
          <w:docGrid w:type="lines" w:linePitch="312" w:charSpace="0"/>
        </w:sectPr>
      </w:pPr>
      <w:r>
        <w:rPr>
          <w:rFonts w:hint="eastAsia"/>
          <w:b/>
          <w:bCs/>
          <w:sz w:val="44"/>
          <w:szCs w:val="44"/>
          <w:lang w:val="en-US" w:eastAsia="zh-CN"/>
        </w:rPr>
        <w:t>附图2项目平面布局图</w:t>
      </w:r>
    </w:p>
    <w:p w14:paraId="30A4B3C8">
      <w:pPr>
        <w:rPr>
          <w:rFonts w:hint="eastAsia"/>
          <w:lang w:eastAsia="zh-CN"/>
        </w:rPr>
      </w:pPr>
      <w:r>
        <w:rPr>
          <w:rFonts w:hint="eastAsia"/>
          <w:lang w:eastAsia="zh-CN"/>
        </w:rPr>
        <w:drawing>
          <wp:inline distT="0" distB="0" distL="114300" distR="114300">
            <wp:extent cx="8124825" cy="4925695"/>
            <wp:effectExtent l="0" t="0" r="0" b="0"/>
            <wp:docPr id="40" name="图片 40" descr="175072273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50722733035"/>
                    <pic:cNvPicPr>
                      <a:picLocks noChangeAspect="1"/>
                    </pic:cNvPicPr>
                  </pic:nvPicPr>
                  <pic:blipFill>
                    <a:blip r:embed="rId52"/>
                    <a:srcRect b="6587"/>
                    <a:stretch>
                      <a:fillRect/>
                    </a:stretch>
                  </pic:blipFill>
                  <pic:spPr>
                    <a:xfrm>
                      <a:off x="0" y="0"/>
                      <a:ext cx="8124825" cy="4925695"/>
                    </a:xfrm>
                    <a:prstGeom prst="rect">
                      <a:avLst/>
                    </a:prstGeom>
                  </pic:spPr>
                </pic:pic>
              </a:graphicData>
            </a:graphic>
          </wp:inline>
        </w:drawing>
      </w:r>
    </w:p>
    <w:p w14:paraId="38C2E324">
      <w:pPr>
        <w:jc w:val="center"/>
        <w:rPr>
          <w:rFonts w:hint="default"/>
          <w:sz w:val="44"/>
          <w:szCs w:val="44"/>
          <w:lang w:val="en-US"/>
        </w:rPr>
      </w:pPr>
      <w:r>
        <w:rPr>
          <w:rFonts w:hint="eastAsia"/>
          <w:b/>
          <w:bCs/>
          <w:sz w:val="44"/>
          <w:szCs w:val="44"/>
          <w:lang w:val="en-US" w:eastAsia="zh-CN"/>
        </w:rPr>
        <w:t>附图4项目所在地区域环境目标分布图</w:t>
      </w:r>
    </w:p>
    <w:p w14:paraId="4B268AEB">
      <w:pPr>
        <w:rPr>
          <w:rFonts w:hint="eastAsia"/>
          <w:lang w:eastAsia="zh-CN"/>
        </w:rPr>
      </w:pPr>
    </w:p>
    <w:sectPr>
      <w:pgSz w:w="16838" w:h="11906" w:orient="landscape"/>
      <w:pgMar w:top="1519" w:right="1440" w:bottom="1519" w:left="144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0000000000000000000"/>
    <w:charset w:val="00"/>
    <w:family w:val="auto"/>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C62528">
    <w:pPr>
      <w:pStyle w:val="2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8AEA23">
                          <w:pPr>
                            <w:pStyle w:val="20"/>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168AEA23">
                    <w:pPr>
                      <w:pStyle w:val="20"/>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6694B">
    <w:pPr>
      <w:pStyle w:val="2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BB1BDA">
                          <w:pPr>
                            <w:pStyle w:val="20"/>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7ABB1BDA">
                    <w:pPr>
                      <w:pStyle w:val="20"/>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6626F">
    <w:pPr>
      <w:pStyle w:val="11"/>
      <w:pBdr>
        <w:bottom w:val="dashed" w:color="auto" w:sz="4" w:space="1"/>
      </w:pBdr>
      <w:jc w:val="center"/>
      <w:rPr>
        <w:rFonts w:hint="eastAsia" w:ascii="Times New Roman" w:hAnsi="Times New Roman" w:cs="Times New Roman"/>
        <w:szCs w:val="18"/>
      </w:rPr>
    </w:pPr>
    <w:r>
      <w:rPr>
        <w:rFonts w:hint="eastAsia" w:ascii="Times New Roman" w:hAnsi="Times New Roman" w:cs="Times New Roman"/>
        <w:szCs w:val="18"/>
        <w:lang w:eastAsia="zh-CN"/>
      </w:rPr>
      <w:t>安徽长淮新材料有限公司</w:t>
    </w:r>
    <w:r>
      <w:rPr>
        <w:rFonts w:hint="eastAsia" w:ascii="Times New Roman" w:hAnsi="Times New Roman" w:cs="Times New Roman"/>
        <w:szCs w:val="18"/>
      </w:rPr>
      <w:t>年产5万吨环保型功能性添加剂(一期)化验室项目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D6DF5B"/>
    <w:multiLevelType w:val="singleLevel"/>
    <w:tmpl w:val="D9D6DF5B"/>
    <w:lvl w:ilvl="0" w:tentative="0">
      <w:start w:val="1"/>
      <w:numFmt w:val="bullet"/>
      <w:pStyle w:val="18"/>
      <w:lvlText w:val=""/>
      <w:lvlJc w:val="left"/>
      <w:pPr>
        <w:tabs>
          <w:tab w:val="left" w:pos="2040"/>
        </w:tabs>
        <w:ind w:left="2040" w:hanging="360"/>
      </w:pPr>
      <w:rPr>
        <w:rFonts w:hint="default" w:ascii="Wingdings" w:hAnsi="Wingdings"/>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桐人">
    <w15:presenceInfo w15:providerId="WPS Office" w15:userId="22877068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revisionView w:markup="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Q3MTI4Y2I1ZjIyZTMyYTRhNjY0ZmEyYzAyOTdhYjUifQ=="/>
  </w:docVars>
  <w:rsids>
    <w:rsidRoot w:val="0F1A74E1"/>
    <w:rsid w:val="00013654"/>
    <w:rsid w:val="000950EB"/>
    <w:rsid w:val="000B3D97"/>
    <w:rsid w:val="000E72D6"/>
    <w:rsid w:val="00101AE9"/>
    <w:rsid w:val="00112AA1"/>
    <w:rsid w:val="0011760F"/>
    <w:rsid w:val="00125861"/>
    <w:rsid w:val="00132403"/>
    <w:rsid w:val="0013354C"/>
    <w:rsid w:val="001434CE"/>
    <w:rsid w:val="00144231"/>
    <w:rsid w:val="00150EAD"/>
    <w:rsid w:val="001950B5"/>
    <w:rsid w:val="001A64C4"/>
    <w:rsid w:val="001B223C"/>
    <w:rsid w:val="001C048E"/>
    <w:rsid w:val="001C6389"/>
    <w:rsid w:val="001F0CE1"/>
    <w:rsid w:val="001F1D2C"/>
    <w:rsid w:val="0020709F"/>
    <w:rsid w:val="00215723"/>
    <w:rsid w:val="00247B5B"/>
    <w:rsid w:val="00250CD9"/>
    <w:rsid w:val="00257A67"/>
    <w:rsid w:val="0026130D"/>
    <w:rsid w:val="002B247F"/>
    <w:rsid w:val="002C1113"/>
    <w:rsid w:val="002C74CA"/>
    <w:rsid w:val="002E3848"/>
    <w:rsid w:val="002E4C72"/>
    <w:rsid w:val="002E687C"/>
    <w:rsid w:val="00300B43"/>
    <w:rsid w:val="00300D6E"/>
    <w:rsid w:val="00310A92"/>
    <w:rsid w:val="00327CB1"/>
    <w:rsid w:val="003357D8"/>
    <w:rsid w:val="00337586"/>
    <w:rsid w:val="00344825"/>
    <w:rsid w:val="003532FE"/>
    <w:rsid w:val="003577A2"/>
    <w:rsid w:val="00380314"/>
    <w:rsid w:val="003C6FF5"/>
    <w:rsid w:val="003E1D4B"/>
    <w:rsid w:val="003E3A6C"/>
    <w:rsid w:val="003F6DE6"/>
    <w:rsid w:val="004259FF"/>
    <w:rsid w:val="00441793"/>
    <w:rsid w:val="00443541"/>
    <w:rsid w:val="0046375D"/>
    <w:rsid w:val="00467758"/>
    <w:rsid w:val="00496DA9"/>
    <w:rsid w:val="004970DF"/>
    <w:rsid w:val="004C0647"/>
    <w:rsid w:val="004C5D63"/>
    <w:rsid w:val="004D601E"/>
    <w:rsid w:val="004F2B5E"/>
    <w:rsid w:val="00512438"/>
    <w:rsid w:val="005253B5"/>
    <w:rsid w:val="005319D6"/>
    <w:rsid w:val="00537C28"/>
    <w:rsid w:val="00542C27"/>
    <w:rsid w:val="00561CAE"/>
    <w:rsid w:val="005714C6"/>
    <w:rsid w:val="005755DD"/>
    <w:rsid w:val="00583A0B"/>
    <w:rsid w:val="005940DC"/>
    <w:rsid w:val="005B1D90"/>
    <w:rsid w:val="005E1660"/>
    <w:rsid w:val="005F38DE"/>
    <w:rsid w:val="005F6A37"/>
    <w:rsid w:val="00612345"/>
    <w:rsid w:val="00623CE1"/>
    <w:rsid w:val="006360BD"/>
    <w:rsid w:val="00661625"/>
    <w:rsid w:val="006639C1"/>
    <w:rsid w:val="00671EFF"/>
    <w:rsid w:val="0069762B"/>
    <w:rsid w:val="006A4F4D"/>
    <w:rsid w:val="006B6D1F"/>
    <w:rsid w:val="006E05BE"/>
    <w:rsid w:val="00704336"/>
    <w:rsid w:val="00713800"/>
    <w:rsid w:val="007332E9"/>
    <w:rsid w:val="00733E26"/>
    <w:rsid w:val="00773916"/>
    <w:rsid w:val="007760B6"/>
    <w:rsid w:val="007A6C49"/>
    <w:rsid w:val="007C717F"/>
    <w:rsid w:val="007E4E5D"/>
    <w:rsid w:val="007F0F5A"/>
    <w:rsid w:val="00806DB0"/>
    <w:rsid w:val="00807108"/>
    <w:rsid w:val="008156D6"/>
    <w:rsid w:val="00816543"/>
    <w:rsid w:val="008431CD"/>
    <w:rsid w:val="00843E1B"/>
    <w:rsid w:val="00846033"/>
    <w:rsid w:val="00883F7A"/>
    <w:rsid w:val="00886609"/>
    <w:rsid w:val="00890D34"/>
    <w:rsid w:val="008A43CF"/>
    <w:rsid w:val="008B05E3"/>
    <w:rsid w:val="008B5614"/>
    <w:rsid w:val="008B7D2A"/>
    <w:rsid w:val="008E4ACC"/>
    <w:rsid w:val="008F127C"/>
    <w:rsid w:val="008F66AB"/>
    <w:rsid w:val="00900F7C"/>
    <w:rsid w:val="009225FB"/>
    <w:rsid w:val="009443E6"/>
    <w:rsid w:val="009658BE"/>
    <w:rsid w:val="009873F8"/>
    <w:rsid w:val="009A499C"/>
    <w:rsid w:val="009D3880"/>
    <w:rsid w:val="00A0348C"/>
    <w:rsid w:val="00A12741"/>
    <w:rsid w:val="00A24B21"/>
    <w:rsid w:val="00A42231"/>
    <w:rsid w:val="00A51176"/>
    <w:rsid w:val="00A566D5"/>
    <w:rsid w:val="00A9133B"/>
    <w:rsid w:val="00AB1FF2"/>
    <w:rsid w:val="00AC6E0E"/>
    <w:rsid w:val="00AE238E"/>
    <w:rsid w:val="00AF7125"/>
    <w:rsid w:val="00B06D0B"/>
    <w:rsid w:val="00B10357"/>
    <w:rsid w:val="00B14ED6"/>
    <w:rsid w:val="00B3306F"/>
    <w:rsid w:val="00B414A1"/>
    <w:rsid w:val="00B51FAF"/>
    <w:rsid w:val="00B5237F"/>
    <w:rsid w:val="00B52690"/>
    <w:rsid w:val="00B559E6"/>
    <w:rsid w:val="00B61D2A"/>
    <w:rsid w:val="00B61E8C"/>
    <w:rsid w:val="00B832B0"/>
    <w:rsid w:val="00B850A8"/>
    <w:rsid w:val="00B93A51"/>
    <w:rsid w:val="00BA66AE"/>
    <w:rsid w:val="00BE7797"/>
    <w:rsid w:val="00BF52BD"/>
    <w:rsid w:val="00C025D1"/>
    <w:rsid w:val="00C04AD4"/>
    <w:rsid w:val="00C13CC8"/>
    <w:rsid w:val="00C228D2"/>
    <w:rsid w:val="00C34089"/>
    <w:rsid w:val="00C530D9"/>
    <w:rsid w:val="00C5632D"/>
    <w:rsid w:val="00C627DB"/>
    <w:rsid w:val="00C823C4"/>
    <w:rsid w:val="00C827E2"/>
    <w:rsid w:val="00CD3536"/>
    <w:rsid w:val="00CD5961"/>
    <w:rsid w:val="00CF4366"/>
    <w:rsid w:val="00D40D69"/>
    <w:rsid w:val="00D72607"/>
    <w:rsid w:val="00DB3F8E"/>
    <w:rsid w:val="00DE3995"/>
    <w:rsid w:val="00DF14BB"/>
    <w:rsid w:val="00DF3BEE"/>
    <w:rsid w:val="00E50935"/>
    <w:rsid w:val="00E52530"/>
    <w:rsid w:val="00E52F76"/>
    <w:rsid w:val="00E57BE9"/>
    <w:rsid w:val="00E74B4B"/>
    <w:rsid w:val="00E865C2"/>
    <w:rsid w:val="00E90C66"/>
    <w:rsid w:val="00E97FBA"/>
    <w:rsid w:val="00EA058C"/>
    <w:rsid w:val="00EB1C84"/>
    <w:rsid w:val="00EB7E60"/>
    <w:rsid w:val="00ED1E2A"/>
    <w:rsid w:val="00ED4EB3"/>
    <w:rsid w:val="00EF5BA2"/>
    <w:rsid w:val="00F0443D"/>
    <w:rsid w:val="00F46D14"/>
    <w:rsid w:val="00F50CDF"/>
    <w:rsid w:val="00F66F31"/>
    <w:rsid w:val="00FD3793"/>
    <w:rsid w:val="00FE1942"/>
    <w:rsid w:val="0104655C"/>
    <w:rsid w:val="01066A48"/>
    <w:rsid w:val="01075E28"/>
    <w:rsid w:val="010A6538"/>
    <w:rsid w:val="010B2E65"/>
    <w:rsid w:val="010B6C42"/>
    <w:rsid w:val="01154E42"/>
    <w:rsid w:val="011614FB"/>
    <w:rsid w:val="01192C1F"/>
    <w:rsid w:val="01193A2F"/>
    <w:rsid w:val="011E5E26"/>
    <w:rsid w:val="01213B43"/>
    <w:rsid w:val="01242E93"/>
    <w:rsid w:val="01255120"/>
    <w:rsid w:val="01270AF9"/>
    <w:rsid w:val="0128294E"/>
    <w:rsid w:val="01286562"/>
    <w:rsid w:val="01287748"/>
    <w:rsid w:val="01287AB4"/>
    <w:rsid w:val="012C6BA1"/>
    <w:rsid w:val="012F05BA"/>
    <w:rsid w:val="013101B5"/>
    <w:rsid w:val="01323CE1"/>
    <w:rsid w:val="01325A8F"/>
    <w:rsid w:val="0132783D"/>
    <w:rsid w:val="01344A07"/>
    <w:rsid w:val="0137560B"/>
    <w:rsid w:val="013C06BC"/>
    <w:rsid w:val="013D34D7"/>
    <w:rsid w:val="013F05B8"/>
    <w:rsid w:val="013F77F9"/>
    <w:rsid w:val="01404FFF"/>
    <w:rsid w:val="01415CD2"/>
    <w:rsid w:val="0143002D"/>
    <w:rsid w:val="01431A4A"/>
    <w:rsid w:val="014337F8"/>
    <w:rsid w:val="01435AC5"/>
    <w:rsid w:val="01452E60"/>
    <w:rsid w:val="01455AEC"/>
    <w:rsid w:val="01475D3C"/>
    <w:rsid w:val="014B08FF"/>
    <w:rsid w:val="014C6B51"/>
    <w:rsid w:val="014F2E8B"/>
    <w:rsid w:val="014F34AC"/>
    <w:rsid w:val="014F4180"/>
    <w:rsid w:val="014F4893"/>
    <w:rsid w:val="014F6641"/>
    <w:rsid w:val="014F7656"/>
    <w:rsid w:val="01516274"/>
    <w:rsid w:val="01516B4A"/>
    <w:rsid w:val="015178A9"/>
    <w:rsid w:val="015242C0"/>
    <w:rsid w:val="01534385"/>
    <w:rsid w:val="01553334"/>
    <w:rsid w:val="01562CE7"/>
    <w:rsid w:val="0159301C"/>
    <w:rsid w:val="015A4A44"/>
    <w:rsid w:val="015B6D94"/>
    <w:rsid w:val="016043AA"/>
    <w:rsid w:val="016073E8"/>
    <w:rsid w:val="01607F94"/>
    <w:rsid w:val="01637D30"/>
    <w:rsid w:val="01671BDD"/>
    <w:rsid w:val="01673EBF"/>
    <w:rsid w:val="01680176"/>
    <w:rsid w:val="016C0FA1"/>
    <w:rsid w:val="016F430C"/>
    <w:rsid w:val="0170404F"/>
    <w:rsid w:val="017068EF"/>
    <w:rsid w:val="01710365"/>
    <w:rsid w:val="01751AD8"/>
    <w:rsid w:val="01770C0B"/>
    <w:rsid w:val="017878EF"/>
    <w:rsid w:val="017B7436"/>
    <w:rsid w:val="01814321"/>
    <w:rsid w:val="01814C8B"/>
    <w:rsid w:val="0182460A"/>
    <w:rsid w:val="01842867"/>
    <w:rsid w:val="01855436"/>
    <w:rsid w:val="01882206"/>
    <w:rsid w:val="018C6405"/>
    <w:rsid w:val="018D0F17"/>
    <w:rsid w:val="01924994"/>
    <w:rsid w:val="0192642E"/>
    <w:rsid w:val="01944054"/>
    <w:rsid w:val="019601E9"/>
    <w:rsid w:val="0196601E"/>
    <w:rsid w:val="01985BC2"/>
    <w:rsid w:val="01995B0E"/>
    <w:rsid w:val="019A3AB2"/>
    <w:rsid w:val="019B1886"/>
    <w:rsid w:val="019B2F5B"/>
    <w:rsid w:val="019E31A2"/>
    <w:rsid w:val="019F1377"/>
    <w:rsid w:val="01A00C4B"/>
    <w:rsid w:val="01A07A9B"/>
    <w:rsid w:val="01A14E6D"/>
    <w:rsid w:val="01A73E39"/>
    <w:rsid w:val="01A746B1"/>
    <w:rsid w:val="01A748D1"/>
    <w:rsid w:val="01A7595E"/>
    <w:rsid w:val="01A76C28"/>
    <w:rsid w:val="01A842C5"/>
    <w:rsid w:val="01A94F4C"/>
    <w:rsid w:val="01AA3FFB"/>
    <w:rsid w:val="01AF64BC"/>
    <w:rsid w:val="01AF70E0"/>
    <w:rsid w:val="01B12E58"/>
    <w:rsid w:val="01B15FAF"/>
    <w:rsid w:val="01B25157"/>
    <w:rsid w:val="01B52838"/>
    <w:rsid w:val="01BA1191"/>
    <w:rsid w:val="01BA4EE0"/>
    <w:rsid w:val="01BB0A97"/>
    <w:rsid w:val="01BB649A"/>
    <w:rsid w:val="01BE4222"/>
    <w:rsid w:val="01C22EC9"/>
    <w:rsid w:val="01C347D9"/>
    <w:rsid w:val="01C6148B"/>
    <w:rsid w:val="01C800A7"/>
    <w:rsid w:val="01C80EB6"/>
    <w:rsid w:val="01CF6808"/>
    <w:rsid w:val="01D152A8"/>
    <w:rsid w:val="01D46B46"/>
    <w:rsid w:val="01D54D98"/>
    <w:rsid w:val="01DA20AA"/>
    <w:rsid w:val="01DB1C83"/>
    <w:rsid w:val="01DB1F7B"/>
    <w:rsid w:val="01DD1E9F"/>
    <w:rsid w:val="01DD65A2"/>
    <w:rsid w:val="01E27B92"/>
    <w:rsid w:val="01E40F90"/>
    <w:rsid w:val="01E43525"/>
    <w:rsid w:val="01E46F63"/>
    <w:rsid w:val="01E70628"/>
    <w:rsid w:val="01EB45BC"/>
    <w:rsid w:val="01EB6E21"/>
    <w:rsid w:val="01F03350"/>
    <w:rsid w:val="01F21968"/>
    <w:rsid w:val="01F339D5"/>
    <w:rsid w:val="01F40F97"/>
    <w:rsid w:val="01F42D45"/>
    <w:rsid w:val="01F976FC"/>
    <w:rsid w:val="01FA5486"/>
    <w:rsid w:val="01FB228C"/>
    <w:rsid w:val="01FD0A4D"/>
    <w:rsid w:val="01FD2F18"/>
    <w:rsid w:val="01FE27B5"/>
    <w:rsid w:val="020016E9"/>
    <w:rsid w:val="02021905"/>
    <w:rsid w:val="02042614"/>
    <w:rsid w:val="0209606A"/>
    <w:rsid w:val="020B16A6"/>
    <w:rsid w:val="020C0A95"/>
    <w:rsid w:val="020C68B4"/>
    <w:rsid w:val="020D3558"/>
    <w:rsid w:val="020D57B6"/>
    <w:rsid w:val="020D74DD"/>
    <w:rsid w:val="02121FCC"/>
    <w:rsid w:val="02144A93"/>
    <w:rsid w:val="0216157C"/>
    <w:rsid w:val="021A09FD"/>
    <w:rsid w:val="021F6013"/>
    <w:rsid w:val="02203B3A"/>
    <w:rsid w:val="02212075"/>
    <w:rsid w:val="02213D51"/>
    <w:rsid w:val="022B70FD"/>
    <w:rsid w:val="022C6982"/>
    <w:rsid w:val="022D2771"/>
    <w:rsid w:val="022E68FE"/>
    <w:rsid w:val="022F0983"/>
    <w:rsid w:val="02300221"/>
    <w:rsid w:val="023029FC"/>
    <w:rsid w:val="02305C56"/>
    <w:rsid w:val="02322A0C"/>
    <w:rsid w:val="0233386D"/>
    <w:rsid w:val="02345383"/>
    <w:rsid w:val="02345425"/>
    <w:rsid w:val="02354A10"/>
    <w:rsid w:val="023748EE"/>
    <w:rsid w:val="02391278"/>
    <w:rsid w:val="02391BF0"/>
    <w:rsid w:val="023D5D50"/>
    <w:rsid w:val="023F0464"/>
    <w:rsid w:val="02441F1E"/>
    <w:rsid w:val="024837DC"/>
    <w:rsid w:val="024E2467"/>
    <w:rsid w:val="024E516F"/>
    <w:rsid w:val="024E71FD"/>
    <w:rsid w:val="024E73C1"/>
    <w:rsid w:val="024F720F"/>
    <w:rsid w:val="0250441F"/>
    <w:rsid w:val="02514EF6"/>
    <w:rsid w:val="025261C0"/>
    <w:rsid w:val="025760E2"/>
    <w:rsid w:val="02581684"/>
    <w:rsid w:val="02591C4C"/>
    <w:rsid w:val="025C23FB"/>
    <w:rsid w:val="025C7268"/>
    <w:rsid w:val="02610413"/>
    <w:rsid w:val="026142D1"/>
    <w:rsid w:val="0266577D"/>
    <w:rsid w:val="026A139A"/>
    <w:rsid w:val="026B16A9"/>
    <w:rsid w:val="026C678D"/>
    <w:rsid w:val="026D5E00"/>
    <w:rsid w:val="02700D57"/>
    <w:rsid w:val="02736F3F"/>
    <w:rsid w:val="02757D86"/>
    <w:rsid w:val="02764B21"/>
    <w:rsid w:val="02777BFD"/>
    <w:rsid w:val="02781BC8"/>
    <w:rsid w:val="02796A74"/>
    <w:rsid w:val="027C16B8"/>
    <w:rsid w:val="027D2D3A"/>
    <w:rsid w:val="027E45E3"/>
    <w:rsid w:val="027F2F56"/>
    <w:rsid w:val="02810A7C"/>
    <w:rsid w:val="02812582"/>
    <w:rsid w:val="02816CCE"/>
    <w:rsid w:val="02832A46"/>
    <w:rsid w:val="028422ED"/>
    <w:rsid w:val="028D2630"/>
    <w:rsid w:val="028E4F47"/>
    <w:rsid w:val="028F5751"/>
    <w:rsid w:val="028F5803"/>
    <w:rsid w:val="02900CBF"/>
    <w:rsid w:val="02902A6D"/>
    <w:rsid w:val="029070C0"/>
    <w:rsid w:val="02993083"/>
    <w:rsid w:val="029A653C"/>
    <w:rsid w:val="029C1412"/>
    <w:rsid w:val="029D18A6"/>
    <w:rsid w:val="029D518A"/>
    <w:rsid w:val="029F53A6"/>
    <w:rsid w:val="02A12ECC"/>
    <w:rsid w:val="02A51933"/>
    <w:rsid w:val="02A66735"/>
    <w:rsid w:val="02A76009"/>
    <w:rsid w:val="02AB4AF3"/>
    <w:rsid w:val="02AC112D"/>
    <w:rsid w:val="02AC72AB"/>
    <w:rsid w:val="02AE4195"/>
    <w:rsid w:val="02AF69EA"/>
    <w:rsid w:val="02B63FA7"/>
    <w:rsid w:val="02B67E74"/>
    <w:rsid w:val="02BB7746"/>
    <w:rsid w:val="02BE55E2"/>
    <w:rsid w:val="02BE7569"/>
    <w:rsid w:val="02C170CB"/>
    <w:rsid w:val="02C92423"/>
    <w:rsid w:val="02C92A88"/>
    <w:rsid w:val="02CA1633"/>
    <w:rsid w:val="02CC6723"/>
    <w:rsid w:val="02D037B2"/>
    <w:rsid w:val="02D11BD4"/>
    <w:rsid w:val="02D26AA1"/>
    <w:rsid w:val="02D54187"/>
    <w:rsid w:val="02D569EA"/>
    <w:rsid w:val="02D63692"/>
    <w:rsid w:val="02D91DE7"/>
    <w:rsid w:val="02DC57FB"/>
    <w:rsid w:val="02DF39F5"/>
    <w:rsid w:val="02E01C47"/>
    <w:rsid w:val="02E103E9"/>
    <w:rsid w:val="02E132C9"/>
    <w:rsid w:val="02E35293"/>
    <w:rsid w:val="02E352E7"/>
    <w:rsid w:val="02E37169"/>
    <w:rsid w:val="02E613D9"/>
    <w:rsid w:val="02E73D73"/>
    <w:rsid w:val="02E8243F"/>
    <w:rsid w:val="02E83FAA"/>
    <w:rsid w:val="02E910F0"/>
    <w:rsid w:val="02EA02C5"/>
    <w:rsid w:val="02EA34E4"/>
    <w:rsid w:val="02EA4873"/>
    <w:rsid w:val="02EE578C"/>
    <w:rsid w:val="02F53218"/>
    <w:rsid w:val="02F56B52"/>
    <w:rsid w:val="02F637FD"/>
    <w:rsid w:val="02FA25DD"/>
    <w:rsid w:val="02FC6355"/>
    <w:rsid w:val="02FE0C2D"/>
    <w:rsid w:val="02FE3E7B"/>
    <w:rsid w:val="02FF6C5F"/>
    <w:rsid w:val="02FF7BF3"/>
    <w:rsid w:val="03032814"/>
    <w:rsid w:val="030559FB"/>
    <w:rsid w:val="030719DC"/>
    <w:rsid w:val="030825EA"/>
    <w:rsid w:val="030B4E6A"/>
    <w:rsid w:val="03123187"/>
    <w:rsid w:val="03141B37"/>
    <w:rsid w:val="03157416"/>
    <w:rsid w:val="03185937"/>
    <w:rsid w:val="031A03D3"/>
    <w:rsid w:val="031D766C"/>
    <w:rsid w:val="031E167E"/>
    <w:rsid w:val="03200295"/>
    <w:rsid w:val="03231B33"/>
    <w:rsid w:val="032338E1"/>
    <w:rsid w:val="0324119F"/>
    <w:rsid w:val="03250DED"/>
    <w:rsid w:val="032575B9"/>
    <w:rsid w:val="032816F5"/>
    <w:rsid w:val="032929D3"/>
    <w:rsid w:val="032A2EC2"/>
    <w:rsid w:val="032A4589"/>
    <w:rsid w:val="032B09E8"/>
    <w:rsid w:val="032D26DE"/>
    <w:rsid w:val="032D4760"/>
    <w:rsid w:val="032E4F25"/>
    <w:rsid w:val="032E77FB"/>
    <w:rsid w:val="032F4D4A"/>
    <w:rsid w:val="032F672A"/>
    <w:rsid w:val="03301255"/>
    <w:rsid w:val="03301E6E"/>
    <w:rsid w:val="03351867"/>
    <w:rsid w:val="03353A41"/>
    <w:rsid w:val="0336365E"/>
    <w:rsid w:val="03376DB8"/>
    <w:rsid w:val="033A6712"/>
    <w:rsid w:val="033C49A3"/>
    <w:rsid w:val="033E390B"/>
    <w:rsid w:val="033F5DAF"/>
    <w:rsid w:val="0341020B"/>
    <w:rsid w:val="0341645D"/>
    <w:rsid w:val="034A5312"/>
    <w:rsid w:val="034C108A"/>
    <w:rsid w:val="034E4753"/>
    <w:rsid w:val="034F0B7A"/>
    <w:rsid w:val="034F2051"/>
    <w:rsid w:val="034F2928"/>
    <w:rsid w:val="03501AE0"/>
    <w:rsid w:val="03507512"/>
    <w:rsid w:val="03524AF0"/>
    <w:rsid w:val="03547671"/>
    <w:rsid w:val="03547F3F"/>
    <w:rsid w:val="03553EE4"/>
    <w:rsid w:val="035644BB"/>
    <w:rsid w:val="0359601B"/>
    <w:rsid w:val="035A42CC"/>
    <w:rsid w:val="035B12CD"/>
    <w:rsid w:val="035B4572"/>
    <w:rsid w:val="035D78B3"/>
    <w:rsid w:val="03663A8A"/>
    <w:rsid w:val="03676684"/>
    <w:rsid w:val="03680F95"/>
    <w:rsid w:val="03697A39"/>
    <w:rsid w:val="036A7762"/>
    <w:rsid w:val="036F39FE"/>
    <w:rsid w:val="036F67A3"/>
    <w:rsid w:val="037307C2"/>
    <w:rsid w:val="03754DBB"/>
    <w:rsid w:val="03760668"/>
    <w:rsid w:val="037836BC"/>
    <w:rsid w:val="03793528"/>
    <w:rsid w:val="03795C80"/>
    <w:rsid w:val="037F684F"/>
    <w:rsid w:val="03854360"/>
    <w:rsid w:val="03884C34"/>
    <w:rsid w:val="038A1948"/>
    <w:rsid w:val="038A33AB"/>
    <w:rsid w:val="038D16A3"/>
    <w:rsid w:val="038D496A"/>
    <w:rsid w:val="0390385D"/>
    <w:rsid w:val="03904403"/>
    <w:rsid w:val="03912AC4"/>
    <w:rsid w:val="039175D2"/>
    <w:rsid w:val="03936CB9"/>
    <w:rsid w:val="039449AF"/>
    <w:rsid w:val="039467C7"/>
    <w:rsid w:val="039741DC"/>
    <w:rsid w:val="03974ED2"/>
    <w:rsid w:val="0397775C"/>
    <w:rsid w:val="039B4242"/>
    <w:rsid w:val="039B6582"/>
    <w:rsid w:val="039C3694"/>
    <w:rsid w:val="039D1D62"/>
    <w:rsid w:val="03A2514E"/>
    <w:rsid w:val="03A52548"/>
    <w:rsid w:val="03A60534"/>
    <w:rsid w:val="03A61A43"/>
    <w:rsid w:val="03A61A90"/>
    <w:rsid w:val="03AA2FE2"/>
    <w:rsid w:val="03AB48B4"/>
    <w:rsid w:val="03AB4F52"/>
    <w:rsid w:val="03B17D9E"/>
    <w:rsid w:val="03B2335B"/>
    <w:rsid w:val="03B3040D"/>
    <w:rsid w:val="03B44E81"/>
    <w:rsid w:val="03B51189"/>
    <w:rsid w:val="03B620B9"/>
    <w:rsid w:val="03BB7FBE"/>
    <w:rsid w:val="03BD3D36"/>
    <w:rsid w:val="03BF2EBB"/>
    <w:rsid w:val="03C0788A"/>
    <w:rsid w:val="03C33F93"/>
    <w:rsid w:val="03C34149"/>
    <w:rsid w:val="03C55996"/>
    <w:rsid w:val="03C65A75"/>
    <w:rsid w:val="03C7077C"/>
    <w:rsid w:val="03C775CF"/>
    <w:rsid w:val="03CE26ED"/>
    <w:rsid w:val="03D42E2E"/>
    <w:rsid w:val="03D746CC"/>
    <w:rsid w:val="03DA51CD"/>
    <w:rsid w:val="03DA5C82"/>
    <w:rsid w:val="03DB14EE"/>
    <w:rsid w:val="03DD04B0"/>
    <w:rsid w:val="03DE4CF1"/>
    <w:rsid w:val="03DE7F1E"/>
    <w:rsid w:val="03E2379C"/>
    <w:rsid w:val="03E42333"/>
    <w:rsid w:val="03E47CA3"/>
    <w:rsid w:val="03E56DE9"/>
    <w:rsid w:val="03E5778C"/>
    <w:rsid w:val="03E72B61"/>
    <w:rsid w:val="03E77005"/>
    <w:rsid w:val="03EB7101"/>
    <w:rsid w:val="03EE1218"/>
    <w:rsid w:val="03F2770B"/>
    <w:rsid w:val="03F62DA4"/>
    <w:rsid w:val="03F870DC"/>
    <w:rsid w:val="03FD42A4"/>
    <w:rsid w:val="04002FD7"/>
    <w:rsid w:val="04003C23"/>
    <w:rsid w:val="040177F9"/>
    <w:rsid w:val="04043594"/>
    <w:rsid w:val="040556DD"/>
    <w:rsid w:val="040A3239"/>
    <w:rsid w:val="040A56FD"/>
    <w:rsid w:val="040D3CAC"/>
    <w:rsid w:val="040D4871"/>
    <w:rsid w:val="040D6820"/>
    <w:rsid w:val="04146D82"/>
    <w:rsid w:val="041651F4"/>
    <w:rsid w:val="04177352"/>
    <w:rsid w:val="04185410"/>
    <w:rsid w:val="041B1889"/>
    <w:rsid w:val="041E5ACA"/>
    <w:rsid w:val="04206136"/>
    <w:rsid w:val="04207454"/>
    <w:rsid w:val="042172A9"/>
    <w:rsid w:val="04242FC7"/>
    <w:rsid w:val="042876D4"/>
    <w:rsid w:val="04293179"/>
    <w:rsid w:val="042F1191"/>
    <w:rsid w:val="042F398A"/>
    <w:rsid w:val="043206E5"/>
    <w:rsid w:val="04340AAA"/>
    <w:rsid w:val="04351B1E"/>
    <w:rsid w:val="04361E2D"/>
    <w:rsid w:val="0438006D"/>
    <w:rsid w:val="04390EE3"/>
    <w:rsid w:val="043B10FF"/>
    <w:rsid w:val="043B150F"/>
    <w:rsid w:val="043C673E"/>
    <w:rsid w:val="0440480D"/>
    <w:rsid w:val="04425FE9"/>
    <w:rsid w:val="044A617F"/>
    <w:rsid w:val="044B7594"/>
    <w:rsid w:val="044F07A2"/>
    <w:rsid w:val="04500ADC"/>
    <w:rsid w:val="045126D0"/>
    <w:rsid w:val="0451520A"/>
    <w:rsid w:val="04520533"/>
    <w:rsid w:val="04524A4D"/>
    <w:rsid w:val="04533DF5"/>
    <w:rsid w:val="045350F9"/>
    <w:rsid w:val="0454474C"/>
    <w:rsid w:val="045A1143"/>
    <w:rsid w:val="045A3333"/>
    <w:rsid w:val="045D12A3"/>
    <w:rsid w:val="046643CE"/>
    <w:rsid w:val="04673CA2"/>
    <w:rsid w:val="04695C6C"/>
    <w:rsid w:val="046B19E4"/>
    <w:rsid w:val="046B451C"/>
    <w:rsid w:val="046C6DEA"/>
    <w:rsid w:val="046E43CA"/>
    <w:rsid w:val="04711C95"/>
    <w:rsid w:val="04722D72"/>
    <w:rsid w:val="047519F7"/>
    <w:rsid w:val="04782D76"/>
    <w:rsid w:val="04790026"/>
    <w:rsid w:val="047D3E7B"/>
    <w:rsid w:val="048003C8"/>
    <w:rsid w:val="04815689"/>
    <w:rsid w:val="0486237A"/>
    <w:rsid w:val="0487091A"/>
    <w:rsid w:val="048760F2"/>
    <w:rsid w:val="04894F5E"/>
    <w:rsid w:val="048C212A"/>
    <w:rsid w:val="048E51A9"/>
    <w:rsid w:val="048F0D2D"/>
    <w:rsid w:val="0490338C"/>
    <w:rsid w:val="049036F7"/>
    <w:rsid w:val="04910D1F"/>
    <w:rsid w:val="04912ACD"/>
    <w:rsid w:val="04931CC5"/>
    <w:rsid w:val="04932CE9"/>
    <w:rsid w:val="04940161"/>
    <w:rsid w:val="049440EF"/>
    <w:rsid w:val="049462DE"/>
    <w:rsid w:val="049525BD"/>
    <w:rsid w:val="04981B52"/>
    <w:rsid w:val="049977A8"/>
    <w:rsid w:val="049A0EC9"/>
    <w:rsid w:val="049A17F4"/>
    <w:rsid w:val="049D2642"/>
    <w:rsid w:val="049D4355"/>
    <w:rsid w:val="049D76C3"/>
    <w:rsid w:val="049E532B"/>
    <w:rsid w:val="04A11AF5"/>
    <w:rsid w:val="04A14D61"/>
    <w:rsid w:val="04A35713"/>
    <w:rsid w:val="04A647CA"/>
    <w:rsid w:val="04A70542"/>
    <w:rsid w:val="04A86794"/>
    <w:rsid w:val="04A8688D"/>
    <w:rsid w:val="04AA3A81"/>
    <w:rsid w:val="04AB37E2"/>
    <w:rsid w:val="04AC5B58"/>
    <w:rsid w:val="04AD54D3"/>
    <w:rsid w:val="04B05649"/>
    <w:rsid w:val="04B20DCF"/>
    <w:rsid w:val="04B8274F"/>
    <w:rsid w:val="04B92AD2"/>
    <w:rsid w:val="04BB3176"/>
    <w:rsid w:val="04BC244D"/>
    <w:rsid w:val="04BC5D9C"/>
    <w:rsid w:val="04BE589C"/>
    <w:rsid w:val="04BF3660"/>
    <w:rsid w:val="04C12EFD"/>
    <w:rsid w:val="04C21B55"/>
    <w:rsid w:val="04C2711D"/>
    <w:rsid w:val="04C31FE0"/>
    <w:rsid w:val="04C36455"/>
    <w:rsid w:val="04C7654C"/>
    <w:rsid w:val="04C86EA5"/>
    <w:rsid w:val="04C9495C"/>
    <w:rsid w:val="04CB2483"/>
    <w:rsid w:val="04CB4468"/>
    <w:rsid w:val="04CE24A2"/>
    <w:rsid w:val="04D15CDC"/>
    <w:rsid w:val="04D534BD"/>
    <w:rsid w:val="04D83DED"/>
    <w:rsid w:val="04DF5F2E"/>
    <w:rsid w:val="04DF7CDC"/>
    <w:rsid w:val="04E470A0"/>
    <w:rsid w:val="04E66DA8"/>
    <w:rsid w:val="04E7150E"/>
    <w:rsid w:val="04E85778"/>
    <w:rsid w:val="04E903A7"/>
    <w:rsid w:val="04E92820"/>
    <w:rsid w:val="04E978D1"/>
    <w:rsid w:val="04EE556D"/>
    <w:rsid w:val="04F516FB"/>
    <w:rsid w:val="04F6109D"/>
    <w:rsid w:val="04F7190C"/>
    <w:rsid w:val="04F80D9E"/>
    <w:rsid w:val="04F930C7"/>
    <w:rsid w:val="04FA6C67"/>
    <w:rsid w:val="04FB74DF"/>
    <w:rsid w:val="04FC4B0B"/>
    <w:rsid w:val="05025778"/>
    <w:rsid w:val="050301B1"/>
    <w:rsid w:val="05045994"/>
    <w:rsid w:val="05047743"/>
    <w:rsid w:val="0506170D"/>
    <w:rsid w:val="05070289"/>
    <w:rsid w:val="05092FAB"/>
    <w:rsid w:val="050B170C"/>
    <w:rsid w:val="050B4C74"/>
    <w:rsid w:val="050B6D23"/>
    <w:rsid w:val="051054BA"/>
    <w:rsid w:val="05143E2A"/>
    <w:rsid w:val="0515288D"/>
    <w:rsid w:val="05156EFE"/>
    <w:rsid w:val="05164FA1"/>
    <w:rsid w:val="05191114"/>
    <w:rsid w:val="051D57B0"/>
    <w:rsid w:val="05234C3E"/>
    <w:rsid w:val="0525547A"/>
    <w:rsid w:val="052573EE"/>
    <w:rsid w:val="052B1173"/>
    <w:rsid w:val="052D3F38"/>
    <w:rsid w:val="052E656D"/>
    <w:rsid w:val="05300538"/>
    <w:rsid w:val="053055AE"/>
    <w:rsid w:val="05322790"/>
    <w:rsid w:val="053242B0"/>
    <w:rsid w:val="05373674"/>
    <w:rsid w:val="053A3164"/>
    <w:rsid w:val="053A4F12"/>
    <w:rsid w:val="053B7608"/>
    <w:rsid w:val="053C0C8A"/>
    <w:rsid w:val="053C11E9"/>
    <w:rsid w:val="053E0EA6"/>
    <w:rsid w:val="053F077B"/>
    <w:rsid w:val="054110B3"/>
    <w:rsid w:val="0544213B"/>
    <w:rsid w:val="05471621"/>
    <w:rsid w:val="0548762F"/>
    <w:rsid w:val="054B711F"/>
    <w:rsid w:val="054D4F76"/>
    <w:rsid w:val="054D51EE"/>
    <w:rsid w:val="054F072B"/>
    <w:rsid w:val="05502D4D"/>
    <w:rsid w:val="05504736"/>
    <w:rsid w:val="05505507"/>
    <w:rsid w:val="05551D4C"/>
    <w:rsid w:val="0559298F"/>
    <w:rsid w:val="0559658C"/>
    <w:rsid w:val="055A5560"/>
    <w:rsid w:val="055C132D"/>
    <w:rsid w:val="0560380A"/>
    <w:rsid w:val="0560706F"/>
    <w:rsid w:val="05687CD1"/>
    <w:rsid w:val="056944A2"/>
    <w:rsid w:val="056A0AB5"/>
    <w:rsid w:val="056D52E8"/>
    <w:rsid w:val="056E4DF6"/>
    <w:rsid w:val="056F1060"/>
    <w:rsid w:val="056F1B47"/>
    <w:rsid w:val="056F2E0E"/>
    <w:rsid w:val="056F72B2"/>
    <w:rsid w:val="05704DD8"/>
    <w:rsid w:val="05720B6D"/>
    <w:rsid w:val="057231CE"/>
    <w:rsid w:val="05740424"/>
    <w:rsid w:val="05770CE7"/>
    <w:rsid w:val="05777856"/>
    <w:rsid w:val="05785C8A"/>
    <w:rsid w:val="05787E8E"/>
    <w:rsid w:val="057C19CF"/>
    <w:rsid w:val="057C2F04"/>
    <w:rsid w:val="057C3D1C"/>
    <w:rsid w:val="057C552B"/>
    <w:rsid w:val="057D0DBC"/>
    <w:rsid w:val="05812B41"/>
    <w:rsid w:val="05822C11"/>
    <w:rsid w:val="05832D5D"/>
    <w:rsid w:val="05832D9D"/>
    <w:rsid w:val="058421AB"/>
    <w:rsid w:val="05856AD5"/>
    <w:rsid w:val="058676A3"/>
    <w:rsid w:val="058A49FF"/>
    <w:rsid w:val="058B39C0"/>
    <w:rsid w:val="058F34B0"/>
    <w:rsid w:val="0591547A"/>
    <w:rsid w:val="05922FA0"/>
    <w:rsid w:val="05936AC0"/>
    <w:rsid w:val="05946FA8"/>
    <w:rsid w:val="05951C9A"/>
    <w:rsid w:val="059611F2"/>
    <w:rsid w:val="05986704"/>
    <w:rsid w:val="05A27D30"/>
    <w:rsid w:val="05A30D0A"/>
    <w:rsid w:val="05A32BC9"/>
    <w:rsid w:val="05A73074"/>
    <w:rsid w:val="05A97689"/>
    <w:rsid w:val="05AC22B4"/>
    <w:rsid w:val="05AF2FCC"/>
    <w:rsid w:val="05AF5900"/>
    <w:rsid w:val="05AF76AE"/>
    <w:rsid w:val="05B366B7"/>
    <w:rsid w:val="05B42F17"/>
    <w:rsid w:val="05B5373C"/>
    <w:rsid w:val="05B72F56"/>
    <w:rsid w:val="05BB6053"/>
    <w:rsid w:val="05BC1DCB"/>
    <w:rsid w:val="05BE71CA"/>
    <w:rsid w:val="05C03FCA"/>
    <w:rsid w:val="05C059EA"/>
    <w:rsid w:val="05C451BE"/>
    <w:rsid w:val="05C81175"/>
    <w:rsid w:val="05C814D1"/>
    <w:rsid w:val="05CE7FBD"/>
    <w:rsid w:val="05CF5FA2"/>
    <w:rsid w:val="05D02834"/>
    <w:rsid w:val="05D11D1B"/>
    <w:rsid w:val="05D45367"/>
    <w:rsid w:val="05D50A03"/>
    <w:rsid w:val="05D84E57"/>
    <w:rsid w:val="05DA2889"/>
    <w:rsid w:val="05DE0C95"/>
    <w:rsid w:val="05E57574"/>
    <w:rsid w:val="05E75F32"/>
    <w:rsid w:val="05E76E48"/>
    <w:rsid w:val="05EB3658"/>
    <w:rsid w:val="05EE6DAA"/>
    <w:rsid w:val="05EF03F3"/>
    <w:rsid w:val="05F115FA"/>
    <w:rsid w:val="05F15F19"/>
    <w:rsid w:val="05F34E83"/>
    <w:rsid w:val="05F34E9C"/>
    <w:rsid w:val="05F41C2F"/>
    <w:rsid w:val="05F51706"/>
    <w:rsid w:val="05F52048"/>
    <w:rsid w:val="05F72E03"/>
    <w:rsid w:val="05FA6BB2"/>
    <w:rsid w:val="05FC4B31"/>
    <w:rsid w:val="060101C2"/>
    <w:rsid w:val="060164D4"/>
    <w:rsid w:val="0608138F"/>
    <w:rsid w:val="060816FA"/>
    <w:rsid w:val="06090C01"/>
    <w:rsid w:val="06090E6E"/>
    <w:rsid w:val="060E6ACB"/>
    <w:rsid w:val="06135BCE"/>
    <w:rsid w:val="061439B5"/>
    <w:rsid w:val="06147E59"/>
    <w:rsid w:val="06157AD8"/>
    <w:rsid w:val="06177EE0"/>
    <w:rsid w:val="0619141B"/>
    <w:rsid w:val="0619721E"/>
    <w:rsid w:val="061B784D"/>
    <w:rsid w:val="061C6C31"/>
    <w:rsid w:val="061E6AAA"/>
    <w:rsid w:val="061F3C37"/>
    <w:rsid w:val="06221681"/>
    <w:rsid w:val="06224324"/>
    <w:rsid w:val="062652CF"/>
    <w:rsid w:val="06265ABD"/>
    <w:rsid w:val="06265C73"/>
    <w:rsid w:val="062A4F87"/>
    <w:rsid w:val="062E2782"/>
    <w:rsid w:val="062F07EF"/>
    <w:rsid w:val="063522A9"/>
    <w:rsid w:val="06361B7E"/>
    <w:rsid w:val="063C3527"/>
    <w:rsid w:val="063D4CBA"/>
    <w:rsid w:val="063D6CE4"/>
    <w:rsid w:val="063E0174"/>
    <w:rsid w:val="063F0D37"/>
    <w:rsid w:val="063F6C84"/>
    <w:rsid w:val="064029FC"/>
    <w:rsid w:val="0641242C"/>
    <w:rsid w:val="06415816"/>
    <w:rsid w:val="06432CD4"/>
    <w:rsid w:val="06441289"/>
    <w:rsid w:val="06445916"/>
    <w:rsid w:val="06472842"/>
    <w:rsid w:val="06486C30"/>
    <w:rsid w:val="064A12E8"/>
    <w:rsid w:val="064A14F4"/>
    <w:rsid w:val="064B7F72"/>
    <w:rsid w:val="064D1566"/>
    <w:rsid w:val="064F2C3F"/>
    <w:rsid w:val="064F40D5"/>
    <w:rsid w:val="065344DE"/>
    <w:rsid w:val="06547BC2"/>
    <w:rsid w:val="065613AF"/>
    <w:rsid w:val="0656700C"/>
    <w:rsid w:val="06567A9A"/>
    <w:rsid w:val="06590181"/>
    <w:rsid w:val="06595012"/>
    <w:rsid w:val="065A3ABE"/>
    <w:rsid w:val="065C4EC6"/>
    <w:rsid w:val="065C5002"/>
    <w:rsid w:val="065C6176"/>
    <w:rsid w:val="065D08AA"/>
    <w:rsid w:val="065D1D27"/>
    <w:rsid w:val="065D35AE"/>
    <w:rsid w:val="065D5943"/>
    <w:rsid w:val="065F10D4"/>
    <w:rsid w:val="065F2239"/>
    <w:rsid w:val="065F46BF"/>
    <w:rsid w:val="065F787C"/>
    <w:rsid w:val="06606C84"/>
    <w:rsid w:val="0661309E"/>
    <w:rsid w:val="06616243"/>
    <w:rsid w:val="066300E8"/>
    <w:rsid w:val="066466EB"/>
    <w:rsid w:val="06677F89"/>
    <w:rsid w:val="0668016C"/>
    <w:rsid w:val="06687E1B"/>
    <w:rsid w:val="06693D01"/>
    <w:rsid w:val="066A7A79"/>
    <w:rsid w:val="066B05A6"/>
    <w:rsid w:val="066C1A43"/>
    <w:rsid w:val="066D691C"/>
    <w:rsid w:val="066E34EC"/>
    <w:rsid w:val="066F5090"/>
    <w:rsid w:val="06700636"/>
    <w:rsid w:val="067032E2"/>
    <w:rsid w:val="06783BAF"/>
    <w:rsid w:val="067927FB"/>
    <w:rsid w:val="067B176A"/>
    <w:rsid w:val="067B1C86"/>
    <w:rsid w:val="067B75B4"/>
    <w:rsid w:val="067C324D"/>
    <w:rsid w:val="067C6ED9"/>
    <w:rsid w:val="067D7EF3"/>
    <w:rsid w:val="0680729D"/>
    <w:rsid w:val="06824166"/>
    <w:rsid w:val="06846D01"/>
    <w:rsid w:val="06852BBB"/>
    <w:rsid w:val="06865A54"/>
    <w:rsid w:val="06875245"/>
    <w:rsid w:val="06897EFF"/>
    <w:rsid w:val="068C2786"/>
    <w:rsid w:val="069114AA"/>
    <w:rsid w:val="06911A0A"/>
    <w:rsid w:val="069729ED"/>
    <w:rsid w:val="069A328D"/>
    <w:rsid w:val="069B7C33"/>
    <w:rsid w:val="06A03CF3"/>
    <w:rsid w:val="06A176D3"/>
    <w:rsid w:val="06A26ADE"/>
    <w:rsid w:val="06A30B9A"/>
    <w:rsid w:val="06A3450E"/>
    <w:rsid w:val="06A66996"/>
    <w:rsid w:val="06A845BA"/>
    <w:rsid w:val="06A9102C"/>
    <w:rsid w:val="06A938AC"/>
    <w:rsid w:val="06AB256C"/>
    <w:rsid w:val="06AE0CED"/>
    <w:rsid w:val="06AE6F3C"/>
    <w:rsid w:val="06AF48C8"/>
    <w:rsid w:val="06B02B5B"/>
    <w:rsid w:val="06B50CF4"/>
    <w:rsid w:val="06BA5035"/>
    <w:rsid w:val="06BC74A8"/>
    <w:rsid w:val="06C5626B"/>
    <w:rsid w:val="06C62F02"/>
    <w:rsid w:val="06C64923"/>
    <w:rsid w:val="06C673A5"/>
    <w:rsid w:val="06C70A28"/>
    <w:rsid w:val="06C76C7A"/>
    <w:rsid w:val="06C8571F"/>
    <w:rsid w:val="06C947A0"/>
    <w:rsid w:val="06CA277E"/>
    <w:rsid w:val="06CE7052"/>
    <w:rsid w:val="06CE70B8"/>
    <w:rsid w:val="06D22892"/>
    <w:rsid w:val="06D25A57"/>
    <w:rsid w:val="06D66EBD"/>
    <w:rsid w:val="06D83007"/>
    <w:rsid w:val="06D86136"/>
    <w:rsid w:val="06D93828"/>
    <w:rsid w:val="06DB44D3"/>
    <w:rsid w:val="06E17D3B"/>
    <w:rsid w:val="06E65352"/>
    <w:rsid w:val="06E97196"/>
    <w:rsid w:val="06EA1B0A"/>
    <w:rsid w:val="06EA4131"/>
    <w:rsid w:val="06EA450E"/>
    <w:rsid w:val="06EB076D"/>
    <w:rsid w:val="06EB2968"/>
    <w:rsid w:val="06EC048E"/>
    <w:rsid w:val="06EE06AA"/>
    <w:rsid w:val="06EE2458"/>
    <w:rsid w:val="06EE6695"/>
    <w:rsid w:val="06F0153D"/>
    <w:rsid w:val="06F04422"/>
    <w:rsid w:val="06F3506B"/>
    <w:rsid w:val="06F6179A"/>
    <w:rsid w:val="06F76D7E"/>
    <w:rsid w:val="07000B16"/>
    <w:rsid w:val="07033F39"/>
    <w:rsid w:val="07035F04"/>
    <w:rsid w:val="07057767"/>
    <w:rsid w:val="0708176C"/>
    <w:rsid w:val="07091A4F"/>
    <w:rsid w:val="070C30F3"/>
    <w:rsid w:val="070D7FE9"/>
    <w:rsid w:val="070E313E"/>
    <w:rsid w:val="070F64E0"/>
    <w:rsid w:val="07106873"/>
    <w:rsid w:val="07120E73"/>
    <w:rsid w:val="07132F6D"/>
    <w:rsid w:val="071418B8"/>
    <w:rsid w:val="071543B8"/>
    <w:rsid w:val="07155C37"/>
    <w:rsid w:val="071874D5"/>
    <w:rsid w:val="071954EF"/>
    <w:rsid w:val="071A4FFB"/>
    <w:rsid w:val="071B22B6"/>
    <w:rsid w:val="071C5C45"/>
    <w:rsid w:val="071D5244"/>
    <w:rsid w:val="072702BE"/>
    <w:rsid w:val="07281204"/>
    <w:rsid w:val="072930CA"/>
    <w:rsid w:val="072C21C1"/>
    <w:rsid w:val="072C4B12"/>
    <w:rsid w:val="072C6909"/>
    <w:rsid w:val="072D11D3"/>
    <w:rsid w:val="072D136C"/>
    <w:rsid w:val="0733430F"/>
    <w:rsid w:val="07350087"/>
    <w:rsid w:val="073C4F5C"/>
    <w:rsid w:val="0741050E"/>
    <w:rsid w:val="07474BDA"/>
    <w:rsid w:val="07481B68"/>
    <w:rsid w:val="074A6AAC"/>
    <w:rsid w:val="074D3623"/>
    <w:rsid w:val="074E6EE9"/>
    <w:rsid w:val="074E7893"/>
    <w:rsid w:val="07503F44"/>
    <w:rsid w:val="07504C61"/>
    <w:rsid w:val="07506C6F"/>
    <w:rsid w:val="07530298"/>
    <w:rsid w:val="0758386F"/>
    <w:rsid w:val="075A5E7B"/>
    <w:rsid w:val="075C5614"/>
    <w:rsid w:val="075F1F89"/>
    <w:rsid w:val="07612C2A"/>
    <w:rsid w:val="076573F4"/>
    <w:rsid w:val="0768045D"/>
    <w:rsid w:val="076D5735"/>
    <w:rsid w:val="076D7821"/>
    <w:rsid w:val="076F3599"/>
    <w:rsid w:val="076F41ED"/>
    <w:rsid w:val="07706E6E"/>
    <w:rsid w:val="07726BE5"/>
    <w:rsid w:val="07746198"/>
    <w:rsid w:val="07752CF0"/>
    <w:rsid w:val="07764F07"/>
    <w:rsid w:val="07772174"/>
    <w:rsid w:val="0777317C"/>
    <w:rsid w:val="077A0A8D"/>
    <w:rsid w:val="077A3FE6"/>
    <w:rsid w:val="077C1812"/>
    <w:rsid w:val="077E343C"/>
    <w:rsid w:val="077F5F2C"/>
    <w:rsid w:val="078048B9"/>
    <w:rsid w:val="07822663"/>
    <w:rsid w:val="07823025"/>
    <w:rsid w:val="07832BA1"/>
    <w:rsid w:val="0788465B"/>
    <w:rsid w:val="078A1921"/>
    <w:rsid w:val="078B00AF"/>
    <w:rsid w:val="078B1FB9"/>
    <w:rsid w:val="078B7A40"/>
    <w:rsid w:val="078E642C"/>
    <w:rsid w:val="07901F7A"/>
    <w:rsid w:val="07911761"/>
    <w:rsid w:val="07960FA0"/>
    <w:rsid w:val="07974D51"/>
    <w:rsid w:val="079B06BC"/>
    <w:rsid w:val="079C3C62"/>
    <w:rsid w:val="079C71D9"/>
    <w:rsid w:val="079D726B"/>
    <w:rsid w:val="07A02195"/>
    <w:rsid w:val="07A115CB"/>
    <w:rsid w:val="07A174CB"/>
    <w:rsid w:val="07A33E01"/>
    <w:rsid w:val="07AA728C"/>
    <w:rsid w:val="07AD6554"/>
    <w:rsid w:val="07B00E42"/>
    <w:rsid w:val="07B22115"/>
    <w:rsid w:val="07B2792A"/>
    <w:rsid w:val="07B45450"/>
    <w:rsid w:val="07B471FE"/>
    <w:rsid w:val="07B62F76"/>
    <w:rsid w:val="07B64A08"/>
    <w:rsid w:val="07BF6B8F"/>
    <w:rsid w:val="07C02047"/>
    <w:rsid w:val="07C309C8"/>
    <w:rsid w:val="07C72207"/>
    <w:rsid w:val="07C76200"/>
    <w:rsid w:val="07C80EFB"/>
    <w:rsid w:val="07C85456"/>
    <w:rsid w:val="07CA3EC9"/>
    <w:rsid w:val="07CE75F1"/>
    <w:rsid w:val="07D50775"/>
    <w:rsid w:val="07D56EA5"/>
    <w:rsid w:val="07D653C6"/>
    <w:rsid w:val="07DF2BD2"/>
    <w:rsid w:val="07E04497"/>
    <w:rsid w:val="07E10088"/>
    <w:rsid w:val="07E1193E"/>
    <w:rsid w:val="07E136A6"/>
    <w:rsid w:val="07E51281"/>
    <w:rsid w:val="07E52E90"/>
    <w:rsid w:val="07E5385B"/>
    <w:rsid w:val="07E7538A"/>
    <w:rsid w:val="07E775D3"/>
    <w:rsid w:val="07E850FA"/>
    <w:rsid w:val="07E86C40"/>
    <w:rsid w:val="07EB3BFC"/>
    <w:rsid w:val="07EC6998"/>
    <w:rsid w:val="07ED7F1F"/>
    <w:rsid w:val="07F1357E"/>
    <w:rsid w:val="07F25F78"/>
    <w:rsid w:val="07F43A9E"/>
    <w:rsid w:val="07F60B29"/>
    <w:rsid w:val="07F712CB"/>
    <w:rsid w:val="07F9151C"/>
    <w:rsid w:val="07FB6BDB"/>
    <w:rsid w:val="08000695"/>
    <w:rsid w:val="0800313E"/>
    <w:rsid w:val="08016490"/>
    <w:rsid w:val="08017F69"/>
    <w:rsid w:val="080223B8"/>
    <w:rsid w:val="0808579C"/>
    <w:rsid w:val="080F2686"/>
    <w:rsid w:val="081447CD"/>
    <w:rsid w:val="08171804"/>
    <w:rsid w:val="081A2F98"/>
    <w:rsid w:val="081C4913"/>
    <w:rsid w:val="081D704B"/>
    <w:rsid w:val="081D7FA8"/>
    <w:rsid w:val="081F094E"/>
    <w:rsid w:val="08236CAC"/>
    <w:rsid w:val="0824564F"/>
    <w:rsid w:val="08283748"/>
    <w:rsid w:val="08284165"/>
    <w:rsid w:val="08292BE9"/>
    <w:rsid w:val="08297BEC"/>
    <w:rsid w:val="082B09E9"/>
    <w:rsid w:val="082B7429"/>
    <w:rsid w:val="082D0FA0"/>
    <w:rsid w:val="082E5202"/>
    <w:rsid w:val="082F62F4"/>
    <w:rsid w:val="0831084F"/>
    <w:rsid w:val="083251D0"/>
    <w:rsid w:val="0833664F"/>
    <w:rsid w:val="0837398B"/>
    <w:rsid w:val="083A3E7D"/>
    <w:rsid w:val="083F4F56"/>
    <w:rsid w:val="08404F36"/>
    <w:rsid w:val="084163BB"/>
    <w:rsid w:val="08421BC8"/>
    <w:rsid w:val="08422A5C"/>
    <w:rsid w:val="08425411"/>
    <w:rsid w:val="0842655F"/>
    <w:rsid w:val="0844028A"/>
    <w:rsid w:val="08470072"/>
    <w:rsid w:val="08486EDF"/>
    <w:rsid w:val="084B6C7C"/>
    <w:rsid w:val="084D1933"/>
    <w:rsid w:val="084E1401"/>
    <w:rsid w:val="084E626A"/>
    <w:rsid w:val="085265C0"/>
    <w:rsid w:val="0854681A"/>
    <w:rsid w:val="08566507"/>
    <w:rsid w:val="08570EF4"/>
    <w:rsid w:val="085714BC"/>
    <w:rsid w:val="08581AE2"/>
    <w:rsid w:val="085B44D1"/>
    <w:rsid w:val="085D514A"/>
    <w:rsid w:val="085D5AE7"/>
    <w:rsid w:val="085D7896"/>
    <w:rsid w:val="085E6DC2"/>
    <w:rsid w:val="08605BE9"/>
    <w:rsid w:val="086230FE"/>
    <w:rsid w:val="08647224"/>
    <w:rsid w:val="08655071"/>
    <w:rsid w:val="08683767"/>
    <w:rsid w:val="086A3084"/>
    <w:rsid w:val="086B597F"/>
    <w:rsid w:val="086C5965"/>
    <w:rsid w:val="086D781E"/>
    <w:rsid w:val="086E3F84"/>
    <w:rsid w:val="086F1B39"/>
    <w:rsid w:val="08745B64"/>
    <w:rsid w:val="0878022B"/>
    <w:rsid w:val="0878647D"/>
    <w:rsid w:val="087A4356"/>
    <w:rsid w:val="087A4A9E"/>
    <w:rsid w:val="087B2722"/>
    <w:rsid w:val="087C63BC"/>
    <w:rsid w:val="087D508A"/>
    <w:rsid w:val="087E4839"/>
    <w:rsid w:val="08800C7C"/>
    <w:rsid w:val="08817E93"/>
    <w:rsid w:val="088272FC"/>
    <w:rsid w:val="08832493"/>
    <w:rsid w:val="08867257"/>
    <w:rsid w:val="0887776E"/>
    <w:rsid w:val="088923D7"/>
    <w:rsid w:val="088C017B"/>
    <w:rsid w:val="088D794E"/>
    <w:rsid w:val="088E1D7C"/>
    <w:rsid w:val="08941AA5"/>
    <w:rsid w:val="08955281"/>
    <w:rsid w:val="08955C95"/>
    <w:rsid w:val="089716ED"/>
    <w:rsid w:val="089900B5"/>
    <w:rsid w:val="089963F4"/>
    <w:rsid w:val="089D7C92"/>
    <w:rsid w:val="089E3A0A"/>
    <w:rsid w:val="08A05F2E"/>
    <w:rsid w:val="08A26EED"/>
    <w:rsid w:val="08A31EFC"/>
    <w:rsid w:val="08A47272"/>
    <w:rsid w:val="08A50945"/>
    <w:rsid w:val="08A640D8"/>
    <w:rsid w:val="08A70B11"/>
    <w:rsid w:val="08AC16C5"/>
    <w:rsid w:val="08AC25CB"/>
    <w:rsid w:val="08AF24D7"/>
    <w:rsid w:val="08B266C5"/>
    <w:rsid w:val="08B51480"/>
    <w:rsid w:val="08B5506F"/>
    <w:rsid w:val="08B63EA5"/>
    <w:rsid w:val="08B915CA"/>
    <w:rsid w:val="08B975FF"/>
    <w:rsid w:val="08BA6A96"/>
    <w:rsid w:val="08BC12A9"/>
    <w:rsid w:val="08BC21AF"/>
    <w:rsid w:val="08BE1AE3"/>
    <w:rsid w:val="08C1341F"/>
    <w:rsid w:val="08C23B9D"/>
    <w:rsid w:val="08C50C45"/>
    <w:rsid w:val="08C538B7"/>
    <w:rsid w:val="08C6368D"/>
    <w:rsid w:val="08C71150"/>
    <w:rsid w:val="08C77F45"/>
    <w:rsid w:val="08CC4A1B"/>
    <w:rsid w:val="08D0349B"/>
    <w:rsid w:val="08D31906"/>
    <w:rsid w:val="08D613F6"/>
    <w:rsid w:val="08D86D42"/>
    <w:rsid w:val="08DA2C94"/>
    <w:rsid w:val="08DA7138"/>
    <w:rsid w:val="08DB07BA"/>
    <w:rsid w:val="08DC62DA"/>
    <w:rsid w:val="08DF1698"/>
    <w:rsid w:val="08E04023"/>
    <w:rsid w:val="08E104C7"/>
    <w:rsid w:val="08E12275"/>
    <w:rsid w:val="08E25FED"/>
    <w:rsid w:val="08E41D65"/>
    <w:rsid w:val="08E720CC"/>
    <w:rsid w:val="08E92ED7"/>
    <w:rsid w:val="08E9531B"/>
    <w:rsid w:val="08EB3229"/>
    <w:rsid w:val="08EB4EA1"/>
    <w:rsid w:val="08EB557E"/>
    <w:rsid w:val="08EB6A17"/>
    <w:rsid w:val="08EC53DD"/>
    <w:rsid w:val="08EE7BA0"/>
    <w:rsid w:val="08EF501B"/>
    <w:rsid w:val="08F00370"/>
    <w:rsid w:val="08F11838"/>
    <w:rsid w:val="08F35831"/>
    <w:rsid w:val="08F43C68"/>
    <w:rsid w:val="08F50C8D"/>
    <w:rsid w:val="08F54642"/>
    <w:rsid w:val="08F63846"/>
    <w:rsid w:val="08FA6E92"/>
    <w:rsid w:val="08FC70AE"/>
    <w:rsid w:val="08FE3527"/>
    <w:rsid w:val="090029E8"/>
    <w:rsid w:val="09012917"/>
    <w:rsid w:val="09014112"/>
    <w:rsid w:val="090146C5"/>
    <w:rsid w:val="09063A89"/>
    <w:rsid w:val="09067F2D"/>
    <w:rsid w:val="09093579"/>
    <w:rsid w:val="090A578A"/>
    <w:rsid w:val="09107C0A"/>
    <w:rsid w:val="09114FA0"/>
    <w:rsid w:val="09130588"/>
    <w:rsid w:val="09141A18"/>
    <w:rsid w:val="091757C8"/>
    <w:rsid w:val="09175C96"/>
    <w:rsid w:val="09187C60"/>
    <w:rsid w:val="091C14FF"/>
    <w:rsid w:val="091D420B"/>
    <w:rsid w:val="09214893"/>
    <w:rsid w:val="09227807"/>
    <w:rsid w:val="09246792"/>
    <w:rsid w:val="09271C52"/>
    <w:rsid w:val="092B1742"/>
    <w:rsid w:val="092D370C"/>
    <w:rsid w:val="092D54BA"/>
    <w:rsid w:val="092D5890"/>
    <w:rsid w:val="092D62F0"/>
    <w:rsid w:val="092F6E09"/>
    <w:rsid w:val="09303554"/>
    <w:rsid w:val="09313816"/>
    <w:rsid w:val="093455B9"/>
    <w:rsid w:val="0935611C"/>
    <w:rsid w:val="09375C5F"/>
    <w:rsid w:val="0938662F"/>
    <w:rsid w:val="093920B1"/>
    <w:rsid w:val="093A7267"/>
    <w:rsid w:val="093E0C75"/>
    <w:rsid w:val="094817DD"/>
    <w:rsid w:val="094822F4"/>
    <w:rsid w:val="094A13A7"/>
    <w:rsid w:val="094A52F6"/>
    <w:rsid w:val="094E3039"/>
    <w:rsid w:val="09504FF4"/>
    <w:rsid w:val="095347F5"/>
    <w:rsid w:val="0955714E"/>
    <w:rsid w:val="09572537"/>
    <w:rsid w:val="095A265D"/>
    <w:rsid w:val="095A6D85"/>
    <w:rsid w:val="095B0389"/>
    <w:rsid w:val="095E1336"/>
    <w:rsid w:val="095E1B17"/>
    <w:rsid w:val="095E38C5"/>
    <w:rsid w:val="09605393"/>
    <w:rsid w:val="09615163"/>
    <w:rsid w:val="096441F2"/>
    <w:rsid w:val="0965025A"/>
    <w:rsid w:val="0965366A"/>
    <w:rsid w:val="09677133"/>
    <w:rsid w:val="096802A0"/>
    <w:rsid w:val="09680BF5"/>
    <w:rsid w:val="09683780"/>
    <w:rsid w:val="09694018"/>
    <w:rsid w:val="096A1E50"/>
    <w:rsid w:val="096B60C6"/>
    <w:rsid w:val="096E1AF0"/>
    <w:rsid w:val="096F24B4"/>
    <w:rsid w:val="09704607"/>
    <w:rsid w:val="097114FB"/>
    <w:rsid w:val="097162A3"/>
    <w:rsid w:val="09722A2B"/>
    <w:rsid w:val="09722ECD"/>
    <w:rsid w:val="09726820"/>
    <w:rsid w:val="09731054"/>
    <w:rsid w:val="09740E87"/>
    <w:rsid w:val="09773D0A"/>
    <w:rsid w:val="09773E24"/>
    <w:rsid w:val="09780AE4"/>
    <w:rsid w:val="0978425B"/>
    <w:rsid w:val="09795784"/>
    <w:rsid w:val="097E71E5"/>
    <w:rsid w:val="09811362"/>
    <w:rsid w:val="098267F6"/>
    <w:rsid w:val="09827358"/>
    <w:rsid w:val="09842C00"/>
    <w:rsid w:val="09871336"/>
    <w:rsid w:val="09876BF7"/>
    <w:rsid w:val="098933B6"/>
    <w:rsid w:val="098A46BA"/>
    <w:rsid w:val="098B2C2E"/>
    <w:rsid w:val="098C5306"/>
    <w:rsid w:val="09927D1B"/>
    <w:rsid w:val="099512B1"/>
    <w:rsid w:val="099754B7"/>
    <w:rsid w:val="09992B4F"/>
    <w:rsid w:val="099B14BB"/>
    <w:rsid w:val="099B2942"/>
    <w:rsid w:val="09A237B6"/>
    <w:rsid w:val="09A514F4"/>
    <w:rsid w:val="09A54DF0"/>
    <w:rsid w:val="09A80165"/>
    <w:rsid w:val="09AC2863"/>
    <w:rsid w:val="09AC2C7C"/>
    <w:rsid w:val="09AC5238"/>
    <w:rsid w:val="09AD4A12"/>
    <w:rsid w:val="09B07E99"/>
    <w:rsid w:val="09B23C11"/>
    <w:rsid w:val="09B5471F"/>
    <w:rsid w:val="09B702C0"/>
    <w:rsid w:val="09B904A8"/>
    <w:rsid w:val="09B96E8C"/>
    <w:rsid w:val="09BA5B2A"/>
    <w:rsid w:val="09BA7A15"/>
    <w:rsid w:val="09BC692F"/>
    <w:rsid w:val="09BE4364"/>
    <w:rsid w:val="09C000DC"/>
    <w:rsid w:val="09C0632E"/>
    <w:rsid w:val="09C12F73"/>
    <w:rsid w:val="09C1649F"/>
    <w:rsid w:val="09C37BCC"/>
    <w:rsid w:val="09C56173"/>
    <w:rsid w:val="09CD0A4B"/>
    <w:rsid w:val="09CF47C3"/>
    <w:rsid w:val="09D2328D"/>
    <w:rsid w:val="09D4008F"/>
    <w:rsid w:val="09D516AE"/>
    <w:rsid w:val="09D63345"/>
    <w:rsid w:val="09D75426"/>
    <w:rsid w:val="09D8102E"/>
    <w:rsid w:val="09D947CF"/>
    <w:rsid w:val="09DB182A"/>
    <w:rsid w:val="09DB7278"/>
    <w:rsid w:val="09DC2A3C"/>
    <w:rsid w:val="09DE70BA"/>
    <w:rsid w:val="09DE76CE"/>
    <w:rsid w:val="09E013D8"/>
    <w:rsid w:val="09E4703B"/>
    <w:rsid w:val="09E518F1"/>
    <w:rsid w:val="09E60981"/>
    <w:rsid w:val="09E71B0D"/>
    <w:rsid w:val="09E813E1"/>
    <w:rsid w:val="09E836C4"/>
    <w:rsid w:val="09EA6F07"/>
    <w:rsid w:val="09EF1549"/>
    <w:rsid w:val="09EF276F"/>
    <w:rsid w:val="09F14739"/>
    <w:rsid w:val="09F2400E"/>
    <w:rsid w:val="09F47D86"/>
    <w:rsid w:val="09F55070"/>
    <w:rsid w:val="09F558AC"/>
    <w:rsid w:val="09F636B3"/>
    <w:rsid w:val="09FA0553"/>
    <w:rsid w:val="09FC67F4"/>
    <w:rsid w:val="09FD7A5F"/>
    <w:rsid w:val="09FE0C04"/>
    <w:rsid w:val="0A037FC9"/>
    <w:rsid w:val="0A0505FE"/>
    <w:rsid w:val="0A0510B6"/>
    <w:rsid w:val="0A060033"/>
    <w:rsid w:val="0A084735"/>
    <w:rsid w:val="0A0A0275"/>
    <w:rsid w:val="0A0C17EE"/>
    <w:rsid w:val="0A0E3763"/>
    <w:rsid w:val="0A0F3905"/>
    <w:rsid w:val="0A1026E6"/>
    <w:rsid w:val="0A137410"/>
    <w:rsid w:val="0A1506D3"/>
    <w:rsid w:val="0A195A3E"/>
    <w:rsid w:val="0A1A3D63"/>
    <w:rsid w:val="0A1F7DCE"/>
    <w:rsid w:val="0A2175C7"/>
    <w:rsid w:val="0A232419"/>
    <w:rsid w:val="0A2368BD"/>
    <w:rsid w:val="0A252635"/>
    <w:rsid w:val="0A253FFD"/>
    <w:rsid w:val="0A2543E3"/>
    <w:rsid w:val="0A282000"/>
    <w:rsid w:val="0A286F7A"/>
    <w:rsid w:val="0A297390"/>
    <w:rsid w:val="0A2A768E"/>
    <w:rsid w:val="0A2B76E6"/>
    <w:rsid w:val="0A2E0C9A"/>
    <w:rsid w:val="0A2E74B8"/>
    <w:rsid w:val="0A2F386B"/>
    <w:rsid w:val="0A2F5262"/>
    <w:rsid w:val="0A342878"/>
    <w:rsid w:val="0A357927"/>
    <w:rsid w:val="0A36039E"/>
    <w:rsid w:val="0A36214C"/>
    <w:rsid w:val="0A3665F0"/>
    <w:rsid w:val="0A3746B8"/>
    <w:rsid w:val="0A391660"/>
    <w:rsid w:val="0A3C5294"/>
    <w:rsid w:val="0A3E37D4"/>
    <w:rsid w:val="0A406EBB"/>
    <w:rsid w:val="0A40746F"/>
    <w:rsid w:val="0A410AF1"/>
    <w:rsid w:val="0A420DCF"/>
    <w:rsid w:val="0A467399"/>
    <w:rsid w:val="0A4704BB"/>
    <w:rsid w:val="0A4707FD"/>
    <w:rsid w:val="0A4732E1"/>
    <w:rsid w:val="0A481D88"/>
    <w:rsid w:val="0A486F37"/>
    <w:rsid w:val="0A4B77A5"/>
    <w:rsid w:val="0A4C1970"/>
    <w:rsid w:val="0A4C1DF8"/>
    <w:rsid w:val="0A4C5E14"/>
    <w:rsid w:val="0A4F605B"/>
    <w:rsid w:val="0A4F76B2"/>
    <w:rsid w:val="0A504FE7"/>
    <w:rsid w:val="0A536594"/>
    <w:rsid w:val="0A5847B8"/>
    <w:rsid w:val="0A595E3B"/>
    <w:rsid w:val="0A5B7E05"/>
    <w:rsid w:val="0A5C592B"/>
    <w:rsid w:val="0A5D08A7"/>
    <w:rsid w:val="0A5E78F5"/>
    <w:rsid w:val="0A680B90"/>
    <w:rsid w:val="0A6B1C9E"/>
    <w:rsid w:val="0A6D009A"/>
    <w:rsid w:val="0A6F44B8"/>
    <w:rsid w:val="0A6F59D8"/>
    <w:rsid w:val="0A717628"/>
    <w:rsid w:val="0A777490"/>
    <w:rsid w:val="0A7964DD"/>
    <w:rsid w:val="0A7D4828"/>
    <w:rsid w:val="0A800542"/>
    <w:rsid w:val="0A8455AD"/>
    <w:rsid w:val="0A852B6F"/>
    <w:rsid w:val="0A861318"/>
    <w:rsid w:val="0A870BFA"/>
    <w:rsid w:val="0A876E4C"/>
    <w:rsid w:val="0A876F46"/>
    <w:rsid w:val="0A894972"/>
    <w:rsid w:val="0A8964F9"/>
    <w:rsid w:val="0A8A487F"/>
    <w:rsid w:val="0A8C76C6"/>
    <w:rsid w:val="0A8F5D00"/>
    <w:rsid w:val="0A911263"/>
    <w:rsid w:val="0A912696"/>
    <w:rsid w:val="0A92134D"/>
    <w:rsid w:val="0A973040"/>
    <w:rsid w:val="0A9A1B2A"/>
    <w:rsid w:val="0A9A472B"/>
    <w:rsid w:val="0A9A6B7F"/>
    <w:rsid w:val="0AA21DCC"/>
    <w:rsid w:val="0AA51080"/>
    <w:rsid w:val="0AA91055"/>
    <w:rsid w:val="0AAA48E8"/>
    <w:rsid w:val="0AAB206E"/>
    <w:rsid w:val="0AAC0816"/>
    <w:rsid w:val="0AAC35CD"/>
    <w:rsid w:val="0AB35643"/>
    <w:rsid w:val="0AB52B74"/>
    <w:rsid w:val="0AB67731"/>
    <w:rsid w:val="0AB81272"/>
    <w:rsid w:val="0AB84D4F"/>
    <w:rsid w:val="0AB87005"/>
    <w:rsid w:val="0AB9662C"/>
    <w:rsid w:val="0ABA143F"/>
    <w:rsid w:val="0ABD3BF9"/>
    <w:rsid w:val="0ABD5450"/>
    <w:rsid w:val="0AC01B2F"/>
    <w:rsid w:val="0AC0235E"/>
    <w:rsid w:val="0AC27E84"/>
    <w:rsid w:val="0AC36B4B"/>
    <w:rsid w:val="0AC736EC"/>
    <w:rsid w:val="0AC94BF5"/>
    <w:rsid w:val="0ACC25AD"/>
    <w:rsid w:val="0ACC2AB1"/>
    <w:rsid w:val="0ACC56B9"/>
    <w:rsid w:val="0AD02B1E"/>
    <w:rsid w:val="0AD41965"/>
    <w:rsid w:val="0AD72607"/>
    <w:rsid w:val="0ADA341F"/>
    <w:rsid w:val="0ADC2637"/>
    <w:rsid w:val="0ADD081A"/>
    <w:rsid w:val="0ADF27E4"/>
    <w:rsid w:val="0AE06CDF"/>
    <w:rsid w:val="0AE40B42"/>
    <w:rsid w:val="0AE447D7"/>
    <w:rsid w:val="0AE47DFA"/>
    <w:rsid w:val="0AE54D53"/>
    <w:rsid w:val="0AE727EE"/>
    <w:rsid w:val="0AE778EA"/>
    <w:rsid w:val="0AEB7056"/>
    <w:rsid w:val="0AEC0A3A"/>
    <w:rsid w:val="0AF10769"/>
    <w:rsid w:val="0AF142C5"/>
    <w:rsid w:val="0AF27792"/>
    <w:rsid w:val="0AF33DC6"/>
    <w:rsid w:val="0AF50259"/>
    <w:rsid w:val="0AF64ACD"/>
    <w:rsid w:val="0AF65D7F"/>
    <w:rsid w:val="0AF674AA"/>
    <w:rsid w:val="0AF97AFD"/>
    <w:rsid w:val="0AFA123A"/>
    <w:rsid w:val="0AFB1C14"/>
    <w:rsid w:val="0AFB24CA"/>
    <w:rsid w:val="0AFD00AB"/>
    <w:rsid w:val="0AFD0EBC"/>
    <w:rsid w:val="0B041A88"/>
    <w:rsid w:val="0B057D70"/>
    <w:rsid w:val="0B071D3B"/>
    <w:rsid w:val="0B082A4D"/>
    <w:rsid w:val="0B09160F"/>
    <w:rsid w:val="0B0B182B"/>
    <w:rsid w:val="0B0C7351"/>
    <w:rsid w:val="0B0E4788"/>
    <w:rsid w:val="0B1123B1"/>
    <w:rsid w:val="0B112BB9"/>
    <w:rsid w:val="0B116715"/>
    <w:rsid w:val="0B12482A"/>
    <w:rsid w:val="0B156206"/>
    <w:rsid w:val="0B161F7E"/>
    <w:rsid w:val="0B165733"/>
    <w:rsid w:val="0B183F48"/>
    <w:rsid w:val="0B1B64EB"/>
    <w:rsid w:val="0B1F0E32"/>
    <w:rsid w:val="0B1F18C4"/>
    <w:rsid w:val="0B1F52D6"/>
    <w:rsid w:val="0B204A9D"/>
    <w:rsid w:val="0B2226D0"/>
    <w:rsid w:val="0B2239FA"/>
    <w:rsid w:val="0B247F12"/>
    <w:rsid w:val="0B2508ED"/>
    <w:rsid w:val="0B275F39"/>
    <w:rsid w:val="0B297F03"/>
    <w:rsid w:val="0B2B1FCE"/>
    <w:rsid w:val="0B2B417C"/>
    <w:rsid w:val="0B2C441C"/>
    <w:rsid w:val="0B2E5519"/>
    <w:rsid w:val="0B2F6673"/>
    <w:rsid w:val="0B322488"/>
    <w:rsid w:val="0B324867"/>
    <w:rsid w:val="0B353A4F"/>
    <w:rsid w:val="0B3643CE"/>
    <w:rsid w:val="0B3C2631"/>
    <w:rsid w:val="0B3C6DA8"/>
    <w:rsid w:val="0B41349E"/>
    <w:rsid w:val="0B433AF2"/>
    <w:rsid w:val="0B464290"/>
    <w:rsid w:val="0B495EAF"/>
    <w:rsid w:val="0B4A13AC"/>
    <w:rsid w:val="0B4A355A"/>
    <w:rsid w:val="0B4A5BCD"/>
    <w:rsid w:val="0B4E219A"/>
    <w:rsid w:val="0B513434"/>
    <w:rsid w:val="0B5166AE"/>
    <w:rsid w:val="0B5450D5"/>
    <w:rsid w:val="0B5B0786"/>
    <w:rsid w:val="0B5C103D"/>
    <w:rsid w:val="0B5C7A80"/>
    <w:rsid w:val="0B5F6506"/>
    <w:rsid w:val="0B653679"/>
    <w:rsid w:val="0B655FB4"/>
    <w:rsid w:val="0B6576F5"/>
    <w:rsid w:val="0B661A58"/>
    <w:rsid w:val="0B6658BD"/>
    <w:rsid w:val="0B676EEA"/>
    <w:rsid w:val="0B696551"/>
    <w:rsid w:val="0B6B22C9"/>
    <w:rsid w:val="0B6B5998"/>
    <w:rsid w:val="0B6D2CFE"/>
    <w:rsid w:val="0B70056B"/>
    <w:rsid w:val="0B700CB1"/>
    <w:rsid w:val="0B7078E0"/>
    <w:rsid w:val="0B7218AA"/>
    <w:rsid w:val="0B723658"/>
    <w:rsid w:val="0B7423F7"/>
    <w:rsid w:val="0B765D27"/>
    <w:rsid w:val="0B7849E6"/>
    <w:rsid w:val="0B810E9E"/>
    <w:rsid w:val="0B8247A8"/>
    <w:rsid w:val="0B8359AC"/>
    <w:rsid w:val="0B865355"/>
    <w:rsid w:val="0B89451B"/>
    <w:rsid w:val="0B8A5E0A"/>
    <w:rsid w:val="0B8B296C"/>
    <w:rsid w:val="0B8C1C46"/>
    <w:rsid w:val="0B8C7D0B"/>
    <w:rsid w:val="0B8D2240"/>
    <w:rsid w:val="0B8D6013"/>
    <w:rsid w:val="0B8E16AB"/>
    <w:rsid w:val="0B920097"/>
    <w:rsid w:val="0B9263C7"/>
    <w:rsid w:val="0B927856"/>
    <w:rsid w:val="0B97217C"/>
    <w:rsid w:val="0B984452"/>
    <w:rsid w:val="0B9B06C1"/>
    <w:rsid w:val="0B9F71E3"/>
    <w:rsid w:val="0BA0204B"/>
    <w:rsid w:val="0BA13F3D"/>
    <w:rsid w:val="0BA510D5"/>
    <w:rsid w:val="0BA54B88"/>
    <w:rsid w:val="0BA61553"/>
    <w:rsid w:val="0BA7774D"/>
    <w:rsid w:val="0BA85FE8"/>
    <w:rsid w:val="0BAB0442"/>
    <w:rsid w:val="0BAB2AA6"/>
    <w:rsid w:val="0BAD401F"/>
    <w:rsid w:val="0BB02EC0"/>
    <w:rsid w:val="0BB2024E"/>
    <w:rsid w:val="0BB27EF8"/>
    <w:rsid w:val="0BB3364C"/>
    <w:rsid w:val="0BB35294"/>
    <w:rsid w:val="0BB7146C"/>
    <w:rsid w:val="0BB73761"/>
    <w:rsid w:val="0BBC2B25"/>
    <w:rsid w:val="0BC25540"/>
    <w:rsid w:val="0BC40159"/>
    <w:rsid w:val="0BC47C2C"/>
    <w:rsid w:val="0BC63851"/>
    <w:rsid w:val="0BC67E31"/>
    <w:rsid w:val="0BC67F78"/>
    <w:rsid w:val="0BC712C2"/>
    <w:rsid w:val="0BC83278"/>
    <w:rsid w:val="0BC914E5"/>
    <w:rsid w:val="0BCC35FC"/>
    <w:rsid w:val="0BCC4492"/>
    <w:rsid w:val="0BCD088E"/>
    <w:rsid w:val="0BCD419B"/>
    <w:rsid w:val="0BD0413A"/>
    <w:rsid w:val="0BD52526"/>
    <w:rsid w:val="0BD72CF1"/>
    <w:rsid w:val="0BD77A17"/>
    <w:rsid w:val="0BDA6660"/>
    <w:rsid w:val="0BDC0B16"/>
    <w:rsid w:val="0BDF2BDA"/>
    <w:rsid w:val="0BE259FB"/>
    <w:rsid w:val="0BE44893"/>
    <w:rsid w:val="0BE45BD8"/>
    <w:rsid w:val="0BE55E0C"/>
    <w:rsid w:val="0BE83ACE"/>
    <w:rsid w:val="0BEA2470"/>
    <w:rsid w:val="0BEA46B1"/>
    <w:rsid w:val="0BEA58E4"/>
    <w:rsid w:val="0BEA7692"/>
    <w:rsid w:val="0BEB75B1"/>
    <w:rsid w:val="0BED0F30"/>
    <w:rsid w:val="0BEF336F"/>
    <w:rsid w:val="0BEF4CA9"/>
    <w:rsid w:val="0BF027CF"/>
    <w:rsid w:val="0BF0712E"/>
    <w:rsid w:val="0BF202F5"/>
    <w:rsid w:val="0BF46F3F"/>
    <w:rsid w:val="0BF55E1C"/>
    <w:rsid w:val="0BF70001"/>
    <w:rsid w:val="0BF85045"/>
    <w:rsid w:val="0BF91683"/>
    <w:rsid w:val="0BF945B1"/>
    <w:rsid w:val="0BFC54F5"/>
    <w:rsid w:val="0BFC66C8"/>
    <w:rsid w:val="0BFD7EC6"/>
    <w:rsid w:val="0C050C22"/>
    <w:rsid w:val="0C061FF2"/>
    <w:rsid w:val="0C0651AD"/>
    <w:rsid w:val="0C0727E4"/>
    <w:rsid w:val="0C0944D1"/>
    <w:rsid w:val="0C0B585A"/>
    <w:rsid w:val="0C0E5AEB"/>
    <w:rsid w:val="0C0F6BAC"/>
    <w:rsid w:val="0C105729"/>
    <w:rsid w:val="0C112E71"/>
    <w:rsid w:val="0C12796D"/>
    <w:rsid w:val="0C142961"/>
    <w:rsid w:val="0C1464BD"/>
    <w:rsid w:val="0C16497C"/>
    <w:rsid w:val="0C1C14A4"/>
    <w:rsid w:val="0C1D75DB"/>
    <w:rsid w:val="0C1E558E"/>
    <w:rsid w:val="0C1F363C"/>
    <w:rsid w:val="0C1F4E62"/>
    <w:rsid w:val="0C2506CA"/>
    <w:rsid w:val="0C2C5C40"/>
    <w:rsid w:val="0C2D5832"/>
    <w:rsid w:val="0C2E24BC"/>
    <w:rsid w:val="0C2F19F0"/>
    <w:rsid w:val="0C3157FF"/>
    <w:rsid w:val="0C322DE7"/>
    <w:rsid w:val="0C325230"/>
    <w:rsid w:val="0C33561A"/>
    <w:rsid w:val="0C360952"/>
    <w:rsid w:val="0C370182"/>
    <w:rsid w:val="0C3D6BC5"/>
    <w:rsid w:val="0C3E178C"/>
    <w:rsid w:val="0C3F5BB7"/>
    <w:rsid w:val="0C442FE8"/>
    <w:rsid w:val="0C452A2F"/>
    <w:rsid w:val="0C48517F"/>
    <w:rsid w:val="0C4B5A65"/>
    <w:rsid w:val="0C4C2685"/>
    <w:rsid w:val="0C4D1ADB"/>
    <w:rsid w:val="0C4F3999"/>
    <w:rsid w:val="0C5059D0"/>
    <w:rsid w:val="0C526741"/>
    <w:rsid w:val="0C526DCA"/>
    <w:rsid w:val="0C57284E"/>
    <w:rsid w:val="0C580AA0"/>
    <w:rsid w:val="0C5823BF"/>
    <w:rsid w:val="0C587157"/>
    <w:rsid w:val="0C59203A"/>
    <w:rsid w:val="0C5936DE"/>
    <w:rsid w:val="0C5B233E"/>
    <w:rsid w:val="0C61088C"/>
    <w:rsid w:val="0C62191E"/>
    <w:rsid w:val="0C654F33"/>
    <w:rsid w:val="0C665DE5"/>
    <w:rsid w:val="0C684A5B"/>
    <w:rsid w:val="0C6D112D"/>
    <w:rsid w:val="0C700313"/>
    <w:rsid w:val="0C71390F"/>
    <w:rsid w:val="0C732EEE"/>
    <w:rsid w:val="0C7451AE"/>
    <w:rsid w:val="0C7476C0"/>
    <w:rsid w:val="0C763554"/>
    <w:rsid w:val="0C774464"/>
    <w:rsid w:val="0C7B42D5"/>
    <w:rsid w:val="0C7D0506"/>
    <w:rsid w:val="0C8278CB"/>
    <w:rsid w:val="0C8317C7"/>
    <w:rsid w:val="0C831E9D"/>
    <w:rsid w:val="0C847D58"/>
    <w:rsid w:val="0C90517B"/>
    <w:rsid w:val="0C950B9E"/>
    <w:rsid w:val="0C965124"/>
    <w:rsid w:val="0C9668AB"/>
    <w:rsid w:val="0C9A5B78"/>
    <w:rsid w:val="0C9C460A"/>
    <w:rsid w:val="0C9D4705"/>
    <w:rsid w:val="0C9F4821"/>
    <w:rsid w:val="0C9F65F1"/>
    <w:rsid w:val="0CA01121"/>
    <w:rsid w:val="0CA041F5"/>
    <w:rsid w:val="0CA217EA"/>
    <w:rsid w:val="0CA21D12"/>
    <w:rsid w:val="0CA43CE5"/>
    <w:rsid w:val="0CA5332B"/>
    <w:rsid w:val="0CA57A5D"/>
    <w:rsid w:val="0CA826EC"/>
    <w:rsid w:val="0CAB2DC4"/>
    <w:rsid w:val="0CAE02B5"/>
    <w:rsid w:val="0CAE6912"/>
    <w:rsid w:val="0CAF17E2"/>
    <w:rsid w:val="0CAF268A"/>
    <w:rsid w:val="0CAF4438"/>
    <w:rsid w:val="0CB13FF3"/>
    <w:rsid w:val="0CB17C12"/>
    <w:rsid w:val="0CB608A8"/>
    <w:rsid w:val="0CB96E09"/>
    <w:rsid w:val="0CBB22AC"/>
    <w:rsid w:val="0CBB3FF9"/>
    <w:rsid w:val="0CBE28CD"/>
    <w:rsid w:val="0CBF5B3A"/>
    <w:rsid w:val="0CC003F3"/>
    <w:rsid w:val="0CC223BD"/>
    <w:rsid w:val="0CC47EE3"/>
    <w:rsid w:val="0CC73E81"/>
    <w:rsid w:val="0CC807DA"/>
    <w:rsid w:val="0CC9374C"/>
    <w:rsid w:val="0CCC77DA"/>
    <w:rsid w:val="0CCD2354"/>
    <w:rsid w:val="0CCE224F"/>
    <w:rsid w:val="0CCE3A1E"/>
    <w:rsid w:val="0CD32DDF"/>
    <w:rsid w:val="0CD5331C"/>
    <w:rsid w:val="0CD80FB6"/>
    <w:rsid w:val="0CD84241"/>
    <w:rsid w:val="0CD90EE9"/>
    <w:rsid w:val="0CD94122"/>
    <w:rsid w:val="0CD94771"/>
    <w:rsid w:val="0CDA7707"/>
    <w:rsid w:val="0CDB347F"/>
    <w:rsid w:val="0CDD4A4E"/>
    <w:rsid w:val="0CDF2F6F"/>
    <w:rsid w:val="0CE20369"/>
    <w:rsid w:val="0CE41AC4"/>
    <w:rsid w:val="0CE5008E"/>
    <w:rsid w:val="0CE71DE0"/>
    <w:rsid w:val="0CE83A40"/>
    <w:rsid w:val="0CE92278"/>
    <w:rsid w:val="0CF236F8"/>
    <w:rsid w:val="0CF307C8"/>
    <w:rsid w:val="0CF34325"/>
    <w:rsid w:val="0CF6195F"/>
    <w:rsid w:val="0CF705D6"/>
    <w:rsid w:val="0CF71B5A"/>
    <w:rsid w:val="0CF82C2D"/>
    <w:rsid w:val="0CF87B8D"/>
    <w:rsid w:val="0CF97B3D"/>
    <w:rsid w:val="0CFA1B57"/>
    <w:rsid w:val="0CFD51A3"/>
    <w:rsid w:val="0CFE7E0D"/>
    <w:rsid w:val="0D0069DE"/>
    <w:rsid w:val="0D0227BA"/>
    <w:rsid w:val="0D02678E"/>
    <w:rsid w:val="0D054058"/>
    <w:rsid w:val="0D080EBF"/>
    <w:rsid w:val="0D085D56"/>
    <w:rsid w:val="0D093B48"/>
    <w:rsid w:val="0D0C188A"/>
    <w:rsid w:val="0D166265"/>
    <w:rsid w:val="0D1B16BD"/>
    <w:rsid w:val="0D1B365A"/>
    <w:rsid w:val="0D1C22AB"/>
    <w:rsid w:val="0D1D0481"/>
    <w:rsid w:val="0D1F511A"/>
    <w:rsid w:val="0D2131A7"/>
    <w:rsid w:val="0D232E37"/>
    <w:rsid w:val="0D233138"/>
    <w:rsid w:val="0D233491"/>
    <w:rsid w:val="0D23735A"/>
    <w:rsid w:val="0D237E96"/>
    <w:rsid w:val="0D26294C"/>
    <w:rsid w:val="0D270472"/>
    <w:rsid w:val="0D281CCE"/>
    <w:rsid w:val="0D350DE1"/>
    <w:rsid w:val="0D3A63F7"/>
    <w:rsid w:val="0D3B7E14"/>
    <w:rsid w:val="0D3C4317"/>
    <w:rsid w:val="0D3E47AD"/>
    <w:rsid w:val="0D3F0603"/>
    <w:rsid w:val="0D3F40C1"/>
    <w:rsid w:val="0D3F57BC"/>
    <w:rsid w:val="0D407866"/>
    <w:rsid w:val="0D415C78"/>
    <w:rsid w:val="0D416D9E"/>
    <w:rsid w:val="0D447276"/>
    <w:rsid w:val="0D447CF4"/>
    <w:rsid w:val="0D466117"/>
    <w:rsid w:val="0D470D78"/>
    <w:rsid w:val="0D4728C2"/>
    <w:rsid w:val="0D481120"/>
    <w:rsid w:val="0D4B1CD1"/>
    <w:rsid w:val="0D4B5F8A"/>
    <w:rsid w:val="0D4C3EFE"/>
    <w:rsid w:val="0D4E59FF"/>
    <w:rsid w:val="0D4F1B22"/>
    <w:rsid w:val="0D500D75"/>
    <w:rsid w:val="0D5037F2"/>
    <w:rsid w:val="0D511E4A"/>
    <w:rsid w:val="0D564607"/>
    <w:rsid w:val="0D5B77A5"/>
    <w:rsid w:val="0D5E339D"/>
    <w:rsid w:val="0D5F19BA"/>
    <w:rsid w:val="0D5F7C0C"/>
    <w:rsid w:val="0D6014DD"/>
    <w:rsid w:val="0D6115F5"/>
    <w:rsid w:val="0D6214AA"/>
    <w:rsid w:val="0D6677D6"/>
    <w:rsid w:val="0D6A409F"/>
    <w:rsid w:val="0D6C2329"/>
    <w:rsid w:val="0D6D5D30"/>
    <w:rsid w:val="0D6F0642"/>
    <w:rsid w:val="0D70006B"/>
    <w:rsid w:val="0D7123E9"/>
    <w:rsid w:val="0D7336B7"/>
    <w:rsid w:val="0D761A1F"/>
    <w:rsid w:val="0D766D04"/>
    <w:rsid w:val="0D776940"/>
    <w:rsid w:val="0D780CCE"/>
    <w:rsid w:val="0D805053"/>
    <w:rsid w:val="0D837D9E"/>
    <w:rsid w:val="0D865FF2"/>
    <w:rsid w:val="0D897A5E"/>
    <w:rsid w:val="0D8A1D87"/>
    <w:rsid w:val="0D8D3F85"/>
    <w:rsid w:val="0D8D4779"/>
    <w:rsid w:val="0D8E2BDF"/>
    <w:rsid w:val="0D8F29E4"/>
    <w:rsid w:val="0D907DC5"/>
    <w:rsid w:val="0D915FD5"/>
    <w:rsid w:val="0D9765DF"/>
    <w:rsid w:val="0D9B6C4A"/>
    <w:rsid w:val="0D9B7981"/>
    <w:rsid w:val="0DA10224"/>
    <w:rsid w:val="0DA11FD2"/>
    <w:rsid w:val="0DA16476"/>
    <w:rsid w:val="0DA230FC"/>
    <w:rsid w:val="0DA27AF9"/>
    <w:rsid w:val="0DA32347"/>
    <w:rsid w:val="0DA43871"/>
    <w:rsid w:val="0DA442E1"/>
    <w:rsid w:val="0DA907EF"/>
    <w:rsid w:val="0DA90E87"/>
    <w:rsid w:val="0DA970D9"/>
    <w:rsid w:val="0DAC2403"/>
    <w:rsid w:val="0DAD4E1B"/>
    <w:rsid w:val="0DAE1B89"/>
    <w:rsid w:val="0DB029F1"/>
    <w:rsid w:val="0DB201C0"/>
    <w:rsid w:val="0DB461AA"/>
    <w:rsid w:val="0DB53CD0"/>
    <w:rsid w:val="0DB71B0D"/>
    <w:rsid w:val="0DBA3094"/>
    <w:rsid w:val="0DBA5B74"/>
    <w:rsid w:val="0DBE1A50"/>
    <w:rsid w:val="0DBE38B4"/>
    <w:rsid w:val="0DC23221"/>
    <w:rsid w:val="0DC3019B"/>
    <w:rsid w:val="0DC33621"/>
    <w:rsid w:val="0DC4058F"/>
    <w:rsid w:val="0DC42DDE"/>
    <w:rsid w:val="0DC54C1B"/>
    <w:rsid w:val="0DC91529"/>
    <w:rsid w:val="0DC9375D"/>
    <w:rsid w:val="0DC9476C"/>
    <w:rsid w:val="0DC97C18"/>
    <w:rsid w:val="0DCA796E"/>
    <w:rsid w:val="0DCA7D52"/>
    <w:rsid w:val="0DCC024E"/>
    <w:rsid w:val="0DCE6B40"/>
    <w:rsid w:val="0DD04666"/>
    <w:rsid w:val="0DD12DB9"/>
    <w:rsid w:val="0DD141D6"/>
    <w:rsid w:val="0DD26630"/>
    <w:rsid w:val="0DD51C7C"/>
    <w:rsid w:val="0DD56120"/>
    <w:rsid w:val="0DD81515"/>
    <w:rsid w:val="0DD816A2"/>
    <w:rsid w:val="0DD81A96"/>
    <w:rsid w:val="0DDA54E4"/>
    <w:rsid w:val="0DDB1CC4"/>
    <w:rsid w:val="0DDB6BA9"/>
    <w:rsid w:val="0DE45DFB"/>
    <w:rsid w:val="0DE87C01"/>
    <w:rsid w:val="0DE97EAF"/>
    <w:rsid w:val="0DEB14A0"/>
    <w:rsid w:val="0DEE3BAE"/>
    <w:rsid w:val="0DEF71E2"/>
    <w:rsid w:val="0DF30354"/>
    <w:rsid w:val="0DF476ED"/>
    <w:rsid w:val="0DF57C95"/>
    <w:rsid w:val="0DF73A45"/>
    <w:rsid w:val="0DF826B9"/>
    <w:rsid w:val="0DF83342"/>
    <w:rsid w:val="0DF93DF1"/>
    <w:rsid w:val="0DFA67E4"/>
    <w:rsid w:val="0DFC545B"/>
    <w:rsid w:val="0DFC5A94"/>
    <w:rsid w:val="0DFD52D4"/>
    <w:rsid w:val="0E00255D"/>
    <w:rsid w:val="0E0241F7"/>
    <w:rsid w:val="0E03425A"/>
    <w:rsid w:val="0E081A5C"/>
    <w:rsid w:val="0E0B096E"/>
    <w:rsid w:val="0E0B2B80"/>
    <w:rsid w:val="0E0C1F93"/>
    <w:rsid w:val="0E0E083C"/>
    <w:rsid w:val="0E0E7662"/>
    <w:rsid w:val="0E101EB9"/>
    <w:rsid w:val="0E1461FA"/>
    <w:rsid w:val="0E1704E7"/>
    <w:rsid w:val="0E1708B7"/>
    <w:rsid w:val="0E173A09"/>
    <w:rsid w:val="0E176AA9"/>
    <w:rsid w:val="0E1844BF"/>
    <w:rsid w:val="0E185C00"/>
    <w:rsid w:val="0E1B62C2"/>
    <w:rsid w:val="0E1C51DE"/>
    <w:rsid w:val="0E1C78AB"/>
    <w:rsid w:val="0E1D1A69"/>
    <w:rsid w:val="0E1E3623"/>
    <w:rsid w:val="0E232D13"/>
    <w:rsid w:val="0E245572"/>
    <w:rsid w:val="0E270499"/>
    <w:rsid w:val="0E273934"/>
    <w:rsid w:val="0E2C2B37"/>
    <w:rsid w:val="0E2E7323"/>
    <w:rsid w:val="0E2F3E86"/>
    <w:rsid w:val="0E2F75DE"/>
    <w:rsid w:val="0E327C36"/>
    <w:rsid w:val="0E35096D"/>
    <w:rsid w:val="0E3855FA"/>
    <w:rsid w:val="0E386761"/>
    <w:rsid w:val="0E39220B"/>
    <w:rsid w:val="0E3A5F83"/>
    <w:rsid w:val="0E3C64B2"/>
    <w:rsid w:val="0E3F25F0"/>
    <w:rsid w:val="0E4B63E2"/>
    <w:rsid w:val="0E4F5ED2"/>
    <w:rsid w:val="0E522245"/>
    <w:rsid w:val="0E553383"/>
    <w:rsid w:val="0E56100F"/>
    <w:rsid w:val="0E5704C1"/>
    <w:rsid w:val="0E574D87"/>
    <w:rsid w:val="0E5B6625"/>
    <w:rsid w:val="0E5E2469"/>
    <w:rsid w:val="0E600FE7"/>
    <w:rsid w:val="0E602F64"/>
    <w:rsid w:val="0E606097"/>
    <w:rsid w:val="0E613956"/>
    <w:rsid w:val="0E630180"/>
    <w:rsid w:val="0E653000"/>
    <w:rsid w:val="0E675CD8"/>
    <w:rsid w:val="0E6850CB"/>
    <w:rsid w:val="0E6911C2"/>
    <w:rsid w:val="0E6A2D0C"/>
    <w:rsid w:val="0E715E49"/>
    <w:rsid w:val="0E721A6C"/>
    <w:rsid w:val="0E731F27"/>
    <w:rsid w:val="0E750700"/>
    <w:rsid w:val="0E75128A"/>
    <w:rsid w:val="0E7705ED"/>
    <w:rsid w:val="0E7964FD"/>
    <w:rsid w:val="0E7A0BCF"/>
    <w:rsid w:val="0E7D6595"/>
    <w:rsid w:val="0E7E0566"/>
    <w:rsid w:val="0E8027DC"/>
    <w:rsid w:val="0E814C31"/>
    <w:rsid w:val="0E8327C4"/>
    <w:rsid w:val="0E873ED2"/>
    <w:rsid w:val="0E87566C"/>
    <w:rsid w:val="0E875836"/>
    <w:rsid w:val="0E8910BD"/>
    <w:rsid w:val="0E8973CD"/>
    <w:rsid w:val="0E8B5502"/>
    <w:rsid w:val="0E8C4899"/>
    <w:rsid w:val="0E8C4A31"/>
    <w:rsid w:val="0E8D07A9"/>
    <w:rsid w:val="0E8D0C20"/>
    <w:rsid w:val="0E8F2773"/>
    <w:rsid w:val="0E910299"/>
    <w:rsid w:val="0E927B6D"/>
    <w:rsid w:val="0E9346FD"/>
    <w:rsid w:val="0E98231D"/>
    <w:rsid w:val="0E9872D6"/>
    <w:rsid w:val="0E997665"/>
    <w:rsid w:val="0E9C038E"/>
    <w:rsid w:val="0E9D6C3E"/>
    <w:rsid w:val="0EA3062B"/>
    <w:rsid w:val="0EA343BD"/>
    <w:rsid w:val="0EA55AF2"/>
    <w:rsid w:val="0EA93835"/>
    <w:rsid w:val="0EAB3514"/>
    <w:rsid w:val="0EAF071F"/>
    <w:rsid w:val="0EB16245"/>
    <w:rsid w:val="0EB40990"/>
    <w:rsid w:val="0EB57808"/>
    <w:rsid w:val="0EB65F51"/>
    <w:rsid w:val="0EB67D00"/>
    <w:rsid w:val="0EBB3118"/>
    <w:rsid w:val="0EBB5380"/>
    <w:rsid w:val="0EC1530F"/>
    <w:rsid w:val="0EC341CA"/>
    <w:rsid w:val="0EC6483A"/>
    <w:rsid w:val="0EC71E62"/>
    <w:rsid w:val="0EC821F7"/>
    <w:rsid w:val="0EC85224"/>
    <w:rsid w:val="0ECD1453"/>
    <w:rsid w:val="0ECD5610"/>
    <w:rsid w:val="0ECE6141"/>
    <w:rsid w:val="0ECE702F"/>
    <w:rsid w:val="0ECF0DC1"/>
    <w:rsid w:val="0ED20AB6"/>
    <w:rsid w:val="0ED55183"/>
    <w:rsid w:val="0ED604E9"/>
    <w:rsid w:val="0EDB1514"/>
    <w:rsid w:val="0EDB1768"/>
    <w:rsid w:val="0EDF1AEA"/>
    <w:rsid w:val="0EDF7256"/>
    <w:rsid w:val="0EE21728"/>
    <w:rsid w:val="0EE55D05"/>
    <w:rsid w:val="0EE634A6"/>
    <w:rsid w:val="0EE72A52"/>
    <w:rsid w:val="0EEB7B1C"/>
    <w:rsid w:val="0EED6044"/>
    <w:rsid w:val="0EF02B48"/>
    <w:rsid w:val="0EF10D38"/>
    <w:rsid w:val="0EF3685E"/>
    <w:rsid w:val="0EF55077"/>
    <w:rsid w:val="0EF67752"/>
    <w:rsid w:val="0EF80318"/>
    <w:rsid w:val="0EF807AC"/>
    <w:rsid w:val="0EF877DC"/>
    <w:rsid w:val="0EF91869"/>
    <w:rsid w:val="0EFB1BB6"/>
    <w:rsid w:val="0EFB5712"/>
    <w:rsid w:val="0EFC4554"/>
    <w:rsid w:val="0EFC5932"/>
    <w:rsid w:val="0EFE5203"/>
    <w:rsid w:val="0EFF07A0"/>
    <w:rsid w:val="0EFF2622"/>
    <w:rsid w:val="0EFF704F"/>
    <w:rsid w:val="0F000F7B"/>
    <w:rsid w:val="0F0F08D0"/>
    <w:rsid w:val="0F0F5662"/>
    <w:rsid w:val="0F110AE2"/>
    <w:rsid w:val="0F1113D7"/>
    <w:rsid w:val="0F13113D"/>
    <w:rsid w:val="0F136F00"/>
    <w:rsid w:val="0F147644"/>
    <w:rsid w:val="0F147922"/>
    <w:rsid w:val="0F151F49"/>
    <w:rsid w:val="0F163C74"/>
    <w:rsid w:val="0F185116"/>
    <w:rsid w:val="0F190C16"/>
    <w:rsid w:val="0F1953E7"/>
    <w:rsid w:val="0F1A74E1"/>
    <w:rsid w:val="0F1B6A72"/>
    <w:rsid w:val="0F1B7B63"/>
    <w:rsid w:val="0F1C703F"/>
    <w:rsid w:val="0F1D3633"/>
    <w:rsid w:val="0F1F6A0C"/>
    <w:rsid w:val="0F204BAE"/>
    <w:rsid w:val="0F20535B"/>
    <w:rsid w:val="0F211612"/>
    <w:rsid w:val="0F224C14"/>
    <w:rsid w:val="0F22538D"/>
    <w:rsid w:val="0F234C69"/>
    <w:rsid w:val="0F254881"/>
    <w:rsid w:val="0F294770"/>
    <w:rsid w:val="0F2B249C"/>
    <w:rsid w:val="0F2C5F64"/>
    <w:rsid w:val="0F2C6214"/>
    <w:rsid w:val="0F2D785B"/>
    <w:rsid w:val="0F2E3D3A"/>
    <w:rsid w:val="0F2E788D"/>
    <w:rsid w:val="0F3277A7"/>
    <w:rsid w:val="0F3330FE"/>
    <w:rsid w:val="0F36499C"/>
    <w:rsid w:val="0F37442A"/>
    <w:rsid w:val="0F380D9A"/>
    <w:rsid w:val="0F3B1FB3"/>
    <w:rsid w:val="0F3C1B01"/>
    <w:rsid w:val="0F3C2F15"/>
    <w:rsid w:val="0F3D439E"/>
    <w:rsid w:val="0F400BA0"/>
    <w:rsid w:val="0F4252DA"/>
    <w:rsid w:val="0F432858"/>
    <w:rsid w:val="0F450727"/>
    <w:rsid w:val="0F4543A7"/>
    <w:rsid w:val="0F49054D"/>
    <w:rsid w:val="0F4F6F9D"/>
    <w:rsid w:val="0F506C15"/>
    <w:rsid w:val="0F506F98"/>
    <w:rsid w:val="0F517A28"/>
    <w:rsid w:val="0F546C41"/>
    <w:rsid w:val="0F5546E2"/>
    <w:rsid w:val="0F56503F"/>
    <w:rsid w:val="0F566DED"/>
    <w:rsid w:val="0F5A14BD"/>
    <w:rsid w:val="0F5C437C"/>
    <w:rsid w:val="0F5D2623"/>
    <w:rsid w:val="0F5F5CA1"/>
    <w:rsid w:val="0F6167BF"/>
    <w:rsid w:val="0F625A7E"/>
    <w:rsid w:val="0F64150A"/>
    <w:rsid w:val="0F6609D1"/>
    <w:rsid w:val="0F672DA8"/>
    <w:rsid w:val="0F697E5D"/>
    <w:rsid w:val="0F6A0FB2"/>
    <w:rsid w:val="0F6B3041"/>
    <w:rsid w:val="0F6B50CB"/>
    <w:rsid w:val="0F7014AD"/>
    <w:rsid w:val="0F722A26"/>
    <w:rsid w:val="0F742064"/>
    <w:rsid w:val="0F7423F2"/>
    <w:rsid w:val="0F760DE8"/>
    <w:rsid w:val="0F772D8D"/>
    <w:rsid w:val="0F784FB5"/>
    <w:rsid w:val="0F7B6853"/>
    <w:rsid w:val="0F7F00F1"/>
    <w:rsid w:val="0F7F2B6E"/>
    <w:rsid w:val="0F7F3DA7"/>
    <w:rsid w:val="0F7F6343"/>
    <w:rsid w:val="0F817E76"/>
    <w:rsid w:val="0F847388"/>
    <w:rsid w:val="0F855859"/>
    <w:rsid w:val="0F86109D"/>
    <w:rsid w:val="0F8728B5"/>
    <w:rsid w:val="0F8732BE"/>
    <w:rsid w:val="0F8932E2"/>
    <w:rsid w:val="0F8A5DC2"/>
    <w:rsid w:val="0F8D434C"/>
    <w:rsid w:val="0F8E7511"/>
    <w:rsid w:val="0F900551"/>
    <w:rsid w:val="0F917E25"/>
    <w:rsid w:val="0F974E41"/>
    <w:rsid w:val="0F977B31"/>
    <w:rsid w:val="0F9F0794"/>
    <w:rsid w:val="0F9F1332"/>
    <w:rsid w:val="0FA011D9"/>
    <w:rsid w:val="0FA062BA"/>
    <w:rsid w:val="0FA1398E"/>
    <w:rsid w:val="0FA61B22"/>
    <w:rsid w:val="0FA638D0"/>
    <w:rsid w:val="0FA933C0"/>
    <w:rsid w:val="0FAA3873"/>
    <w:rsid w:val="0FAB64D8"/>
    <w:rsid w:val="0FAD7159"/>
    <w:rsid w:val="0FAE0F39"/>
    <w:rsid w:val="0FAE2CE5"/>
    <w:rsid w:val="0FAF50EA"/>
    <w:rsid w:val="0FB25863"/>
    <w:rsid w:val="0FB277A7"/>
    <w:rsid w:val="0FB32491"/>
    <w:rsid w:val="0FB40444"/>
    <w:rsid w:val="0FB72B2B"/>
    <w:rsid w:val="0FB770C1"/>
    <w:rsid w:val="0FBC1346"/>
    <w:rsid w:val="0FBE0A70"/>
    <w:rsid w:val="0FBF0D10"/>
    <w:rsid w:val="0FBF0E36"/>
    <w:rsid w:val="0FBF36B0"/>
    <w:rsid w:val="0FC03B56"/>
    <w:rsid w:val="0FC1070A"/>
    <w:rsid w:val="0FC235BB"/>
    <w:rsid w:val="0FC2411A"/>
    <w:rsid w:val="0FC31E03"/>
    <w:rsid w:val="0FC4592A"/>
    <w:rsid w:val="0FC538A0"/>
    <w:rsid w:val="0FCA717D"/>
    <w:rsid w:val="0FCB77DB"/>
    <w:rsid w:val="0FCC03BE"/>
    <w:rsid w:val="0FCF0AB2"/>
    <w:rsid w:val="0FD1151F"/>
    <w:rsid w:val="0FD65FF9"/>
    <w:rsid w:val="0FD71945"/>
    <w:rsid w:val="0FD77F2D"/>
    <w:rsid w:val="0FD85593"/>
    <w:rsid w:val="0FDA17CC"/>
    <w:rsid w:val="0FDA30C2"/>
    <w:rsid w:val="0FDE5FC9"/>
    <w:rsid w:val="0FDF5034"/>
    <w:rsid w:val="0FE003EF"/>
    <w:rsid w:val="0FE03949"/>
    <w:rsid w:val="0FE30324"/>
    <w:rsid w:val="0FE54723"/>
    <w:rsid w:val="0FE648B0"/>
    <w:rsid w:val="0FEB17EC"/>
    <w:rsid w:val="0FEB39D9"/>
    <w:rsid w:val="0FED3546"/>
    <w:rsid w:val="0FF02D9D"/>
    <w:rsid w:val="0FF07749"/>
    <w:rsid w:val="0FF24D67"/>
    <w:rsid w:val="0FF360CA"/>
    <w:rsid w:val="0FF47CB4"/>
    <w:rsid w:val="0FF55E19"/>
    <w:rsid w:val="0FF56606"/>
    <w:rsid w:val="0FF7412C"/>
    <w:rsid w:val="0FF764C3"/>
    <w:rsid w:val="0FF82429"/>
    <w:rsid w:val="0FFB485C"/>
    <w:rsid w:val="0FFC5BE6"/>
    <w:rsid w:val="10046849"/>
    <w:rsid w:val="1006368A"/>
    <w:rsid w:val="100A27E6"/>
    <w:rsid w:val="100C3F23"/>
    <w:rsid w:val="10112952"/>
    <w:rsid w:val="10120392"/>
    <w:rsid w:val="10141182"/>
    <w:rsid w:val="10142805"/>
    <w:rsid w:val="10152804"/>
    <w:rsid w:val="101807E7"/>
    <w:rsid w:val="101A068E"/>
    <w:rsid w:val="101C3B92"/>
    <w:rsid w:val="101E298A"/>
    <w:rsid w:val="101F7844"/>
    <w:rsid w:val="10207243"/>
    <w:rsid w:val="102173FB"/>
    <w:rsid w:val="1022461B"/>
    <w:rsid w:val="102559E2"/>
    <w:rsid w:val="10284C2D"/>
    <w:rsid w:val="102A36D7"/>
    <w:rsid w:val="102B472A"/>
    <w:rsid w:val="102F7CF9"/>
    <w:rsid w:val="1031606C"/>
    <w:rsid w:val="1033163B"/>
    <w:rsid w:val="1034300F"/>
    <w:rsid w:val="1035205D"/>
    <w:rsid w:val="1038336E"/>
    <w:rsid w:val="10392996"/>
    <w:rsid w:val="103955ED"/>
    <w:rsid w:val="10432EB6"/>
    <w:rsid w:val="104430E9"/>
    <w:rsid w:val="10452479"/>
    <w:rsid w:val="1047079D"/>
    <w:rsid w:val="1048443D"/>
    <w:rsid w:val="104D4694"/>
    <w:rsid w:val="10500180"/>
    <w:rsid w:val="10501A8E"/>
    <w:rsid w:val="10505F32"/>
    <w:rsid w:val="10507EB4"/>
    <w:rsid w:val="10516984"/>
    <w:rsid w:val="10525131"/>
    <w:rsid w:val="1053332C"/>
    <w:rsid w:val="10533984"/>
    <w:rsid w:val="105552F6"/>
    <w:rsid w:val="10581BF8"/>
    <w:rsid w:val="105A46BB"/>
    <w:rsid w:val="105B0B5E"/>
    <w:rsid w:val="105C2769"/>
    <w:rsid w:val="105C48D7"/>
    <w:rsid w:val="105D2427"/>
    <w:rsid w:val="105E41AB"/>
    <w:rsid w:val="10606175"/>
    <w:rsid w:val="10607279"/>
    <w:rsid w:val="10612472"/>
    <w:rsid w:val="10637A13"/>
    <w:rsid w:val="1064392C"/>
    <w:rsid w:val="1066051D"/>
    <w:rsid w:val="10667503"/>
    <w:rsid w:val="106A1193"/>
    <w:rsid w:val="106C074C"/>
    <w:rsid w:val="106D36EE"/>
    <w:rsid w:val="106F63B8"/>
    <w:rsid w:val="10702130"/>
    <w:rsid w:val="10713B5C"/>
    <w:rsid w:val="107264E9"/>
    <w:rsid w:val="1074577C"/>
    <w:rsid w:val="107A4E46"/>
    <w:rsid w:val="107A6B0B"/>
    <w:rsid w:val="107D3EC8"/>
    <w:rsid w:val="108300B5"/>
    <w:rsid w:val="10845622"/>
    <w:rsid w:val="10847E39"/>
    <w:rsid w:val="10853E2D"/>
    <w:rsid w:val="108743E5"/>
    <w:rsid w:val="108A14D5"/>
    <w:rsid w:val="108B0D18"/>
    <w:rsid w:val="108D2CE2"/>
    <w:rsid w:val="109041A4"/>
    <w:rsid w:val="109202F8"/>
    <w:rsid w:val="10922838"/>
    <w:rsid w:val="1092654A"/>
    <w:rsid w:val="10926AB7"/>
    <w:rsid w:val="10950DE7"/>
    <w:rsid w:val="109776BD"/>
    <w:rsid w:val="109A0CCD"/>
    <w:rsid w:val="109A0F5B"/>
    <w:rsid w:val="109B18B5"/>
    <w:rsid w:val="109F26A5"/>
    <w:rsid w:val="10A23824"/>
    <w:rsid w:val="10A451BD"/>
    <w:rsid w:val="10A67900"/>
    <w:rsid w:val="10A822C0"/>
    <w:rsid w:val="10A82B01"/>
    <w:rsid w:val="10A87B1C"/>
    <w:rsid w:val="10A92DD3"/>
    <w:rsid w:val="10AB4B20"/>
    <w:rsid w:val="10AB4F16"/>
    <w:rsid w:val="10AC13BA"/>
    <w:rsid w:val="10AD2085"/>
    <w:rsid w:val="10AD6194"/>
    <w:rsid w:val="10AE2011"/>
    <w:rsid w:val="10AE3A08"/>
    <w:rsid w:val="10AE3DF1"/>
    <w:rsid w:val="10AF4A06"/>
    <w:rsid w:val="10B03702"/>
    <w:rsid w:val="10B44742"/>
    <w:rsid w:val="10B62B1B"/>
    <w:rsid w:val="10BA05B4"/>
    <w:rsid w:val="10BD69F8"/>
    <w:rsid w:val="10BE733F"/>
    <w:rsid w:val="10C06C14"/>
    <w:rsid w:val="10C20BDE"/>
    <w:rsid w:val="10C31666"/>
    <w:rsid w:val="10C53C9A"/>
    <w:rsid w:val="10C7119F"/>
    <w:rsid w:val="10CA4C2E"/>
    <w:rsid w:val="10CB7366"/>
    <w:rsid w:val="10CD52E9"/>
    <w:rsid w:val="10CD7E52"/>
    <w:rsid w:val="10CE7DDB"/>
    <w:rsid w:val="10D03DBD"/>
    <w:rsid w:val="10D07F53"/>
    <w:rsid w:val="10D10FCE"/>
    <w:rsid w:val="10D428D6"/>
    <w:rsid w:val="10D4446D"/>
    <w:rsid w:val="10D551BC"/>
    <w:rsid w:val="10D76236"/>
    <w:rsid w:val="10D7678C"/>
    <w:rsid w:val="10DB6058"/>
    <w:rsid w:val="10DE1CA4"/>
    <w:rsid w:val="10DE79AF"/>
    <w:rsid w:val="10DF0AE1"/>
    <w:rsid w:val="10E022CF"/>
    <w:rsid w:val="10E42E83"/>
    <w:rsid w:val="10E53A8D"/>
    <w:rsid w:val="10E637F4"/>
    <w:rsid w:val="10E82B6D"/>
    <w:rsid w:val="10E94AC2"/>
    <w:rsid w:val="10EA1A0B"/>
    <w:rsid w:val="10EE4F14"/>
    <w:rsid w:val="10EF574B"/>
    <w:rsid w:val="10EF5D73"/>
    <w:rsid w:val="10EF799B"/>
    <w:rsid w:val="10F01DC4"/>
    <w:rsid w:val="10F1501F"/>
    <w:rsid w:val="10F20D97"/>
    <w:rsid w:val="10F3555E"/>
    <w:rsid w:val="10F62523"/>
    <w:rsid w:val="10F9273A"/>
    <w:rsid w:val="10FA6910"/>
    <w:rsid w:val="10FB1F86"/>
    <w:rsid w:val="10FB7C4C"/>
    <w:rsid w:val="10FC5772"/>
    <w:rsid w:val="10FD3C99"/>
    <w:rsid w:val="10FD4EE8"/>
    <w:rsid w:val="10FE14EA"/>
    <w:rsid w:val="11000BEA"/>
    <w:rsid w:val="11000E15"/>
    <w:rsid w:val="11017E6E"/>
    <w:rsid w:val="11042690"/>
    <w:rsid w:val="11044600"/>
    <w:rsid w:val="1109192F"/>
    <w:rsid w:val="110C32DA"/>
    <w:rsid w:val="110C4E62"/>
    <w:rsid w:val="110D48B2"/>
    <w:rsid w:val="11132AE4"/>
    <w:rsid w:val="11134DD6"/>
    <w:rsid w:val="11145FEB"/>
    <w:rsid w:val="11156B59"/>
    <w:rsid w:val="11160F29"/>
    <w:rsid w:val="111927C8"/>
    <w:rsid w:val="111A6C61"/>
    <w:rsid w:val="111B209C"/>
    <w:rsid w:val="11203B56"/>
    <w:rsid w:val="11206FB7"/>
    <w:rsid w:val="11207143"/>
    <w:rsid w:val="11230F50"/>
    <w:rsid w:val="11233241"/>
    <w:rsid w:val="11254CC9"/>
    <w:rsid w:val="112A22DF"/>
    <w:rsid w:val="112E152D"/>
    <w:rsid w:val="112F1F07"/>
    <w:rsid w:val="11301F04"/>
    <w:rsid w:val="11332015"/>
    <w:rsid w:val="11357581"/>
    <w:rsid w:val="113759C4"/>
    <w:rsid w:val="11380EA0"/>
    <w:rsid w:val="113849FC"/>
    <w:rsid w:val="113B0990"/>
    <w:rsid w:val="113B3A70"/>
    <w:rsid w:val="113C22BB"/>
    <w:rsid w:val="113D64B6"/>
    <w:rsid w:val="11411D58"/>
    <w:rsid w:val="114159F0"/>
    <w:rsid w:val="1141750D"/>
    <w:rsid w:val="114335B5"/>
    <w:rsid w:val="11433763"/>
    <w:rsid w:val="11447845"/>
    <w:rsid w:val="1145536B"/>
    <w:rsid w:val="114958B1"/>
    <w:rsid w:val="114A5843"/>
    <w:rsid w:val="114C66F9"/>
    <w:rsid w:val="114D291B"/>
    <w:rsid w:val="114E06C3"/>
    <w:rsid w:val="11517516"/>
    <w:rsid w:val="11531CF9"/>
    <w:rsid w:val="11584D21"/>
    <w:rsid w:val="1159577D"/>
    <w:rsid w:val="115F7F76"/>
    <w:rsid w:val="11683AAE"/>
    <w:rsid w:val="11691059"/>
    <w:rsid w:val="116A0647"/>
    <w:rsid w:val="116B17C8"/>
    <w:rsid w:val="116B48D8"/>
    <w:rsid w:val="116C1308"/>
    <w:rsid w:val="116C6DD9"/>
    <w:rsid w:val="116F2B2A"/>
    <w:rsid w:val="117046E9"/>
    <w:rsid w:val="117479FE"/>
    <w:rsid w:val="11754CFE"/>
    <w:rsid w:val="1179579B"/>
    <w:rsid w:val="117A3266"/>
    <w:rsid w:val="117B2B3A"/>
    <w:rsid w:val="117D3A12"/>
    <w:rsid w:val="117D68B3"/>
    <w:rsid w:val="117F21AD"/>
    <w:rsid w:val="117F5254"/>
    <w:rsid w:val="11811267"/>
    <w:rsid w:val="11835FE2"/>
    <w:rsid w:val="11837FA6"/>
    <w:rsid w:val="1184061B"/>
    <w:rsid w:val="11850FF5"/>
    <w:rsid w:val="11866A0B"/>
    <w:rsid w:val="11876972"/>
    <w:rsid w:val="11893031"/>
    <w:rsid w:val="118E0AC0"/>
    <w:rsid w:val="118E1F9D"/>
    <w:rsid w:val="118F0496"/>
    <w:rsid w:val="119043FC"/>
    <w:rsid w:val="11911E2E"/>
    <w:rsid w:val="119360D6"/>
    <w:rsid w:val="11965BC6"/>
    <w:rsid w:val="119875D6"/>
    <w:rsid w:val="11A37BF8"/>
    <w:rsid w:val="11A42091"/>
    <w:rsid w:val="11A55E09"/>
    <w:rsid w:val="11A77DD3"/>
    <w:rsid w:val="11A976A8"/>
    <w:rsid w:val="11AA3420"/>
    <w:rsid w:val="11AB6A8E"/>
    <w:rsid w:val="11AC53EA"/>
    <w:rsid w:val="11AC7198"/>
    <w:rsid w:val="11AD363C"/>
    <w:rsid w:val="11B00C21"/>
    <w:rsid w:val="11B102A4"/>
    <w:rsid w:val="11B623A6"/>
    <w:rsid w:val="11B84D73"/>
    <w:rsid w:val="11B86BB3"/>
    <w:rsid w:val="11BE3980"/>
    <w:rsid w:val="11C50B37"/>
    <w:rsid w:val="11C72ECF"/>
    <w:rsid w:val="11C921BB"/>
    <w:rsid w:val="11CB34A5"/>
    <w:rsid w:val="11CC783A"/>
    <w:rsid w:val="11CD10A4"/>
    <w:rsid w:val="11D01DAF"/>
    <w:rsid w:val="11D0732A"/>
    <w:rsid w:val="11D13A86"/>
    <w:rsid w:val="11D81D3B"/>
    <w:rsid w:val="11DE3923"/>
    <w:rsid w:val="11DF131B"/>
    <w:rsid w:val="11E105A8"/>
    <w:rsid w:val="11E22BBA"/>
    <w:rsid w:val="11E80EC5"/>
    <w:rsid w:val="11E905CC"/>
    <w:rsid w:val="11E92AA7"/>
    <w:rsid w:val="11E93504"/>
    <w:rsid w:val="11E959DE"/>
    <w:rsid w:val="11EB462D"/>
    <w:rsid w:val="11EB5F12"/>
    <w:rsid w:val="11ED440A"/>
    <w:rsid w:val="11EE68A3"/>
    <w:rsid w:val="11EE77B0"/>
    <w:rsid w:val="11EF0C93"/>
    <w:rsid w:val="11F04D89"/>
    <w:rsid w:val="11F2192F"/>
    <w:rsid w:val="11F36B75"/>
    <w:rsid w:val="11F42AB7"/>
    <w:rsid w:val="11F528ED"/>
    <w:rsid w:val="11F748B7"/>
    <w:rsid w:val="11F87E50"/>
    <w:rsid w:val="11FA3CA4"/>
    <w:rsid w:val="11FC0DFE"/>
    <w:rsid w:val="11FC1ECD"/>
    <w:rsid w:val="11FD4E7C"/>
    <w:rsid w:val="11FE5F87"/>
    <w:rsid w:val="11FF25F0"/>
    <w:rsid w:val="11FF376C"/>
    <w:rsid w:val="120045B9"/>
    <w:rsid w:val="120445BB"/>
    <w:rsid w:val="12071097"/>
    <w:rsid w:val="12073247"/>
    <w:rsid w:val="12084DCB"/>
    <w:rsid w:val="120901C8"/>
    <w:rsid w:val="12094801"/>
    <w:rsid w:val="120B3EBE"/>
    <w:rsid w:val="120C48EC"/>
    <w:rsid w:val="120D18C3"/>
    <w:rsid w:val="120D4FB9"/>
    <w:rsid w:val="120F6523"/>
    <w:rsid w:val="12106795"/>
    <w:rsid w:val="12114F0A"/>
    <w:rsid w:val="12117DB8"/>
    <w:rsid w:val="12140944"/>
    <w:rsid w:val="12150342"/>
    <w:rsid w:val="12165B7C"/>
    <w:rsid w:val="12173E38"/>
    <w:rsid w:val="12174F59"/>
    <w:rsid w:val="121A67F7"/>
    <w:rsid w:val="121B0DF1"/>
    <w:rsid w:val="121C3A86"/>
    <w:rsid w:val="121C7959"/>
    <w:rsid w:val="121D5F1E"/>
    <w:rsid w:val="121F1CA1"/>
    <w:rsid w:val="12211CB2"/>
    <w:rsid w:val="12227E74"/>
    <w:rsid w:val="122469F0"/>
    <w:rsid w:val="12247EBB"/>
    <w:rsid w:val="1225307D"/>
    <w:rsid w:val="122A10DC"/>
    <w:rsid w:val="122F5A80"/>
    <w:rsid w:val="122F5C9E"/>
    <w:rsid w:val="12305DC1"/>
    <w:rsid w:val="12307DC9"/>
    <w:rsid w:val="12331667"/>
    <w:rsid w:val="123478B9"/>
    <w:rsid w:val="123509AA"/>
    <w:rsid w:val="12354DC5"/>
    <w:rsid w:val="12374CB3"/>
    <w:rsid w:val="124039AB"/>
    <w:rsid w:val="124113DA"/>
    <w:rsid w:val="12413CE6"/>
    <w:rsid w:val="12415356"/>
    <w:rsid w:val="12434776"/>
    <w:rsid w:val="12435D4E"/>
    <w:rsid w:val="1246139A"/>
    <w:rsid w:val="12487DEA"/>
    <w:rsid w:val="12490E8B"/>
    <w:rsid w:val="12493E7B"/>
    <w:rsid w:val="124A70DD"/>
    <w:rsid w:val="124D44D7"/>
    <w:rsid w:val="124D46AA"/>
    <w:rsid w:val="124D485B"/>
    <w:rsid w:val="124F46F3"/>
    <w:rsid w:val="124F64A1"/>
    <w:rsid w:val="125352C6"/>
    <w:rsid w:val="125515DD"/>
    <w:rsid w:val="125C04F9"/>
    <w:rsid w:val="125C2646"/>
    <w:rsid w:val="125C6E10"/>
    <w:rsid w:val="125D34BF"/>
    <w:rsid w:val="125E66E4"/>
    <w:rsid w:val="125E728B"/>
    <w:rsid w:val="125F4915"/>
    <w:rsid w:val="125F6E0B"/>
    <w:rsid w:val="12612E3B"/>
    <w:rsid w:val="12633CFA"/>
    <w:rsid w:val="12641821"/>
    <w:rsid w:val="12641C51"/>
    <w:rsid w:val="12670304"/>
    <w:rsid w:val="126872B7"/>
    <w:rsid w:val="126A21C6"/>
    <w:rsid w:val="126B2BAF"/>
    <w:rsid w:val="126B77EA"/>
    <w:rsid w:val="126B7946"/>
    <w:rsid w:val="126C57AE"/>
    <w:rsid w:val="12706417"/>
    <w:rsid w:val="12715F93"/>
    <w:rsid w:val="1272218F"/>
    <w:rsid w:val="12723F3D"/>
    <w:rsid w:val="12746C43"/>
    <w:rsid w:val="12750005"/>
    <w:rsid w:val="1278774A"/>
    <w:rsid w:val="127A7296"/>
    <w:rsid w:val="127E6D86"/>
    <w:rsid w:val="1283439D"/>
    <w:rsid w:val="1286046F"/>
    <w:rsid w:val="12866C26"/>
    <w:rsid w:val="12874320"/>
    <w:rsid w:val="12877275"/>
    <w:rsid w:val="1289059B"/>
    <w:rsid w:val="12890DBA"/>
    <w:rsid w:val="128D4E55"/>
    <w:rsid w:val="128F15C7"/>
    <w:rsid w:val="128F2D41"/>
    <w:rsid w:val="129917CE"/>
    <w:rsid w:val="1299771C"/>
    <w:rsid w:val="129C720C"/>
    <w:rsid w:val="129D174E"/>
    <w:rsid w:val="129D3338"/>
    <w:rsid w:val="129E12BF"/>
    <w:rsid w:val="129E2710"/>
    <w:rsid w:val="129F0B27"/>
    <w:rsid w:val="12A008D9"/>
    <w:rsid w:val="12A00B8E"/>
    <w:rsid w:val="12A10762"/>
    <w:rsid w:val="12A123D0"/>
    <w:rsid w:val="12A46BBF"/>
    <w:rsid w:val="12AA36D7"/>
    <w:rsid w:val="12AA751F"/>
    <w:rsid w:val="12AC00B3"/>
    <w:rsid w:val="12B02AA2"/>
    <w:rsid w:val="12B13117"/>
    <w:rsid w:val="12B21DF1"/>
    <w:rsid w:val="12B24CF1"/>
    <w:rsid w:val="12B6302C"/>
    <w:rsid w:val="12B75DF4"/>
    <w:rsid w:val="12BC78AF"/>
    <w:rsid w:val="12C2254C"/>
    <w:rsid w:val="12C27362"/>
    <w:rsid w:val="12C30C3D"/>
    <w:rsid w:val="12C81CDA"/>
    <w:rsid w:val="12CA3D79"/>
    <w:rsid w:val="12D152D7"/>
    <w:rsid w:val="12D40754"/>
    <w:rsid w:val="12D4518B"/>
    <w:rsid w:val="12D61DC4"/>
    <w:rsid w:val="12D673A1"/>
    <w:rsid w:val="12D76496"/>
    <w:rsid w:val="12DB3F70"/>
    <w:rsid w:val="12DB7D35"/>
    <w:rsid w:val="12DC5736"/>
    <w:rsid w:val="12DD25BE"/>
    <w:rsid w:val="12E03024"/>
    <w:rsid w:val="12E12E71"/>
    <w:rsid w:val="12E25944"/>
    <w:rsid w:val="12E31121"/>
    <w:rsid w:val="12E438B8"/>
    <w:rsid w:val="12E84200"/>
    <w:rsid w:val="12EF3A78"/>
    <w:rsid w:val="12F17558"/>
    <w:rsid w:val="12F901BB"/>
    <w:rsid w:val="12FA4174"/>
    <w:rsid w:val="12FE3A23"/>
    <w:rsid w:val="12FF1F53"/>
    <w:rsid w:val="130306AC"/>
    <w:rsid w:val="13030C10"/>
    <w:rsid w:val="13031039"/>
    <w:rsid w:val="130363BE"/>
    <w:rsid w:val="13062DF3"/>
    <w:rsid w:val="13074FAD"/>
    <w:rsid w:val="13092230"/>
    <w:rsid w:val="130A686C"/>
    <w:rsid w:val="130D35FE"/>
    <w:rsid w:val="13100C86"/>
    <w:rsid w:val="13113756"/>
    <w:rsid w:val="13143B13"/>
    <w:rsid w:val="13187EEF"/>
    <w:rsid w:val="13192368"/>
    <w:rsid w:val="131B4080"/>
    <w:rsid w:val="131B6383"/>
    <w:rsid w:val="131E2317"/>
    <w:rsid w:val="132150AB"/>
    <w:rsid w:val="13222DD7"/>
    <w:rsid w:val="132536A6"/>
    <w:rsid w:val="13257E3E"/>
    <w:rsid w:val="13272F7A"/>
    <w:rsid w:val="132A4818"/>
    <w:rsid w:val="132C0590"/>
    <w:rsid w:val="13345697"/>
    <w:rsid w:val="1334601B"/>
    <w:rsid w:val="13346AFF"/>
    <w:rsid w:val="1335392F"/>
    <w:rsid w:val="133819D7"/>
    <w:rsid w:val="13386F35"/>
    <w:rsid w:val="13394454"/>
    <w:rsid w:val="134078C5"/>
    <w:rsid w:val="13421B62"/>
    <w:rsid w:val="134A0A16"/>
    <w:rsid w:val="134A3724"/>
    <w:rsid w:val="135112BC"/>
    <w:rsid w:val="135252F0"/>
    <w:rsid w:val="13540978"/>
    <w:rsid w:val="13581C4E"/>
    <w:rsid w:val="135A1DCA"/>
    <w:rsid w:val="135A6D83"/>
    <w:rsid w:val="135A76B3"/>
    <w:rsid w:val="135B28FA"/>
    <w:rsid w:val="135B70C7"/>
    <w:rsid w:val="135E0614"/>
    <w:rsid w:val="135F33AF"/>
    <w:rsid w:val="135F6D12"/>
    <w:rsid w:val="136033A5"/>
    <w:rsid w:val="136216A5"/>
    <w:rsid w:val="1362610F"/>
    <w:rsid w:val="1363163E"/>
    <w:rsid w:val="136339C5"/>
    <w:rsid w:val="13641B1C"/>
    <w:rsid w:val="1364201A"/>
    <w:rsid w:val="13662F80"/>
    <w:rsid w:val="136B6FEA"/>
    <w:rsid w:val="136E4165"/>
    <w:rsid w:val="136F13DE"/>
    <w:rsid w:val="136F1AA4"/>
    <w:rsid w:val="13720B07"/>
    <w:rsid w:val="1372792E"/>
    <w:rsid w:val="13741CAE"/>
    <w:rsid w:val="1376180B"/>
    <w:rsid w:val="13763F01"/>
    <w:rsid w:val="13773C1D"/>
    <w:rsid w:val="13794181"/>
    <w:rsid w:val="137C59C3"/>
    <w:rsid w:val="137C69C5"/>
    <w:rsid w:val="137D2B9A"/>
    <w:rsid w:val="137E6912"/>
    <w:rsid w:val="13824654"/>
    <w:rsid w:val="13826402"/>
    <w:rsid w:val="13826B52"/>
    <w:rsid w:val="13852BA3"/>
    <w:rsid w:val="138F56AA"/>
    <w:rsid w:val="13904FC3"/>
    <w:rsid w:val="139121A4"/>
    <w:rsid w:val="139158EF"/>
    <w:rsid w:val="139273EA"/>
    <w:rsid w:val="13941C69"/>
    <w:rsid w:val="139634F5"/>
    <w:rsid w:val="139B20B6"/>
    <w:rsid w:val="139B5716"/>
    <w:rsid w:val="139B6A1A"/>
    <w:rsid w:val="139D1FD3"/>
    <w:rsid w:val="139D2F6D"/>
    <w:rsid w:val="139F52BA"/>
    <w:rsid w:val="13A02A34"/>
    <w:rsid w:val="13A02D2C"/>
    <w:rsid w:val="13A02FC9"/>
    <w:rsid w:val="13A229E5"/>
    <w:rsid w:val="13A237E3"/>
    <w:rsid w:val="13A445CA"/>
    <w:rsid w:val="13A46379"/>
    <w:rsid w:val="13A548EC"/>
    <w:rsid w:val="13A62096"/>
    <w:rsid w:val="13AA5959"/>
    <w:rsid w:val="13AB3BAB"/>
    <w:rsid w:val="13AC72E2"/>
    <w:rsid w:val="13AD12D3"/>
    <w:rsid w:val="13AE5449"/>
    <w:rsid w:val="13AF005F"/>
    <w:rsid w:val="13B219F1"/>
    <w:rsid w:val="13B25C29"/>
    <w:rsid w:val="13B55464"/>
    <w:rsid w:val="13B87923"/>
    <w:rsid w:val="13B91121"/>
    <w:rsid w:val="13BA2040"/>
    <w:rsid w:val="13BA3DEE"/>
    <w:rsid w:val="13BA642C"/>
    <w:rsid w:val="13BC5DB8"/>
    <w:rsid w:val="13BC69D1"/>
    <w:rsid w:val="13BC6B86"/>
    <w:rsid w:val="13BE4ED6"/>
    <w:rsid w:val="13C31A90"/>
    <w:rsid w:val="13C457DA"/>
    <w:rsid w:val="13C50D8E"/>
    <w:rsid w:val="13C94031"/>
    <w:rsid w:val="13CA50FE"/>
    <w:rsid w:val="13CA5182"/>
    <w:rsid w:val="13CC58CF"/>
    <w:rsid w:val="13CE1DAC"/>
    <w:rsid w:val="13CF3182"/>
    <w:rsid w:val="13D44784"/>
    <w:rsid w:val="13D5058C"/>
    <w:rsid w:val="13D9109B"/>
    <w:rsid w:val="13DA3C79"/>
    <w:rsid w:val="13DA7FEC"/>
    <w:rsid w:val="13DB3D64"/>
    <w:rsid w:val="13DC7CBE"/>
    <w:rsid w:val="13DD5297"/>
    <w:rsid w:val="13DE01AE"/>
    <w:rsid w:val="13DF3855"/>
    <w:rsid w:val="13E04EA0"/>
    <w:rsid w:val="13E360E3"/>
    <w:rsid w:val="13E453EC"/>
    <w:rsid w:val="13E470BD"/>
    <w:rsid w:val="13E55C7E"/>
    <w:rsid w:val="13E72648"/>
    <w:rsid w:val="13E72709"/>
    <w:rsid w:val="13E744B7"/>
    <w:rsid w:val="13E90A6D"/>
    <w:rsid w:val="13EA2A63"/>
    <w:rsid w:val="13EE3A98"/>
    <w:rsid w:val="13F033FE"/>
    <w:rsid w:val="13F31366"/>
    <w:rsid w:val="13F33B15"/>
    <w:rsid w:val="13F52407"/>
    <w:rsid w:val="13F84916"/>
    <w:rsid w:val="13F86B10"/>
    <w:rsid w:val="13FC61B5"/>
    <w:rsid w:val="13FD017F"/>
    <w:rsid w:val="13FE2B7B"/>
    <w:rsid w:val="140275A9"/>
    <w:rsid w:val="140557CC"/>
    <w:rsid w:val="14090816"/>
    <w:rsid w:val="140A1203"/>
    <w:rsid w:val="140D0F89"/>
    <w:rsid w:val="140D5923"/>
    <w:rsid w:val="140F1BAC"/>
    <w:rsid w:val="14113D6E"/>
    <w:rsid w:val="141677C0"/>
    <w:rsid w:val="14172F0F"/>
    <w:rsid w:val="141B23B3"/>
    <w:rsid w:val="141D05A9"/>
    <w:rsid w:val="141D25CF"/>
    <w:rsid w:val="141D3A32"/>
    <w:rsid w:val="141E4167"/>
    <w:rsid w:val="1424570B"/>
    <w:rsid w:val="14253DD2"/>
    <w:rsid w:val="14261483"/>
    <w:rsid w:val="14302FFD"/>
    <w:rsid w:val="14303CF6"/>
    <w:rsid w:val="14303ED1"/>
    <w:rsid w:val="14305E5E"/>
    <w:rsid w:val="14322C84"/>
    <w:rsid w:val="143376FC"/>
    <w:rsid w:val="143533EF"/>
    <w:rsid w:val="143568CC"/>
    <w:rsid w:val="14357918"/>
    <w:rsid w:val="14376624"/>
    <w:rsid w:val="14382F65"/>
    <w:rsid w:val="14407B8F"/>
    <w:rsid w:val="14411525"/>
    <w:rsid w:val="14474028"/>
    <w:rsid w:val="14485EF1"/>
    <w:rsid w:val="144906F3"/>
    <w:rsid w:val="14494C31"/>
    <w:rsid w:val="144C07BE"/>
    <w:rsid w:val="144D6A10"/>
    <w:rsid w:val="144D6AC7"/>
    <w:rsid w:val="14503E8B"/>
    <w:rsid w:val="14504752"/>
    <w:rsid w:val="14506500"/>
    <w:rsid w:val="14514CBA"/>
    <w:rsid w:val="14544B04"/>
    <w:rsid w:val="14551D69"/>
    <w:rsid w:val="1455356B"/>
    <w:rsid w:val="1457163D"/>
    <w:rsid w:val="14585A0B"/>
    <w:rsid w:val="14593065"/>
    <w:rsid w:val="145A2EDB"/>
    <w:rsid w:val="145A5405"/>
    <w:rsid w:val="145C06AD"/>
    <w:rsid w:val="145C6C53"/>
    <w:rsid w:val="145D78E2"/>
    <w:rsid w:val="145E01B4"/>
    <w:rsid w:val="14636234"/>
    <w:rsid w:val="146401FE"/>
    <w:rsid w:val="1467633E"/>
    <w:rsid w:val="14684F04"/>
    <w:rsid w:val="146B7D9A"/>
    <w:rsid w:val="146D2C0E"/>
    <w:rsid w:val="147025DB"/>
    <w:rsid w:val="147026FF"/>
    <w:rsid w:val="14703E00"/>
    <w:rsid w:val="14740441"/>
    <w:rsid w:val="14755F67"/>
    <w:rsid w:val="14761AB0"/>
    <w:rsid w:val="147771C0"/>
    <w:rsid w:val="1478581C"/>
    <w:rsid w:val="147A532B"/>
    <w:rsid w:val="147C53FA"/>
    <w:rsid w:val="147D0C2D"/>
    <w:rsid w:val="147E354D"/>
    <w:rsid w:val="148264B3"/>
    <w:rsid w:val="14847F58"/>
    <w:rsid w:val="14854B65"/>
    <w:rsid w:val="148604FB"/>
    <w:rsid w:val="1487316F"/>
    <w:rsid w:val="148C5F1B"/>
    <w:rsid w:val="149208C7"/>
    <w:rsid w:val="149B1E11"/>
    <w:rsid w:val="149C1D25"/>
    <w:rsid w:val="149C34F4"/>
    <w:rsid w:val="149C36AB"/>
    <w:rsid w:val="149F4D92"/>
    <w:rsid w:val="14A00BD6"/>
    <w:rsid w:val="14A14FAE"/>
    <w:rsid w:val="14A16D5C"/>
    <w:rsid w:val="14A25FF6"/>
    <w:rsid w:val="14A30D26"/>
    <w:rsid w:val="14A66FC8"/>
    <w:rsid w:val="14A73E19"/>
    <w:rsid w:val="14A90F1B"/>
    <w:rsid w:val="14AA5A8B"/>
    <w:rsid w:val="14AA7865"/>
    <w:rsid w:val="14AB1C41"/>
    <w:rsid w:val="14AB3737"/>
    <w:rsid w:val="14AD4E8A"/>
    <w:rsid w:val="14AE3227"/>
    <w:rsid w:val="14AE5018"/>
    <w:rsid w:val="14B20F69"/>
    <w:rsid w:val="14B35405"/>
    <w:rsid w:val="14B46A8F"/>
    <w:rsid w:val="14BA1BCC"/>
    <w:rsid w:val="14BA7E1E"/>
    <w:rsid w:val="14BB5F83"/>
    <w:rsid w:val="14BC34EF"/>
    <w:rsid w:val="14BC5944"/>
    <w:rsid w:val="14BC7AEF"/>
    <w:rsid w:val="14BD72BC"/>
    <w:rsid w:val="14BE12A4"/>
    <w:rsid w:val="14BF71E2"/>
    <w:rsid w:val="14C04112"/>
    <w:rsid w:val="14C111AC"/>
    <w:rsid w:val="14C24725"/>
    <w:rsid w:val="14C31059"/>
    <w:rsid w:val="14C34F24"/>
    <w:rsid w:val="14C52A4A"/>
    <w:rsid w:val="14C667C2"/>
    <w:rsid w:val="14C842E9"/>
    <w:rsid w:val="14CD2064"/>
    <w:rsid w:val="14CF5102"/>
    <w:rsid w:val="14D24A21"/>
    <w:rsid w:val="14D25167"/>
    <w:rsid w:val="14D26F15"/>
    <w:rsid w:val="14D441CB"/>
    <w:rsid w:val="14D7452C"/>
    <w:rsid w:val="14D86C89"/>
    <w:rsid w:val="14D964F6"/>
    <w:rsid w:val="14DA1AF7"/>
    <w:rsid w:val="14DF3FA4"/>
    <w:rsid w:val="14E07884"/>
    <w:rsid w:val="14E15962"/>
    <w:rsid w:val="14E32ED1"/>
    <w:rsid w:val="14E56E5D"/>
    <w:rsid w:val="14E86F37"/>
    <w:rsid w:val="14EC25CE"/>
    <w:rsid w:val="14F00091"/>
    <w:rsid w:val="14F05A03"/>
    <w:rsid w:val="14F101A5"/>
    <w:rsid w:val="14F148C9"/>
    <w:rsid w:val="14F41582"/>
    <w:rsid w:val="14F6686F"/>
    <w:rsid w:val="14F74BCE"/>
    <w:rsid w:val="14FA57F5"/>
    <w:rsid w:val="14FB63E3"/>
    <w:rsid w:val="14FC3E68"/>
    <w:rsid w:val="14FD6764"/>
    <w:rsid w:val="14FE637E"/>
    <w:rsid w:val="150177FB"/>
    <w:rsid w:val="15040B10"/>
    <w:rsid w:val="150572EB"/>
    <w:rsid w:val="15086DDB"/>
    <w:rsid w:val="150B5600"/>
    <w:rsid w:val="150D43F1"/>
    <w:rsid w:val="150E2DA0"/>
    <w:rsid w:val="15114EE9"/>
    <w:rsid w:val="15146592"/>
    <w:rsid w:val="1514752E"/>
    <w:rsid w:val="15147E02"/>
    <w:rsid w:val="151544BD"/>
    <w:rsid w:val="1516690C"/>
    <w:rsid w:val="15173980"/>
    <w:rsid w:val="1518015B"/>
    <w:rsid w:val="15181B40"/>
    <w:rsid w:val="15187BCF"/>
    <w:rsid w:val="151A7A3F"/>
    <w:rsid w:val="151E03AD"/>
    <w:rsid w:val="151F3448"/>
    <w:rsid w:val="15200185"/>
    <w:rsid w:val="15214D82"/>
    <w:rsid w:val="15232C77"/>
    <w:rsid w:val="152440BA"/>
    <w:rsid w:val="15252ECA"/>
    <w:rsid w:val="1526468A"/>
    <w:rsid w:val="15270420"/>
    <w:rsid w:val="152754B3"/>
    <w:rsid w:val="15280A08"/>
    <w:rsid w:val="152B389A"/>
    <w:rsid w:val="152E1728"/>
    <w:rsid w:val="152E4A94"/>
    <w:rsid w:val="15321257"/>
    <w:rsid w:val="153224C3"/>
    <w:rsid w:val="153712EA"/>
    <w:rsid w:val="153876C0"/>
    <w:rsid w:val="153951E6"/>
    <w:rsid w:val="15397494"/>
    <w:rsid w:val="153C564B"/>
    <w:rsid w:val="153E7B26"/>
    <w:rsid w:val="1545703E"/>
    <w:rsid w:val="1546436C"/>
    <w:rsid w:val="154812D6"/>
    <w:rsid w:val="154A11A2"/>
    <w:rsid w:val="154D055B"/>
    <w:rsid w:val="154D1B14"/>
    <w:rsid w:val="15502A51"/>
    <w:rsid w:val="15507259"/>
    <w:rsid w:val="1552003B"/>
    <w:rsid w:val="15525771"/>
    <w:rsid w:val="155344FA"/>
    <w:rsid w:val="1553731D"/>
    <w:rsid w:val="15542020"/>
    <w:rsid w:val="15554FFD"/>
    <w:rsid w:val="1556325C"/>
    <w:rsid w:val="155713D3"/>
    <w:rsid w:val="155A22B1"/>
    <w:rsid w:val="155D0467"/>
    <w:rsid w:val="155D40D0"/>
    <w:rsid w:val="155E5FDC"/>
    <w:rsid w:val="156009C5"/>
    <w:rsid w:val="15602773"/>
    <w:rsid w:val="156048FD"/>
    <w:rsid w:val="156264EB"/>
    <w:rsid w:val="15632263"/>
    <w:rsid w:val="15641C3A"/>
    <w:rsid w:val="15695C1E"/>
    <w:rsid w:val="156A62C2"/>
    <w:rsid w:val="156C736A"/>
    <w:rsid w:val="156E54F0"/>
    <w:rsid w:val="1570027A"/>
    <w:rsid w:val="15704A83"/>
    <w:rsid w:val="15727AA1"/>
    <w:rsid w:val="1573694A"/>
    <w:rsid w:val="157A0988"/>
    <w:rsid w:val="157B1387"/>
    <w:rsid w:val="157C1490"/>
    <w:rsid w:val="157D6AC5"/>
    <w:rsid w:val="15804BC3"/>
    <w:rsid w:val="1584502B"/>
    <w:rsid w:val="15862255"/>
    <w:rsid w:val="158858A3"/>
    <w:rsid w:val="158C247F"/>
    <w:rsid w:val="158D0C08"/>
    <w:rsid w:val="158E5532"/>
    <w:rsid w:val="158F12AA"/>
    <w:rsid w:val="158F5EB7"/>
    <w:rsid w:val="159132E8"/>
    <w:rsid w:val="15970B68"/>
    <w:rsid w:val="15976E40"/>
    <w:rsid w:val="15995A08"/>
    <w:rsid w:val="159B19FD"/>
    <w:rsid w:val="15A216E8"/>
    <w:rsid w:val="15A465EE"/>
    <w:rsid w:val="15A61E76"/>
    <w:rsid w:val="15A62EDD"/>
    <w:rsid w:val="15A83D50"/>
    <w:rsid w:val="15AA1077"/>
    <w:rsid w:val="15AA1C40"/>
    <w:rsid w:val="15AA7A6B"/>
    <w:rsid w:val="15AE7982"/>
    <w:rsid w:val="15B3129F"/>
    <w:rsid w:val="15B517FA"/>
    <w:rsid w:val="15B51BEE"/>
    <w:rsid w:val="15B52D1C"/>
    <w:rsid w:val="15B66837"/>
    <w:rsid w:val="15B93563"/>
    <w:rsid w:val="15BE02B0"/>
    <w:rsid w:val="15BE305A"/>
    <w:rsid w:val="15BE6635"/>
    <w:rsid w:val="15BF393E"/>
    <w:rsid w:val="15C131C6"/>
    <w:rsid w:val="15C471A6"/>
    <w:rsid w:val="15C5035C"/>
    <w:rsid w:val="15C63646"/>
    <w:rsid w:val="15CC1192"/>
    <w:rsid w:val="15CD7EBA"/>
    <w:rsid w:val="15CF4882"/>
    <w:rsid w:val="15D078F9"/>
    <w:rsid w:val="15D12640"/>
    <w:rsid w:val="15D145A9"/>
    <w:rsid w:val="15D370F1"/>
    <w:rsid w:val="15D55FD9"/>
    <w:rsid w:val="15D60C87"/>
    <w:rsid w:val="15DB119D"/>
    <w:rsid w:val="15DC724A"/>
    <w:rsid w:val="15DD3DC4"/>
    <w:rsid w:val="15DE2644"/>
    <w:rsid w:val="15E158B9"/>
    <w:rsid w:val="15E17C25"/>
    <w:rsid w:val="15E2762C"/>
    <w:rsid w:val="15E45152"/>
    <w:rsid w:val="15E52C78"/>
    <w:rsid w:val="15E769F0"/>
    <w:rsid w:val="15E83887"/>
    <w:rsid w:val="15EA18AC"/>
    <w:rsid w:val="15EB0440"/>
    <w:rsid w:val="15EC4007"/>
    <w:rsid w:val="15EE7A56"/>
    <w:rsid w:val="15F5110D"/>
    <w:rsid w:val="15F51685"/>
    <w:rsid w:val="15F65C3E"/>
    <w:rsid w:val="15FA06DC"/>
    <w:rsid w:val="15FA2BC8"/>
    <w:rsid w:val="15FB06EE"/>
    <w:rsid w:val="15FB181A"/>
    <w:rsid w:val="15FB4C34"/>
    <w:rsid w:val="15FB52FC"/>
    <w:rsid w:val="15FB575E"/>
    <w:rsid w:val="15FC6940"/>
    <w:rsid w:val="15FD705D"/>
    <w:rsid w:val="15FE6638"/>
    <w:rsid w:val="15FF30BE"/>
    <w:rsid w:val="15FF5FFC"/>
    <w:rsid w:val="16007AB2"/>
    <w:rsid w:val="1601480E"/>
    <w:rsid w:val="16016036"/>
    <w:rsid w:val="1602382A"/>
    <w:rsid w:val="16027CCE"/>
    <w:rsid w:val="16053813"/>
    <w:rsid w:val="160752E5"/>
    <w:rsid w:val="1608268E"/>
    <w:rsid w:val="16087DF0"/>
    <w:rsid w:val="16091C34"/>
    <w:rsid w:val="160C28FB"/>
    <w:rsid w:val="16101C02"/>
    <w:rsid w:val="16105F47"/>
    <w:rsid w:val="16113A6D"/>
    <w:rsid w:val="16122888"/>
    <w:rsid w:val="16134180"/>
    <w:rsid w:val="16141C14"/>
    <w:rsid w:val="16161084"/>
    <w:rsid w:val="16175528"/>
    <w:rsid w:val="161964B9"/>
    <w:rsid w:val="161A5018"/>
    <w:rsid w:val="161A71A5"/>
    <w:rsid w:val="161E6396"/>
    <w:rsid w:val="161F0733"/>
    <w:rsid w:val="161F0F67"/>
    <w:rsid w:val="16243949"/>
    <w:rsid w:val="16253AC2"/>
    <w:rsid w:val="162639BD"/>
    <w:rsid w:val="16266269"/>
    <w:rsid w:val="162722CA"/>
    <w:rsid w:val="16273291"/>
    <w:rsid w:val="1629525B"/>
    <w:rsid w:val="162B4B9C"/>
    <w:rsid w:val="162F02D3"/>
    <w:rsid w:val="163065E9"/>
    <w:rsid w:val="16321CA0"/>
    <w:rsid w:val="16350E1D"/>
    <w:rsid w:val="16351A71"/>
    <w:rsid w:val="16370C3B"/>
    <w:rsid w:val="163836F0"/>
    <w:rsid w:val="163C5519"/>
    <w:rsid w:val="16415E64"/>
    <w:rsid w:val="164200CB"/>
    <w:rsid w:val="16442095"/>
    <w:rsid w:val="16443613"/>
    <w:rsid w:val="1645269A"/>
    <w:rsid w:val="164756E1"/>
    <w:rsid w:val="164A3F23"/>
    <w:rsid w:val="164D0F49"/>
    <w:rsid w:val="164D33AB"/>
    <w:rsid w:val="164E02F9"/>
    <w:rsid w:val="164F3E57"/>
    <w:rsid w:val="16500A3A"/>
    <w:rsid w:val="16516EE3"/>
    <w:rsid w:val="165247B2"/>
    <w:rsid w:val="1653246C"/>
    <w:rsid w:val="16534086"/>
    <w:rsid w:val="165628A2"/>
    <w:rsid w:val="16567157"/>
    <w:rsid w:val="16567608"/>
    <w:rsid w:val="16582CD5"/>
    <w:rsid w:val="165878EE"/>
    <w:rsid w:val="165B2F3A"/>
    <w:rsid w:val="165B7DDA"/>
    <w:rsid w:val="165C2F30"/>
    <w:rsid w:val="16645B4A"/>
    <w:rsid w:val="16673E9F"/>
    <w:rsid w:val="16693194"/>
    <w:rsid w:val="166A3AC7"/>
    <w:rsid w:val="166C69FB"/>
    <w:rsid w:val="166D15EC"/>
    <w:rsid w:val="166F67F7"/>
    <w:rsid w:val="16704907"/>
    <w:rsid w:val="1670737F"/>
    <w:rsid w:val="1671080F"/>
    <w:rsid w:val="16734728"/>
    <w:rsid w:val="167364D6"/>
    <w:rsid w:val="16760486"/>
    <w:rsid w:val="1679289C"/>
    <w:rsid w:val="16795661"/>
    <w:rsid w:val="167A3002"/>
    <w:rsid w:val="167A41C5"/>
    <w:rsid w:val="167F32C8"/>
    <w:rsid w:val="168353E2"/>
    <w:rsid w:val="16835E00"/>
    <w:rsid w:val="168406E3"/>
    <w:rsid w:val="168626AD"/>
    <w:rsid w:val="16875174"/>
    <w:rsid w:val="168828BC"/>
    <w:rsid w:val="16901BB2"/>
    <w:rsid w:val="169026D3"/>
    <w:rsid w:val="169052DA"/>
    <w:rsid w:val="169528F0"/>
    <w:rsid w:val="1695644C"/>
    <w:rsid w:val="16970417"/>
    <w:rsid w:val="169923E1"/>
    <w:rsid w:val="16992D04"/>
    <w:rsid w:val="169C0A1F"/>
    <w:rsid w:val="169E53F2"/>
    <w:rsid w:val="169F1079"/>
    <w:rsid w:val="169F2025"/>
    <w:rsid w:val="16A46254"/>
    <w:rsid w:val="16AB5474"/>
    <w:rsid w:val="16AF07A6"/>
    <w:rsid w:val="16AF1F9B"/>
    <w:rsid w:val="16AF2B4C"/>
    <w:rsid w:val="16B217CE"/>
    <w:rsid w:val="16B34B25"/>
    <w:rsid w:val="16B54D41"/>
    <w:rsid w:val="16B72867"/>
    <w:rsid w:val="16B84434"/>
    <w:rsid w:val="16B849F9"/>
    <w:rsid w:val="16B94831"/>
    <w:rsid w:val="16BA2357"/>
    <w:rsid w:val="16BA6516"/>
    <w:rsid w:val="16BB01E4"/>
    <w:rsid w:val="16BC0B32"/>
    <w:rsid w:val="16BC60CF"/>
    <w:rsid w:val="16BE59A3"/>
    <w:rsid w:val="16BF796D"/>
    <w:rsid w:val="16C22F79"/>
    <w:rsid w:val="16C3120C"/>
    <w:rsid w:val="16CA259A"/>
    <w:rsid w:val="16CB7F70"/>
    <w:rsid w:val="16D1321A"/>
    <w:rsid w:val="16D231FD"/>
    <w:rsid w:val="16D31016"/>
    <w:rsid w:val="16D3646B"/>
    <w:rsid w:val="16D36859"/>
    <w:rsid w:val="16D41E1D"/>
    <w:rsid w:val="16D43419"/>
    <w:rsid w:val="16D734AA"/>
    <w:rsid w:val="16D90A2F"/>
    <w:rsid w:val="16DA6555"/>
    <w:rsid w:val="16DB4B63"/>
    <w:rsid w:val="16DE0A1B"/>
    <w:rsid w:val="16DE6045"/>
    <w:rsid w:val="16DF75DF"/>
    <w:rsid w:val="16E557E9"/>
    <w:rsid w:val="16E6314C"/>
    <w:rsid w:val="16E912AD"/>
    <w:rsid w:val="16EA2306"/>
    <w:rsid w:val="16ED163A"/>
    <w:rsid w:val="16ED4BAD"/>
    <w:rsid w:val="16EF4EE4"/>
    <w:rsid w:val="16EF78AD"/>
    <w:rsid w:val="16F24EF2"/>
    <w:rsid w:val="16F37B9A"/>
    <w:rsid w:val="16F412D7"/>
    <w:rsid w:val="16F44397"/>
    <w:rsid w:val="16F750AD"/>
    <w:rsid w:val="16F75866"/>
    <w:rsid w:val="16F94C2D"/>
    <w:rsid w:val="16FA5038"/>
    <w:rsid w:val="16FA5342"/>
    <w:rsid w:val="16FB1BF9"/>
    <w:rsid w:val="16FC296F"/>
    <w:rsid w:val="16FC491E"/>
    <w:rsid w:val="16FD38E6"/>
    <w:rsid w:val="16FD4389"/>
    <w:rsid w:val="16FF2645"/>
    <w:rsid w:val="17015CD7"/>
    <w:rsid w:val="17030D88"/>
    <w:rsid w:val="17032D1F"/>
    <w:rsid w:val="17035AAC"/>
    <w:rsid w:val="1703638D"/>
    <w:rsid w:val="1703785A"/>
    <w:rsid w:val="170627D4"/>
    <w:rsid w:val="17071882"/>
    <w:rsid w:val="1707535A"/>
    <w:rsid w:val="170813BB"/>
    <w:rsid w:val="170A0735"/>
    <w:rsid w:val="170A6E3A"/>
    <w:rsid w:val="170B2BB3"/>
    <w:rsid w:val="170D2A25"/>
    <w:rsid w:val="170D502C"/>
    <w:rsid w:val="170D692B"/>
    <w:rsid w:val="171061BB"/>
    <w:rsid w:val="17137B9D"/>
    <w:rsid w:val="171B154F"/>
    <w:rsid w:val="171C5C7C"/>
    <w:rsid w:val="171D41E4"/>
    <w:rsid w:val="172123D6"/>
    <w:rsid w:val="17253C74"/>
    <w:rsid w:val="17274A02"/>
    <w:rsid w:val="17295089"/>
    <w:rsid w:val="172A71A5"/>
    <w:rsid w:val="172B0B5F"/>
    <w:rsid w:val="172B20D9"/>
    <w:rsid w:val="172B7628"/>
    <w:rsid w:val="172C5003"/>
    <w:rsid w:val="172D7075"/>
    <w:rsid w:val="172F215D"/>
    <w:rsid w:val="17300C86"/>
    <w:rsid w:val="173043C7"/>
    <w:rsid w:val="173105C7"/>
    <w:rsid w:val="1732022B"/>
    <w:rsid w:val="17324B4A"/>
    <w:rsid w:val="17325833"/>
    <w:rsid w:val="1735777E"/>
    <w:rsid w:val="173739A8"/>
    <w:rsid w:val="1737535B"/>
    <w:rsid w:val="1739327C"/>
    <w:rsid w:val="173A1B89"/>
    <w:rsid w:val="173E684C"/>
    <w:rsid w:val="173F7B00"/>
    <w:rsid w:val="174000D5"/>
    <w:rsid w:val="1740291A"/>
    <w:rsid w:val="174340FA"/>
    <w:rsid w:val="1743632B"/>
    <w:rsid w:val="17463BEB"/>
    <w:rsid w:val="1746582E"/>
    <w:rsid w:val="174671AE"/>
    <w:rsid w:val="17471E3D"/>
    <w:rsid w:val="17486E4C"/>
    <w:rsid w:val="174A32FC"/>
    <w:rsid w:val="174A36DB"/>
    <w:rsid w:val="174A659D"/>
    <w:rsid w:val="174F3A55"/>
    <w:rsid w:val="17504C09"/>
    <w:rsid w:val="17544559"/>
    <w:rsid w:val="17555BDC"/>
    <w:rsid w:val="17577BA6"/>
    <w:rsid w:val="175812AF"/>
    <w:rsid w:val="1758293B"/>
    <w:rsid w:val="175A4028"/>
    <w:rsid w:val="175A5AAF"/>
    <w:rsid w:val="175C5171"/>
    <w:rsid w:val="175C51BC"/>
    <w:rsid w:val="175E6E30"/>
    <w:rsid w:val="175E7186"/>
    <w:rsid w:val="1761165C"/>
    <w:rsid w:val="176B4C9A"/>
    <w:rsid w:val="176E58C9"/>
    <w:rsid w:val="176F4EEF"/>
    <w:rsid w:val="176F6C9D"/>
    <w:rsid w:val="17725544"/>
    <w:rsid w:val="177469AA"/>
    <w:rsid w:val="1776002C"/>
    <w:rsid w:val="17771379"/>
    <w:rsid w:val="1779334B"/>
    <w:rsid w:val="177B042B"/>
    <w:rsid w:val="177B098D"/>
    <w:rsid w:val="177F74FC"/>
    <w:rsid w:val="178169D1"/>
    <w:rsid w:val="17822E75"/>
    <w:rsid w:val="178269DF"/>
    <w:rsid w:val="17853C1F"/>
    <w:rsid w:val="17864800"/>
    <w:rsid w:val="17880A22"/>
    <w:rsid w:val="178A7656"/>
    <w:rsid w:val="178B0713"/>
    <w:rsid w:val="178C589D"/>
    <w:rsid w:val="178D024F"/>
    <w:rsid w:val="17914E66"/>
    <w:rsid w:val="17925102"/>
    <w:rsid w:val="179326F1"/>
    <w:rsid w:val="17944956"/>
    <w:rsid w:val="17972B46"/>
    <w:rsid w:val="17996410"/>
    <w:rsid w:val="179B17C4"/>
    <w:rsid w:val="179B3E23"/>
    <w:rsid w:val="179C380B"/>
    <w:rsid w:val="179E3A27"/>
    <w:rsid w:val="17A113EA"/>
    <w:rsid w:val="17A15BBE"/>
    <w:rsid w:val="17A27073"/>
    <w:rsid w:val="17A5319A"/>
    <w:rsid w:val="17A56B63"/>
    <w:rsid w:val="17A70B2D"/>
    <w:rsid w:val="17A728DB"/>
    <w:rsid w:val="17A75B29"/>
    <w:rsid w:val="17A80401"/>
    <w:rsid w:val="17A85C27"/>
    <w:rsid w:val="17A91BA6"/>
    <w:rsid w:val="17A97C85"/>
    <w:rsid w:val="17AA5F28"/>
    <w:rsid w:val="17AB270B"/>
    <w:rsid w:val="17AC050B"/>
    <w:rsid w:val="17AC6144"/>
    <w:rsid w:val="17B33C4A"/>
    <w:rsid w:val="17B56841"/>
    <w:rsid w:val="17B80644"/>
    <w:rsid w:val="17B9167F"/>
    <w:rsid w:val="17B939A8"/>
    <w:rsid w:val="17BA0323"/>
    <w:rsid w:val="17BB1EE3"/>
    <w:rsid w:val="17BD3EAD"/>
    <w:rsid w:val="17BD5C5B"/>
    <w:rsid w:val="17BE19D3"/>
    <w:rsid w:val="17C1746A"/>
    <w:rsid w:val="17C265F3"/>
    <w:rsid w:val="17C36FE9"/>
    <w:rsid w:val="17C76AD9"/>
    <w:rsid w:val="17C92852"/>
    <w:rsid w:val="17CB6D2A"/>
    <w:rsid w:val="17CC40F0"/>
    <w:rsid w:val="17CD4792"/>
    <w:rsid w:val="17CD5330"/>
    <w:rsid w:val="17CF1E32"/>
    <w:rsid w:val="17D4404E"/>
    <w:rsid w:val="17D631C0"/>
    <w:rsid w:val="17D94A63"/>
    <w:rsid w:val="17DA2BE0"/>
    <w:rsid w:val="17DB2585"/>
    <w:rsid w:val="17DD4930"/>
    <w:rsid w:val="17E049CF"/>
    <w:rsid w:val="17E06A48"/>
    <w:rsid w:val="17E07B9B"/>
    <w:rsid w:val="17E26979"/>
    <w:rsid w:val="17E54C2E"/>
    <w:rsid w:val="17E73651"/>
    <w:rsid w:val="17E7717C"/>
    <w:rsid w:val="17EE050A"/>
    <w:rsid w:val="17F04282"/>
    <w:rsid w:val="17F13B56"/>
    <w:rsid w:val="17F35B20"/>
    <w:rsid w:val="17FB69B5"/>
    <w:rsid w:val="17FD074D"/>
    <w:rsid w:val="17FE0021"/>
    <w:rsid w:val="17FE5302"/>
    <w:rsid w:val="180513B0"/>
    <w:rsid w:val="18070047"/>
    <w:rsid w:val="1807337A"/>
    <w:rsid w:val="18075128"/>
    <w:rsid w:val="18096901"/>
    <w:rsid w:val="180A0B93"/>
    <w:rsid w:val="180A6D55"/>
    <w:rsid w:val="180D41B3"/>
    <w:rsid w:val="180D7253"/>
    <w:rsid w:val="180D7409"/>
    <w:rsid w:val="180E45A9"/>
    <w:rsid w:val="180E6167"/>
    <w:rsid w:val="1811244B"/>
    <w:rsid w:val="18117D55"/>
    <w:rsid w:val="1812110F"/>
    <w:rsid w:val="18176A80"/>
    <w:rsid w:val="181A010C"/>
    <w:rsid w:val="181B0BD3"/>
    <w:rsid w:val="181B6DAA"/>
    <w:rsid w:val="181D1777"/>
    <w:rsid w:val="181E79E3"/>
    <w:rsid w:val="18216B7B"/>
    <w:rsid w:val="18251A52"/>
    <w:rsid w:val="18253800"/>
    <w:rsid w:val="18284982"/>
    <w:rsid w:val="18297A22"/>
    <w:rsid w:val="182E0907"/>
    <w:rsid w:val="182E3CE3"/>
    <w:rsid w:val="182E6B48"/>
    <w:rsid w:val="183121A5"/>
    <w:rsid w:val="183140D2"/>
    <w:rsid w:val="18331EBF"/>
    <w:rsid w:val="18340ADF"/>
    <w:rsid w:val="18363C5F"/>
    <w:rsid w:val="183701D9"/>
    <w:rsid w:val="18381785"/>
    <w:rsid w:val="183A7A89"/>
    <w:rsid w:val="183C58B4"/>
    <w:rsid w:val="183D7A94"/>
    <w:rsid w:val="1842196E"/>
    <w:rsid w:val="184536BA"/>
    <w:rsid w:val="184554B5"/>
    <w:rsid w:val="1846064A"/>
    <w:rsid w:val="1846612A"/>
    <w:rsid w:val="18491BE4"/>
    <w:rsid w:val="184B2762"/>
    <w:rsid w:val="184C184A"/>
    <w:rsid w:val="184C6FDF"/>
    <w:rsid w:val="185179D2"/>
    <w:rsid w:val="18552337"/>
    <w:rsid w:val="18553FC8"/>
    <w:rsid w:val="1855641B"/>
    <w:rsid w:val="18566C24"/>
    <w:rsid w:val="185B536B"/>
    <w:rsid w:val="185D6922"/>
    <w:rsid w:val="185D743E"/>
    <w:rsid w:val="185E46CE"/>
    <w:rsid w:val="185F5297"/>
    <w:rsid w:val="18624A54"/>
    <w:rsid w:val="18641B32"/>
    <w:rsid w:val="18664544"/>
    <w:rsid w:val="18691561"/>
    <w:rsid w:val="186C7681"/>
    <w:rsid w:val="186E4D58"/>
    <w:rsid w:val="186F6708"/>
    <w:rsid w:val="18702CCD"/>
    <w:rsid w:val="18733059"/>
    <w:rsid w:val="18742E70"/>
    <w:rsid w:val="1876405C"/>
    <w:rsid w:val="187D003A"/>
    <w:rsid w:val="18801C85"/>
    <w:rsid w:val="18803FAF"/>
    <w:rsid w:val="18816488"/>
    <w:rsid w:val="18826EA4"/>
    <w:rsid w:val="188624F1"/>
    <w:rsid w:val="18876269"/>
    <w:rsid w:val="1887694C"/>
    <w:rsid w:val="18890233"/>
    <w:rsid w:val="18891FE1"/>
    <w:rsid w:val="188E21CD"/>
    <w:rsid w:val="188E7B1E"/>
    <w:rsid w:val="18903A4D"/>
    <w:rsid w:val="18954E2A"/>
    <w:rsid w:val="18975082"/>
    <w:rsid w:val="18977CDC"/>
    <w:rsid w:val="1899069A"/>
    <w:rsid w:val="189C7F66"/>
    <w:rsid w:val="189E1BC5"/>
    <w:rsid w:val="189F7A56"/>
    <w:rsid w:val="18A159F8"/>
    <w:rsid w:val="18A1732B"/>
    <w:rsid w:val="18A17538"/>
    <w:rsid w:val="18A256A4"/>
    <w:rsid w:val="18A848F2"/>
    <w:rsid w:val="18A94431"/>
    <w:rsid w:val="18AA6D5C"/>
    <w:rsid w:val="18AB1F57"/>
    <w:rsid w:val="18AB39C5"/>
    <w:rsid w:val="18AD6BE6"/>
    <w:rsid w:val="18AE2BFE"/>
    <w:rsid w:val="18AE7C99"/>
    <w:rsid w:val="18B136E0"/>
    <w:rsid w:val="18B21538"/>
    <w:rsid w:val="18B83CF9"/>
    <w:rsid w:val="18BC4164"/>
    <w:rsid w:val="18BF3C55"/>
    <w:rsid w:val="18C179CD"/>
    <w:rsid w:val="18C37286"/>
    <w:rsid w:val="18C9062F"/>
    <w:rsid w:val="18C91E74"/>
    <w:rsid w:val="18C96C41"/>
    <w:rsid w:val="18CB25F9"/>
    <w:rsid w:val="18CD063B"/>
    <w:rsid w:val="18CF62D0"/>
    <w:rsid w:val="18D029AF"/>
    <w:rsid w:val="18D07D4F"/>
    <w:rsid w:val="18D2049A"/>
    <w:rsid w:val="18D53478"/>
    <w:rsid w:val="18D70F9E"/>
    <w:rsid w:val="18D712CB"/>
    <w:rsid w:val="18D86AC4"/>
    <w:rsid w:val="18D93A6F"/>
    <w:rsid w:val="18DA44C2"/>
    <w:rsid w:val="18DD40DB"/>
    <w:rsid w:val="18DE380C"/>
    <w:rsid w:val="18E006AC"/>
    <w:rsid w:val="18E11E1D"/>
    <w:rsid w:val="18E22F09"/>
    <w:rsid w:val="18E54337"/>
    <w:rsid w:val="18EA5EDE"/>
    <w:rsid w:val="18F070EC"/>
    <w:rsid w:val="18F367AA"/>
    <w:rsid w:val="18F554CB"/>
    <w:rsid w:val="18F55BF5"/>
    <w:rsid w:val="18F74FD6"/>
    <w:rsid w:val="18FC77C6"/>
    <w:rsid w:val="18FC7A94"/>
    <w:rsid w:val="18FF22A3"/>
    <w:rsid w:val="19002AD9"/>
    <w:rsid w:val="19003710"/>
    <w:rsid w:val="19021250"/>
    <w:rsid w:val="19023E8D"/>
    <w:rsid w:val="19026976"/>
    <w:rsid w:val="19035340"/>
    <w:rsid w:val="19037FE5"/>
    <w:rsid w:val="19045B0B"/>
    <w:rsid w:val="19084A78"/>
    <w:rsid w:val="190E0109"/>
    <w:rsid w:val="190F1F0F"/>
    <w:rsid w:val="190F49FC"/>
    <w:rsid w:val="191014DB"/>
    <w:rsid w:val="191123A0"/>
    <w:rsid w:val="19121F65"/>
    <w:rsid w:val="1914213E"/>
    <w:rsid w:val="19151AC7"/>
    <w:rsid w:val="19170418"/>
    <w:rsid w:val="191A6932"/>
    <w:rsid w:val="191B56A1"/>
    <w:rsid w:val="191E4DAD"/>
    <w:rsid w:val="191E4E1F"/>
    <w:rsid w:val="192004D5"/>
    <w:rsid w:val="192042D9"/>
    <w:rsid w:val="19213B4A"/>
    <w:rsid w:val="1921406B"/>
    <w:rsid w:val="19250257"/>
    <w:rsid w:val="19267830"/>
    <w:rsid w:val="19280238"/>
    <w:rsid w:val="192A37C4"/>
    <w:rsid w:val="192D6E10"/>
    <w:rsid w:val="192E13A8"/>
    <w:rsid w:val="1932711D"/>
    <w:rsid w:val="193463F1"/>
    <w:rsid w:val="19357983"/>
    <w:rsid w:val="193A17DB"/>
    <w:rsid w:val="193B188B"/>
    <w:rsid w:val="193F00C3"/>
    <w:rsid w:val="193F6E91"/>
    <w:rsid w:val="19403060"/>
    <w:rsid w:val="1941745F"/>
    <w:rsid w:val="19436634"/>
    <w:rsid w:val="19443165"/>
    <w:rsid w:val="19445F08"/>
    <w:rsid w:val="19455FA0"/>
    <w:rsid w:val="19456052"/>
    <w:rsid w:val="19460C23"/>
    <w:rsid w:val="19483077"/>
    <w:rsid w:val="19490AE7"/>
    <w:rsid w:val="194B1768"/>
    <w:rsid w:val="194B7296"/>
    <w:rsid w:val="194C39B8"/>
    <w:rsid w:val="194D300E"/>
    <w:rsid w:val="194F0FA0"/>
    <w:rsid w:val="194F5DE6"/>
    <w:rsid w:val="19526877"/>
    <w:rsid w:val="195372BD"/>
    <w:rsid w:val="19542872"/>
    <w:rsid w:val="19573038"/>
    <w:rsid w:val="19582CDE"/>
    <w:rsid w:val="19595E51"/>
    <w:rsid w:val="195A00D0"/>
    <w:rsid w:val="195D6EAA"/>
    <w:rsid w:val="195E16BF"/>
    <w:rsid w:val="195F2D42"/>
    <w:rsid w:val="19622356"/>
    <w:rsid w:val="1962667C"/>
    <w:rsid w:val="19626CBB"/>
    <w:rsid w:val="196B0C11"/>
    <w:rsid w:val="196B559B"/>
    <w:rsid w:val="196D749B"/>
    <w:rsid w:val="196D7BB4"/>
    <w:rsid w:val="196E1243"/>
    <w:rsid w:val="196F1E19"/>
    <w:rsid w:val="196F567B"/>
    <w:rsid w:val="196F7F17"/>
    <w:rsid w:val="19715B13"/>
    <w:rsid w:val="19720CC7"/>
    <w:rsid w:val="19726F19"/>
    <w:rsid w:val="197467ED"/>
    <w:rsid w:val="19783FF3"/>
    <w:rsid w:val="197B53D3"/>
    <w:rsid w:val="197D6BE5"/>
    <w:rsid w:val="19835D08"/>
    <w:rsid w:val="19836A30"/>
    <w:rsid w:val="19851547"/>
    <w:rsid w:val="19864ACE"/>
    <w:rsid w:val="1987413E"/>
    <w:rsid w:val="19887B32"/>
    <w:rsid w:val="198A5A5A"/>
    <w:rsid w:val="198F1879"/>
    <w:rsid w:val="198F447A"/>
    <w:rsid w:val="198F7ACB"/>
    <w:rsid w:val="19946E8F"/>
    <w:rsid w:val="19952FDA"/>
    <w:rsid w:val="19972971"/>
    <w:rsid w:val="199B6E4C"/>
    <w:rsid w:val="199E7FC6"/>
    <w:rsid w:val="19A03529"/>
    <w:rsid w:val="19A4350C"/>
    <w:rsid w:val="19A52ACF"/>
    <w:rsid w:val="19A54BF8"/>
    <w:rsid w:val="19A76BC3"/>
    <w:rsid w:val="19AA46A8"/>
    <w:rsid w:val="19AB7AFD"/>
    <w:rsid w:val="19AC5F87"/>
    <w:rsid w:val="19AD1CFF"/>
    <w:rsid w:val="19B06A01"/>
    <w:rsid w:val="19B112F0"/>
    <w:rsid w:val="19B65058"/>
    <w:rsid w:val="19B73661"/>
    <w:rsid w:val="19B91523"/>
    <w:rsid w:val="19BA55B6"/>
    <w:rsid w:val="19BD16CC"/>
    <w:rsid w:val="19C21C4E"/>
    <w:rsid w:val="19C54AF4"/>
    <w:rsid w:val="19C5529B"/>
    <w:rsid w:val="19C67738"/>
    <w:rsid w:val="19C857A0"/>
    <w:rsid w:val="19C86B39"/>
    <w:rsid w:val="19C92FDD"/>
    <w:rsid w:val="19CE05F3"/>
    <w:rsid w:val="19D03922"/>
    <w:rsid w:val="19D07AE4"/>
    <w:rsid w:val="19D144C1"/>
    <w:rsid w:val="19D33AE5"/>
    <w:rsid w:val="19D41982"/>
    <w:rsid w:val="19D63004"/>
    <w:rsid w:val="19D744CE"/>
    <w:rsid w:val="19DB4ABE"/>
    <w:rsid w:val="19E72882"/>
    <w:rsid w:val="19E80F89"/>
    <w:rsid w:val="19EA7092"/>
    <w:rsid w:val="19EC4A9D"/>
    <w:rsid w:val="19EE1986"/>
    <w:rsid w:val="19EE7B83"/>
    <w:rsid w:val="19F17E3E"/>
    <w:rsid w:val="19F32613"/>
    <w:rsid w:val="19F45B80"/>
    <w:rsid w:val="19F60B34"/>
    <w:rsid w:val="19F70438"/>
    <w:rsid w:val="19F846FC"/>
    <w:rsid w:val="19F85670"/>
    <w:rsid w:val="19F94F44"/>
    <w:rsid w:val="19F97489"/>
    <w:rsid w:val="1A020324"/>
    <w:rsid w:val="1A042476"/>
    <w:rsid w:val="1A0538E9"/>
    <w:rsid w:val="1A057D8D"/>
    <w:rsid w:val="1A070E5E"/>
    <w:rsid w:val="1A081BBA"/>
    <w:rsid w:val="1A09478B"/>
    <w:rsid w:val="1A0A0EFF"/>
    <w:rsid w:val="1A0A1B7B"/>
    <w:rsid w:val="1A0A53A3"/>
    <w:rsid w:val="1A0C3B4D"/>
    <w:rsid w:val="1A0E09F0"/>
    <w:rsid w:val="1A13040E"/>
    <w:rsid w:val="1A133D8B"/>
    <w:rsid w:val="1A180CC7"/>
    <w:rsid w:val="1A18186E"/>
    <w:rsid w:val="1A184B26"/>
    <w:rsid w:val="1A184DA0"/>
    <w:rsid w:val="1A1A7931"/>
    <w:rsid w:val="1A1B12D9"/>
    <w:rsid w:val="1A1B310D"/>
    <w:rsid w:val="1A1B5DEF"/>
    <w:rsid w:val="1A1C2C01"/>
    <w:rsid w:val="1A2069A5"/>
    <w:rsid w:val="1A2152A5"/>
    <w:rsid w:val="1A241393"/>
    <w:rsid w:val="1A2A3350"/>
    <w:rsid w:val="1A2C70C8"/>
    <w:rsid w:val="1A2D037C"/>
    <w:rsid w:val="1A2E2E40"/>
    <w:rsid w:val="1A2F0966"/>
    <w:rsid w:val="1A304E0A"/>
    <w:rsid w:val="1A3379F8"/>
    <w:rsid w:val="1A3C2B07"/>
    <w:rsid w:val="1A3E50EB"/>
    <w:rsid w:val="1A3E78C3"/>
    <w:rsid w:val="1A404F4F"/>
    <w:rsid w:val="1A4062D0"/>
    <w:rsid w:val="1A4068C7"/>
    <w:rsid w:val="1A424B3D"/>
    <w:rsid w:val="1A461891"/>
    <w:rsid w:val="1A46472D"/>
    <w:rsid w:val="1A481333"/>
    <w:rsid w:val="1A490F86"/>
    <w:rsid w:val="1A491A28"/>
    <w:rsid w:val="1A4A40AC"/>
    <w:rsid w:val="1A4A6513"/>
    <w:rsid w:val="1A4C768A"/>
    <w:rsid w:val="1A4F2DB6"/>
    <w:rsid w:val="1A512FD2"/>
    <w:rsid w:val="1A516B2E"/>
    <w:rsid w:val="1A527B6B"/>
    <w:rsid w:val="1A534654"/>
    <w:rsid w:val="1A545102"/>
    <w:rsid w:val="1A562313"/>
    <w:rsid w:val="1A584B10"/>
    <w:rsid w:val="1A5A1E87"/>
    <w:rsid w:val="1A5B5200"/>
    <w:rsid w:val="1A65095C"/>
    <w:rsid w:val="1A68166C"/>
    <w:rsid w:val="1A6C1BBA"/>
    <w:rsid w:val="1A6C2303"/>
    <w:rsid w:val="1A6D1F86"/>
    <w:rsid w:val="1A6E23F3"/>
    <w:rsid w:val="1A6E7488"/>
    <w:rsid w:val="1A710F7F"/>
    <w:rsid w:val="1A7348E4"/>
    <w:rsid w:val="1A75598D"/>
    <w:rsid w:val="1A7604C0"/>
    <w:rsid w:val="1A794857"/>
    <w:rsid w:val="1A7A6085"/>
    <w:rsid w:val="1A7A7E33"/>
    <w:rsid w:val="1A7B1DFD"/>
    <w:rsid w:val="1A7C2724"/>
    <w:rsid w:val="1A7C5AF5"/>
    <w:rsid w:val="1A7D59B3"/>
    <w:rsid w:val="1A7D73CD"/>
    <w:rsid w:val="1A7F48CC"/>
    <w:rsid w:val="1A7F5A3D"/>
    <w:rsid w:val="1A8121C7"/>
    <w:rsid w:val="1A81780F"/>
    <w:rsid w:val="1A82018D"/>
    <w:rsid w:val="1A840CB2"/>
    <w:rsid w:val="1A8707A2"/>
    <w:rsid w:val="1A87529C"/>
    <w:rsid w:val="1A8C65C3"/>
    <w:rsid w:val="1A8E38DF"/>
    <w:rsid w:val="1A8F28CF"/>
    <w:rsid w:val="1A915494"/>
    <w:rsid w:val="1A93162D"/>
    <w:rsid w:val="1A950225"/>
    <w:rsid w:val="1A9515A4"/>
    <w:rsid w:val="1A960F3D"/>
    <w:rsid w:val="1A962296"/>
    <w:rsid w:val="1A992EF2"/>
    <w:rsid w:val="1A996FC3"/>
    <w:rsid w:val="1A9A04D5"/>
    <w:rsid w:val="1A9B675D"/>
    <w:rsid w:val="1A9D3217"/>
    <w:rsid w:val="1A9D69B7"/>
    <w:rsid w:val="1A9E7E47"/>
    <w:rsid w:val="1A9F789A"/>
    <w:rsid w:val="1AA07E1B"/>
    <w:rsid w:val="1AA255DC"/>
    <w:rsid w:val="1AA30A57"/>
    <w:rsid w:val="1AA44EB0"/>
    <w:rsid w:val="1AA557B0"/>
    <w:rsid w:val="1AA76FFE"/>
    <w:rsid w:val="1AAB26E2"/>
    <w:rsid w:val="1AAB623F"/>
    <w:rsid w:val="1AAC38DB"/>
    <w:rsid w:val="1AAD1E42"/>
    <w:rsid w:val="1AAF1AE0"/>
    <w:rsid w:val="1AB04D6D"/>
    <w:rsid w:val="1AB10777"/>
    <w:rsid w:val="1AB64BE3"/>
    <w:rsid w:val="1ABC07FF"/>
    <w:rsid w:val="1ABE2B63"/>
    <w:rsid w:val="1AC25B01"/>
    <w:rsid w:val="1AC45552"/>
    <w:rsid w:val="1AC612CA"/>
    <w:rsid w:val="1AC61E09"/>
    <w:rsid w:val="1AC6751C"/>
    <w:rsid w:val="1ACD087B"/>
    <w:rsid w:val="1ACE4623"/>
    <w:rsid w:val="1ACE755A"/>
    <w:rsid w:val="1AD02149"/>
    <w:rsid w:val="1AD11A1D"/>
    <w:rsid w:val="1AD25EC1"/>
    <w:rsid w:val="1AD4308C"/>
    <w:rsid w:val="1AD67034"/>
    <w:rsid w:val="1ADA48AC"/>
    <w:rsid w:val="1ADC7B24"/>
    <w:rsid w:val="1ADD6614"/>
    <w:rsid w:val="1ADF05DE"/>
    <w:rsid w:val="1AE070FF"/>
    <w:rsid w:val="1AE17406"/>
    <w:rsid w:val="1AE300CE"/>
    <w:rsid w:val="1AE34E1B"/>
    <w:rsid w:val="1AE47A0B"/>
    <w:rsid w:val="1AE6371B"/>
    <w:rsid w:val="1AEC7CC5"/>
    <w:rsid w:val="1AEF6A73"/>
    <w:rsid w:val="1AF35FC0"/>
    <w:rsid w:val="1AF42138"/>
    <w:rsid w:val="1AF43848"/>
    <w:rsid w:val="1AF53044"/>
    <w:rsid w:val="1AF55731"/>
    <w:rsid w:val="1AF745BC"/>
    <w:rsid w:val="1AF82066"/>
    <w:rsid w:val="1AF8344E"/>
    <w:rsid w:val="1AFC2F3E"/>
    <w:rsid w:val="1AFD3F76"/>
    <w:rsid w:val="1AFE48C4"/>
    <w:rsid w:val="1B001B8B"/>
    <w:rsid w:val="1B0047E9"/>
    <w:rsid w:val="1B061915"/>
    <w:rsid w:val="1B070C4A"/>
    <w:rsid w:val="1B082845"/>
    <w:rsid w:val="1B09181A"/>
    <w:rsid w:val="1B0E46B7"/>
    <w:rsid w:val="1B1262BE"/>
    <w:rsid w:val="1B1307F5"/>
    <w:rsid w:val="1B154000"/>
    <w:rsid w:val="1B162551"/>
    <w:rsid w:val="1B172F53"/>
    <w:rsid w:val="1B1C47BE"/>
    <w:rsid w:val="1B1C6DF9"/>
    <w:rsid w:val="1B1D054C"/>
    <w:rsid w:val="1B1E2EB4"/>
    <w:rsid w:val="1B1F16D0"/>
    <w:rsid w:val="1B1F3BFD"/>
    <w:rsid w:val="1B210BF7"/>
    <w:rsid w:val="1B2132E0"/>
    <w:rsid w:val="1B22677B"/>
    <w:rsid w:val="1B280C01"/>
    <w:rsid w:val="1B285AE1"/>
    <w:rsid w:val="1B2B07C0"/>
    <w:rsid w:val="1B2B0DD5"/>
    <w:rsid w:val="1B2B104C"/>
    <w:rsid w:val="1B2C6005"/>
    <w:rsid w:val="1B306F48"/>
    <w:rsid w:val="1B356450"/>
    <w:rsid w:val="1B375D24"/>
    <w:rsid w:val="1B375D9A"/>
    <w:rsid w:val="1B395F40"/>
    <w:rsid w:val="1B3A12C9"/>
    <w:rsid w:val="1B3A2DE8"/>
    <w:rsid w:val="1B3A75C2"/>
    <w:rsid w:val="1B3C5CF6"/>
    <w:rsid w:val="1B3C77DE"/>
    <w:rsid w:val="1B3D7186"/>
    <w:rsid w:val="1B3F2E2B"/>
    <w:rsid w:val="1B414DF5"/>
    <w:rsid w:val="1B444488"/>
    <w:rsid w:val="1B45155F"/>
    <w:rsid w:val="1B4A403C"/>
    <w:rsid w:val="1B4B249D"/>
    <w:rsid w:val="1B4E306E"/>
    <w:rsid w:val="1B4E54C5"/>
    <w:rsid w:val="1B4F12C0"/>
    <w:rsid w:val="1B516A8C"/>
    <w:rsid w:val="1B54283C"/>
    <w:rsid w:val="1B542D7A"/>
    <w:rsid w:val="1B5508A0"/>
    <w:rsid w:val="1B5A1A13"/>
    <w:rsid w:val="1B5A5081"/>
    <w:rsid w:val="1B5D1079"/>
    <w:rsid w:val="1B5D2549"/>
    <w:rsid w:val="1B5D385B"/>
    <w:rsid w:val="1B5E1503"/>
    <w:rsid w:val="1B6066F9"/>
    <w:rsid w:val="1B610FF3"/>
    <w:rsid w:val="1B61791B"/>
    <w:rsid w:val="1B636B19"/>
    <w:rsid w:val="1B650AE3"/>
    <w:rsid w:val="1B6603B7"/>
    <w:rsid w:val="1B6B2203"/>
    <w:rsid w:val="1B6D7998"/>
    <w:rsid w:val="1B6E7987"/>
    <w:rsid w:val="1B6F1962"/>
    <w:rsid w:val="1B6F4D38"/>
    <w:rsid w:val="1B701236"/>
    <w:rsid w:val="1B705779"/>
    <w:rsid w:val="1B74431A"/>
    <w:rsid w:val="1B754FA0"/>
    <w:rsid w:val="1B76302D"/>
    <w:rsid w:val="1B776A68"/>
    <w:rsid w:val="1B7915ED"/>
    <w:rsid w:val="1B792056"/>
    <w:rsid w:val="1B7A6E69"/>
    <w:rsid w:val="1B7B2FBF"/>
    <w:rsid w:val="1B7C7BDB"/>
    <w:rsid w:val="1B7D583C"/>
    <w:rsid w:val="1B804BC9"/>
    <w:rsid w:val="1B8076CB"/>
    <w:rsid w:val="1B823581"/>
    <w:rsid w:val="1B83548B"/>
    <w:rsid w:val="1B84191A"/>
    <w:rsid w:val="1B86423A"/>
    <w:rsid w:val="1B8B6070"/>
    <w:rsid w:val="1B8E24A7"/>
    <w:rsid w:val="1B8F285A"/>
    <w:rsid w:val="1B8F790E"/>
    <w:rsid w:val="1B912E98"/>
    <w:rsid w:val="1B9617EB"/>
    <w:rsid w:val="1B984CB8"/>
    <w:rsid w:val="1B990555"/>
    <w:rsid w:val="1B9F6838"/>
    <w:rsid w:val="1BA37ABD"/>
    <w:rsid w:val="1BA50EE0"/>
    <w:rsid w:val="1BA57132"/>
    <w:rsid w:val="1BA62EAA"/>
    <w:rsid w:val="1BA848CE"/>
    <w:rsid w:val="1BA97566"/>
    <w:rsid w:val="1BAA62E3"/>
    <w:rsid w:val="1BAD248A"/>
    <w:rsid w:val="1BB06B7B"/>
    <w:rsid w:val="1BB26287"/>
    <w:rsid w:val="1BB35E28"/>
    <w:rsid w:val="1BB366AF"/>
    <w:rsid w:val="1BB50748"/>
    <w:rsid w:val="1BB644AA"/>
    <w:rsid w:val="1BB83309"/>
    <w:rsid w:val="1BB934AE"/>
    <w:rsid w:val="1BBC26CD"/>
    <w:rsid w:val="1BBF488C"/>
    <w:rsid w:val="1BBF7FDA"/>
    <w:rsid w:val="1BC20649"/>
    <w:rsid w:val="1BC22212"/>
    <w:rsid w:val="1BC3580A"/>
    <w:rsid w:val="1BC51582"/>
    <w:rsid w:val="1BC60522"/>
    <w:rsid w:val="1BC6130A"/>
    <w:rsid w:val="1BC66F95"/>
    <w:rsid w:val="1BC83471"/>
    <w:rsid w:val="1BC84A2D"/>
    <w:rsid w:val="1BC85F8B"/>
    <w:rsid w:val="1BCA2C1F"/>
    <w:rsid w:val="1BCB296E"/>
    <w:rsid w:val="1BCE2360"/>
    <w:rsid w:val="1BCE7C72"/>
    <w:rsid w:val="1BD23C9F"/>
    <w:rsid w:val="1BD364E4"/>
    <w:rsid w:val="1BD367B0"/>
    <w:rsid w:val="1BD6553D"/>
    <w:rsid w:val="1BD94FE4"/>
    <w:rsid w:val="1BDA07CF"/>
    <w:rsid w:val="1BDC5D91"/>
    <w:rsid w:val="1BDC7A5D"/>
    <w:rsid w:val="1BDF2274"/>
    <w:rsid w:val="1BE31FE6"/>
    <w:rsid w:val="1BE45B3F"/>
    <w:rsid w:val="1BE60CB7"/>
    <w:rsid w:val="1BE614F8"/>
    <w:rsid w:val="1BE85270"/>
    <w:rsid w:val="1BE95EF7"/>
    <w:rsid w:val="1BE97F3E"/>
    <w:rsid w:val="1BF0522D"/>
    <w:rsid w:val="1BF57933"/>
    <w:rsid w:val="1BF63E31"/>
    <w:rsid w:val="1BF65BDF"/>
    <w:rsid w:val="1BF704FB"/>
    <w:rsid w:val="1BF73705"/>
    <w:rsid w:val="1BF84678"/>
    <w:rsid w:val="1BF87169"/>
    <w:rsid w:val="1BFE6D62"/>
    <w:rsid w:val="1C045F84"/>
    <w:rsid w:val="1C057BD0"/>
    <w:rsid w:val="1C063664"/>
    <w:rsid w:val="1C094D92"/>
    <w:rsid w:val="1C0B5BF2"/>
    <w:rsid w:val="1C0B7E01"/>
    <w:rsid w:val="1C0E2F29"/>
    <w:rsid w:val="1C0F4EF3"/>
    <w:rsid w:val="1C0F6782"/>
    <w:rsid w:val="1C0F7089"/>
    <w:rsid w:val="1C111D0E"/>
    <w:rsid w:val="1C113C73"/>
    <w:rsid w:val="1C155249"/>
    <w:rsid w:val="1C163702"/>
    <w:rsid w:val="1C171C7E"/>
    <w:rsid w:val="1C182755"/>
    <w:rsid w:val="1C1B73F4"/>
    <w:rsid w:val="1C1C324D"/>
    <w:rsid w:val="1C1F2F3D"/>
    <w:rsid w:val="1C201166"/>
    <w:rsid w:val="1C202C5C"/>
    <w:rsid w:val="1C206CED"/>
    <w:rsid w:val="1C215282"/>
    <w:rsid w:val="1C221D82"/>
    <w:rsid w:val="1C24274C"/>
    <w:rsid w:val="1C255351"/>
    <w:rsid w:val="1C2E5379"/>
    <w:rsid w:val="1C30275C"/>
    <w:rsid w:val="1C303166"/>
    <w:rsid w:val="1C322A57"/>
    <w:rsid w:val="1C33298F"/>
    <w:rsid w:val="1C34389B"/>
    <w:rsid w:val="1C365FDC"/>
    <w:rsid w:val="1C376C95"/>
    <w:rsid w:val="1C395ACC"/>
    <w:rsid w:val="1C3A3EBF"/>
    <w:rsid w:val="1C3C6EBF"/>
    <w:rsid w:val="1C403C42"/>
    <w:rsid w:val="1C4416D3"/>
    <w:rsid w:val="1C44694B"/>
    <w:rsid w:val="1C493F61"/>
    <w:rsid w:val="1C4A1A87"/>
    <w:rsid w:val="1C4C1CA3"/>
    <w:rsid w:val="1C4C3A51"/>
    <w:rsid w:val="1C4D015E"/>
    <w:rsid w:val="1C4E0CFD"/>
    <w:rsid w:val="1C4E77C9"/>
    <w:rsid w:val="1C4E7F9D"/>
    <w:rsid w:val="1C4F02F8"/>
    <w:rsid w:val="1C4F643C"/>
    <w:rsid w:val="1C507C76"/>
    <w:rsid w:val="1C522367"/>
    <w:rsid w:val="1C574F78"/>
    <w:rsid w:val="1C586408"/>
    <w:rsid w:val="1C5A1E28"/>
    <w:rsid w:val="1C5A616E"/>
    <w:rsid w:val="1C5D06D2"/>
    <w:rsid w:val="1C5D6BD4"/>
    <w:rsid w:val="1C5E227A"/>
    <w:rsid w:val="1C6012AB"/>
    <w:rsid w:val="1C60602A"/>
    <w:rsid w:val="1C61646F"/>
    <w:rsid w:val="1C680E35"/>
    <w:rsid w:val="1C6A49F1"/>
    <w:rsid w:val="1C6A6689"/>
    <w:rsid w:val="1C6C04EA"/>
    <w:rsid w:val="1C6C5EA1"/>
    <w:rsid w:val="1C6D7577"/>
    <w:rsid w:val="1C6F336E"/>
    <w:rsid w:val="1C6F6B5E"/>
    <w:rsid w:val="1C6F7740"/>
    <w:rsid w:val="1C735482"/>
    <w:rsid w:val="1C770915"/>
    <w:rsid w:val="1C7A5BF0"/>
    <w:rsid w:val="1C7B48DB"/>
    <w:rsid w:val="1C7B60E4"/>
    <w:rsid w:val="1C7D3C04"/>
    <w:rsid w:val="1C7F3E27"/>
    <w:rsid w:val="1C7F4184"/>
    <w:rsid w:val="1C8054A9"/>
    <w:rsid w:val="1C805614"/>
    <w:rsid w:val="1C845550"/>
    <w:rsid w:val="1C850D11"/>
    <w:rsid w:val="1C89612E"/>
    <w:rsid w:val="1C896A53"/>
    <w:rsid w:val="1C8978F1"/>
    <w:rsid w:val="1C8979E1"/>
    <w:rsid w:val="1C897E07"/>
    <w:rsid w:val="1C8B31D1"/>
    <w:rsid w:val="1C8B58EF"/>
    <w:rsid w:val="1C8C20A0"/>
    <w:rsid w:val="1C8D55CF"/>
    <w:rsid w:val="1C9039C8"/>
    <w:rsid w:val="1C905109"/>
    <w:rsid w:val="1C93016D"/>
    <w:rsid w:val="1C940F54"/>
    <w:rsid w:val="1C964CCC"/>
    <w:rsid w:val="1C966414"/>
    <w:rsid w:val="1C971F0A"/>
    <w:rsid w:val="1C98152A"/>
    <w:rsid w:val="1C984EE8"/>
    <w:rsid w:val="1C986C96"/>
    <w:rsid w:val="1C99656B"/>
    <w:rsid w:val="1C9F0025"/>
    <w:rsid w:val="1CA04BFE"/>
    <w:rsid w:val="1CA12143"/>
    <w:rsid w:val="1CA13876"/>
    <w:rsid w:val="1CA61F02"/>
    <w:rsid w:val="1CA64593"/>
    <w:rsid w:val="1CA701B4"/>
    <w:rsid w:val="1CA70C88"/>
    <w:rsid w:val="1CA7407E"/>
    <w:rsid w:val="1CAC3784"/>
    <w:rsid w:val="1CAE2EC4"/>
    <w:rsid w:val="1CAE7E25"/>
    <w:rsid w:val="1CAF3599"/>
    <w:rsid w:val="1CB231CF"/>
    <w:rsid w:val="1CB23861"/>
    <w:rsid w:val="1CB25FAA"/>
    <w:rsid w:val="1CB35734"/>
    <w:rsid w:val="1CB41933"/>
    <w:rsid w:val="1CB57A86"/>
    <w:rsid w:val="1CB66E24"/>
    <w:rsid w:val="1CB76212"/>
    <w:rsid w:val="1CBA04E3"/>
    <w:rsid w:val="1CBB1081"/>
    <w:rsid w:val="1CBB2985"/>
    <w:rsid w:val="1CBE4D59"/>
    <w:rsid w:val="1CC04712"/>
    <w:rsid w:val="1CC06D9D"/>
    <w:rsid w:val="1CC07398"/>
    <w:rsid w:val="1CC25AC1"/>
    <w:rsid w:val="1CC35FF3"/>
    <w:rsid w:val="1CC61A56"/>
    <w:rsid w:val="1CCC06EE"/>
    <w:rsid w:val="1CCE0733"/>
    <w:rsid w:val="1CCE6AC3"/>
    <w:rsid w:val="1CD12F9C"/>
    <w:rsid w:val="1CD13D2A"/>
    <w:rsid w:val="1CD221A8"/>
    <w:rsid w:val="1CD542E7"/>
    <w:rsid w:val="1CDC43CA"/>
    <w:rsid w:val="1CDC77FE"/>
    <w:rsid w:val="1CDF3D40"/>
    <w:rsid w:val="1CE335B0"/>
    <w:rsid w:val="1CE35E40"/>
    <w:rsid w:val="1CE43C8A"/>
    <w:rsid w:val="1CE57D5A"/>
    <w:rsid w:val="1CE67A02"/>
    <w:rsid w:val="1CE819CC"/>
    <w:rsid w:val="1CE93C09"/>
    <w:rsid w:val="1CF06AD2"/>
    <w:rsid w:val="1CF245F9"/>
    <w:rsid w:val="1CF322CF"/>
    <w:rsid w:val="1CF53A0D"/>
    <w:rsid w:val="1CF77E61"/>
    <w:rsid w:val="1CFA1018"/>
    <w:rsid w:val="1CFA72E1"/>
    <w:rsid w:val="1CFB7FEB"/>
    <w:rsid w:val="1CFD2499"/>
    <w:rsid w:val="1CFF09BD"/>
    <w:rsid w:val="1D014845"/>
    <w:rsid w:val="1D05373D"/>
    <w:rsid w:val="1D091942"/>
    <w:rsid w:val="1D0A048B"/>
    <w:rsid w:val="1D0A2953"/>
    <w:rsid w:val="1D0E0D07"/>
    <w:rsid w:val="1D0F39CD"/>
    <w:rsid w:val="1D126A49"/>
    <w:rsid w:val="1D134DB7"/>
    <w:rsid w:val="1D1506AA"/>
    <w:rsid w:val="1D152095"/>
    <w:rsid w:val="1D156539"/>
    <w:rsid w:val="1D194ABA"/>
    <w:rsid w:val="1D1A76AB"/>
    <w:rsid w:val="1D1B6577"/>
    <w:rsid w:val="1D1C4A8E"/>
    <w:rsid w:val="1D1D719C"/>
    <w:rsid w:val="1D1E3640"/>
    <w:rsid w:val="1D207523"/>
    <w:rsid w:val="1D210A3A"/>
    <w:rsid w:val="1D2247B2"/>
    <w:rsid w:val="1D243200"/>
    <w:rsid w:val="1D2624F4"/>
    <w:rsid w:val="1D295B40"/>
    <w:rsid w:val="1D2A375F"/>
    <w:rsid w:val="1D2B0317"/>
    <w:rsid w:val="1D2B351D"/>
    <w:rsid w:val="1D2D5631"/>
    <w:rsid w:val="1D30340C"/>
    <w:rsid w:val="1D310BD7"/>
    <w:rsid w:val="1D320E99"/>
    <w:rsid w:val="1D33076D"/>
    <w:rsid w:val="1D366B78"/>
    <w:rsid w:val="1D3739B0"/>
    <w:rsid w:val="1D3838DC"/>
    <w:rsid w:val="1D3A41E1"/>
    <w:rsid w:val="1D3A5FA0"/>
    <w:rsid w:val="1D41019F"/>
    <w:rsid w:val="1D4151A2"/>
    <w:rsid w:val="1D4171CC"/>
    <w:rsid w:val="1D424591"/>
    <w:rsid w:val="1D43518E"/>
    <w:rsid w:val="1D444728"/>
    <w:rsid w:val="1D46123E"/>
    <w:rsid w:val="1D4622ED"/>
    <w:rsid w:val="1D46666D"/>
    <w:rsid w:val="1D494FEE"/>
    <w:rsid w:val="1D4A104F"/>
    <w:rsid w:val="1D4E5AB1"/>
    <w:rsid w:val="1D533C1F"/>
    <w:rsid w:val="1D56371B"/>
    <w:rsid w:val="1D595A4A"/>
    <w:rsid w:val="1D596426"/>
    <w:rsid w:val="1D5A03F0"/>
    <w:rsid w:val="1D5A219E"/>
    <w:rsid w:val="1D5B3170"/>
    <w:rsid w:val="1D5D48F4"/>
    <w:rsid w:val="1D5D57EA"/>
    <w:rsid w:val="1D5E1C8E"/>
    <w:rsid w:val="1D5E74C5"/>
    <w:rsid w:val="1D5F7214"/>
    <w:rsid w:val="1D61177E"/>
    <w:rsid w:val="1D632632"/>
    <w:rsid w:val="1D635B8E"/>
    <w:rsid w:val="1D644643"/>
    <w:rsid w:val="1D645145"/>
    <w:rsid w:val="1D6B659B"/>
    <w:rsid w:val="1D6C3651"/>
    <w:rsid w:val="1D6F55A4"/>
    <w:rsid w:val="1D70376F"/>
    <w:rsid w:val="1D730C34"/>
    <w:rsid w:val="1D730DF9"/>
    <w:rsid w:val="1D7842C5"/>
    <w:rsid w:val="1D7A1A96"/>
    <w:rsid w:val="1D7B2840"/>
    <w:rsid w:val="1D7C3EC2"/>
    <w:rsid w:val="1D80259F"/>
    <w:rsid w:val="1D807436"/>
    <w:rsid w:val="1D835ABE"/>
    <w:rsid w:val="1D85546D"/>
    <w:rsid w:val="1D86683A"/>
    <w:rsid w:val="1D8702AF"/>
    <w:rsid w:val="1D8913C6"/>
    <w:rsid w:val="1D8B0431"/>
    <w:rsid w:val="1D8B05A9"/>
    <w:rsid w:val="1D8B2357"/>
    <w:rsid w:val="1D8D60CF"/>
    <w:rsid w:val="1D8E3FE2"/>
    <w:rsid w:val="1D8F0099"/>
    <w:rsid w:val="1D8F2B9E"/>
    <w:rsid w:val="1D935A4C"/>
    <w:rsid w:val="1D9456B0"/>
    <w:rsid w:val="1D9476AD"/>
    <w:rsid w:val="1D954F84"/>
    <w:rsid w:val="1D955E6C"/>
    <w:rsid w:val="1D9672F6"/>
    <w:rsid w:val="1D9751A0"/>
    <w:rsid w:val="1D976F4E"/>
    <w:rsid w:val="1D990F18"/>
    <w:rsid w:val="1D993E82"/>
    <w:rsid w:val="1D994A74"/>
    <w:rsid w:val="1D9D3ED0"/>
    <w:rsid w:val="1D9D4911"/>
    <w:rsid w:val="1D9E065A"/>
    <w:rsid w:val="1D9E65CA"/>
    <w:rsid w:val="1D9E73FE"/>
    <w:rsid w:val="1DA54D2A"/>
    <w:rsid w:val="1DA72649"/>
    <w:rsid w:val="1DA74931"/>
    <w:rsid w:val="1DA82F09"/>
    <w:rsid w:val="1DA862E9"/>
    <w:rsid w:val="1DA97D6B"/>
    <w:rsid w:val="1DA97F2F"/>
    <w:rsid w:val="1DAA4ED3"/>
    <w:rsid w:val="1DAB2047"/>
    <w:rsid w:val="1DAD574A"/>
    <w:rsid w:val="1DAF6732"/>
    <w:rsid w:val="1DB418AE"/>
    <w:rsid w:val="1DB624A5"/>
    <w:rsid w:val="1DB95831"/>
    <w:rsid w:val="1DBB5310"/>
    <w:rsid w:val="1DBC17D6"/>
    <w:rsid w:val="1DBE2801"/>
    <w:rsid w:val="1DC10AB3"/>
    <w:rsid w:val="1DC13FCB"/>
    <w:rsid w:val="1DC54856"/>
    <w:rsid w:val="1DC55230"/>
    <w:rsid w:val="1DC67833"/>
    <w:rsid w:val="1DCC309C"/>
    <w:rsid w:val="1DD12B31"/>
    <w:rsid w:val="1DD160A6"/>
    <w:rsid w:val="1DD22E3C"/>
    <w:rsid w:val="1DD41F50"/>
    <w:rsid w:val="1DD44A27"/>
    <w:rsid w:val="1DD45AAC"/>
    <w:rsid w:val="1DD76A8D"/>
    <w:rsid w:val="1DD957B9"/>
    <w:rsid w:val="1DD959F6"/>
    <w:rsid w:val="1DDC4086"/>
    <w:rsid w:val="1DDE37AE"/>
    <w:rsid w:val="1DDE692B"/>
    <w:rsid w:val="1DDF7DB5"/>
    <w:rsid w:val="1DE008F5"/>
    <w:rsid w:val="1DE201DA"/>
    <w:rsid w:val="1DE26713"/>
    <w:rsid w:val="1DE72618"/>
    <w:rsid w:val="1DE90653"/>
    <w:rsid w:val="1DE972FF"/>
    <w:rsid w:val="1DEA1774"/>
    <w:rsid w:val="1DEC0875"/>
    <w:rsid w:val="1DED6B6E"/>
    <w:rsid w:val="1DF054D4"/>
    <w:rsid w:val="1DF66931"/>
    <w:rsid w:val="1DFA6837"/>
    <w:rsid w:val="1DFB128B"/>
    <w:rsid w:val="1DFB2460"/>
    <w:rsid w:val="1DFB4D49"/>
    <w:rsid w:val="1DFD47C5"/>
    <w:rsid w:val="1DFE646B"/>
    <w:rsid w:val="1E0000E6"/>
    <w:rsid w:val="1E007351"/>
    <w:rsid w:val="1E031111"/>
    <w:rsid w:val="1E0345E3"/>
    <w:rsid w:val="1E054F96"/>
    <w:rsid w:val="1E083917"/>
    <w:rsid w:val="1E0B5E87"/>
    <w:rsid w:val="1E0C13CE"/>
    <w:rsid w:val="1E0E61D6"/>
    <w:rsid w:val="1E124827"/>
    <w:rsid w:val="1E1249C9"/>
    <w:rsid w:val="1E1467F1"/>
    <w:rsid w:val="1E147042"/>
    <w:rsid w:val="1E15334A"/>
    <w:rsid w:val="1E1719D0"/>
    <w:rsid w:val="1E193E07"/>
    <w:rsid w:val="1E1D38F7"/>
    <w:rsid w:val="1E1D56A5"/>
    <w:rsid w:val="1E1E31CB"/>
    <w:rsid w:val="1E1F1AF5"/>
    <w:rsid w:val="1E222CBC"/>
    <w:rsid w:val="1E250DE6"/>
    <w:rsid w:val="1E284E14"/>
    <w:rsid w:val="1E29229C"/>
    <w:rsid w:val="1E297813"/>
    <w:rsid w:val="1E2C7696"/>
    <w:rsid w:val="1E2E3FC6"/>
    <w:rsid w:val="1E2E5632"/>
    <w:rsid w:val="1E2F6AC2"/>
    <w:rsid w:val="1E31403C"/>
    <w:rsid w:val="1E387C04"/>
    <w:rsid w:val="1E3C6438"/>
    <w:rsid w:val="1E3D2556"/>
    <w:rsid w:val="1E3D59F6"/>
    <w:rsid w:val="1E3D5D47"/>
    <w:rsid w:val="1E3D7AF5"/>
    <w:rsid w:val="1E3E1D60"/>
    <w:rsid w:val="1E3E5127"/>
    <w:rsid w:val="1E3E73CA"/>
    <w:rsid w:val="1E4076DD"/>
    <w:rsid w:val="1E407A47"/>
    <w:rsid w:val="1E430E84"/>
    <w:rsid w:val="1E44457D"/>
    <w:rsid w:val="1E450758"/>
    <w:rsid w:val="1E4569AA"/>
    <w:rsid w:val="1E4612FA"/>
    <w:rsid w:val="1E465629"/>
    <w:rsid w:val="1E4A0B1B"/>
    <w:rsid w:val="1E4B143C"/>
    <w:rsid w:val="1E4B3A49"/>
    <w:rsid w:val="1E4B73EA"/>
    <w:rsid w:val="1E4C1C9B"/>
    <w:rsid w:val="1E4F5A7B"/>
    <w:rsid w:val="1E501303"/>
    <w:rsid w:val="1E543091"/>
    <w:rsid w:val="1E560BB7"/>
    <w:rsid w:val="1E570EAD"/>
    <w:rsid w:val="1E577A63"/>
    <w:rsid w:val="1E585B93"/>
    <w:rsid w:val="1E594664"/>
    <w:rsid w:val="1E5B464E"/>
    <w:rsid w:val="1E5D3CF4"/>
    <w:rsid w:val="1E641526"/>
    <w:rsid w:val="1E65295C"/>
    <w:rsid w:val="1E675D84"/>
    <w:rsid w:val="1E6908EA"/>
    <w:rsid w:val="1E696B3C"/>
    <w:rsid w:val="1E6C7F40"/>
    <w:rsid w:val="1E6F31D5"/>
    <w:rsid w:val="1E71418C"/>
    <w:rsid w:val="1E734B49"/>
    <w:rsid w:val="1E7456E8"/>
    <w:rsid w:val="1E7770DE"/>
    <w:rsid w:val="1E7815F7"/>
    <w:rsid w:val="1E7948A6"/>
    <w:rsid w:val="1E7B3054"/>
    <w:rsid w:val="1E7B4163"/>
    <w:rsid w:val="1E7E5A26"/>
    <w:rsid w:val="1E7E5F31"/>
    <w:rsid w:val="1E804B34"/>
    <w:rsid w:val="1E806520"/>
    <w:rsid w:val="1E854FF8"/>
    <w:rsid w:val="1E861550"/>
    <w:rsid w:val="1E8976CC"/>
    <w:rsid w:val="1E8E65A3"/>
    <w:rsid w:val="1E8F353E"/>
    <w:rsid w:val="1E910415"/>
    <w:rsid w:val="1E9162F8"/>
    <w:rsid w:val="1E924C49"/>
    <w:rsid w:val="1E93220F"/>
    <w:rsid w:val="1E967206"/>
    <w:rsid w:val="1EA07D33"/>
    <w:rsid w:val="1EA10F7E"/>
    <w:rsid w:val="1EA12F24"/>
    <w:rsid w:val="1EA22F52"/>
    <w:rsid w:val="1EA336D1"/>
    <w:rsid w:val="1EA44AC3"/>
    <w:rsid w:val="1EA638ED"/>
    <w:rsid w:val="1EA66BF4"/>
    <w:rsid w:val="1EA731C1"/>
    <w:rsid w:val="1EA929A4"/>
    <w:rsid w:val="1EAB2AFC"/>
    <w:rsid w:val="1EAC272A"/>
    <w:rsid w:val="1EAC6854"/>
    <w:rsid w:val="1EAD03A6"/>
    <w:rsid w:val="1EAD3D56"/>
    <w:rsid w:val="1EB0258C"/>
    <w:rsid w:val="1EB06971"/>
    <w:rsid w:val="1EB15F68"/>
    <w:rsid w:val="1EB600BC"/>
    <w:rsid w:val="1EBA5319"/>
    <w:rsid w:val="1EBC0E1A"/>
    <w:rsid w:val="1EBF49AE"/>
    <w:rsid w:val="1EBF675C"/>
    <w:rsid w:val="1EC1007E"/>
    <w:rsid w:val="1EC117B6"/>
    <w:rsid w:val="1EC137FC"/>
    <w:rsid w:val="1EC31840"/>
    <w:rsid w:val="1EC415FD"/>
    <w:rsid w:val="1EC4699D"/>
    <w:rsid w:val="1EC53DE0"/>
    <w:rsid w:val="1EC64DA3"/>
    <w:rsid w:val="1EC65ED4"/>
    <w:rsid w:val="1EC75611"/>
    <w:rsid w:val="1EC90198"/>
    <w:rsid w:val="1ECB2E77"/>
    <w:rsid w:val="1ECC56B6"/>
    <w:rsid w:val="1ECE59E4"/>
    <w:rsid w:val="1ECF7290"/>
    <w:rsid w:val="1ED20F1D"/>
    <w:rsid w:val="1ED24356"/>
    <w:rsid w:val="1ED64D78"/>
    <w:rsid w:val="1ED73417"/>
    <w:rsid w:val="1ED86FC5"/>
    <w:rsid w:val="1EDB2E6A"/>
    <w:rsid w:val="1EDF09C8"/>
    <w:rsid w:val="1EE371AA"/>
    <w:rsid w:val="1EE46CA1"/>
    <w:rsid w:val="1EE561D1"/>
    <w:rsid w:val="1EE75CB3"/>
    <w:rsid w:val="1EE77A61"/>
    <w:rsid w:val="1EE77B62"/>
    <w:rsid w:val="1EE92C18"/>
    <w:rsid w:val="1EEB57A3"/>
    <w:rsid w:val="1EEC631C"/>
    <w:rsid w:val="1EEC67B8"/>
    <w:rsid w:val="1EF02CEE"/>
    <w:rsid w:val="1EF02D51"/>
    <w:rsid w:val="1EF26B32"/>
    <w:rsid w:val="1EF503D0"/>
    <w:rsid w:val="1EF5217E"/>
    <w:rsid w:val="1EF8106D"/>
    <w:rsid w:val="1EF83A1C"/>
    <w:rsid w:val="1EF921F1"/>
    <w:rsid w:val="1EF95283"/>
    <w:rsid w:val="1EFB4E1D"/>
    <w:rsid w:val="1EFD3C33"/>
    <w:rsid w:val="1EFF2539"/>
    <w:rsid w:val="1F010B23"/>
    <w:rsid w:val="1F011E8E"/>
    <w:rsid w:val="1F047D00"/>
    <w:rsid w:val="1F070103"/>
    <w:rsid w:val="1F086CB4"/>
    <w:rsid w:val="1F087540"/>
    <w:rsid w:val="1F0A1722"/>
    <w:rsid w:val="1F0A6E39"/>
    <w:rsid w:val="1F0C52E3"/>
    <w:rsid w:val="1F0C7999"/>
    <w:rsid w:val="1F0D6046"/>
    <w:rsid w:val="1F0E3240"/>
    <w:rsid w:val="1F0F2E35"/>
    <w:rsid w:val="1F1545CE"/>
    <w:rsid w:val="1F17052E"/>
    <w:rsid w:val="1F1A1BE5"/>
    <w:rsid w:val="1F1A7E37"/>
    <w:rsid w:val="1F1F544D"/>
    <w:rsid w:val="1F204572"/>
    <w:rsid w:val="1F2208FE"/>
    <w:rsid w:val="1F226CEB"/>
    <w:rsid w:val="1F264902"/>
    <w:rsid w:val="1F275615"/>
    <w:rsid w:val="1F2962CC"/>
    <w:rsid w:val="1F29753E"/>
    <w:rsid w:val="1F2B2044"/>
    <w:rsid w:val="1F302AAF"/>
    <w:rsid w:val="1F3134DE"/>
    <w:rsid w:val="1F3233CF"/>
    <w:rsid w:val="1F324C3C"/>
    <w:rsid w:val="1F325180"/>
    <w:rsid w:val="1F3531AD"/>
    <w:rsid w:val="1F363EB0"/>
    <w:rsid w:val="1F3A4035"/>
    <w:rsid w:val="1F3D624F"/>
    <w:rsid w:val="1F3D7747"/>
    <w:rsid w:val="1F3F33F9"/>
    <w:rsid w:val="1F3F5AEF"/>
    <w:rsid w:val="1F407FCA"/>
    <w:rsid w:val="1F42195B"/>
    <w:rsid w:val="1F431B9D"/>
    <w:rsid w:val="1F443106"/>
    <w:rsid w:val="1F443FFF"/>
    <w:rsid w:val="1F446C62"/>
    <w:rsid w:val="1F470500"/>
    <w:rsid w:val="1F4C3617"/>
    <w:rsid w:val="1F4D1FBA"/>
    <w:rsid w:val="1F4E3244"/>
    <w:rsid w:val="1F4E5FA7"/>
    <w:rsid w:val="1F503046"/>
    <w:rsid w:val="1F505606"/>
    <w:rsid w:val="1F52137F"/>
    <w:rsid w:val="1F566EB8"/>
    <w:rsid w:val="1F570348"/>
    <w:rsid w:val="1F574BE7"/>
    <w:rsid w:val="1F575A19"/>
    <w:rsid w:val="1F5C2306"/>
    <w:rsid w:val="1F5C3FAB"/>
    <w:rsid w:val="1F5E2F55"/>
    <w:rsid w:val="1F5F3A9B"/>
    <w:rsid w:val="1F5F4784"/>
    <w:rsid w:val="1F6400AC"/>
    <w:rsid w:val="1F6939EE"/>
    <w:rsid w:val="1F6A3E3B"/>
    <w:rsid w:val="1F6D07C1"/>
    <w:rsid w:val="1F7053E3"/>
    <w:rsid w:val="1F706B55"/>
    <w:rsid w:val="1F706B96"/>
    <w:rsid w:val="1F73620B"/>
    <w:rsid w:val="1F736326"/>
    <w:rsid w:val="1F742441"/>
    <w:rsid w:val="1F766C00"/>
    <w:rsid w:val="1F780F64"/>
    <w:rsid w:val="1F7A106F"/>
    <w:rsid w:val="1F7A6B27"/>
    <w:rsid w:val="1F7B7743"/>
    <w:rsid w:val="1F7C04E2"/>
    <w:rsid w:val="1F7C289F"/>
    <w:rsid w:val="1F813A12"/>
    <w:rsid w:val="1F824F13"/>
    <w:rsid w:val="1F8451F6"/>
    <w:rsid w:val="1F8460B4"/>
    <w:rsid w:val="1F856491"/>
    <w:rsid w:val="1F8654CC"/>
    <w:rsid w:val="1F867DD7"/>
    <w:rsid w:val="1F8766E7"/>
    <w:rsid w:val="1F890B18"/>
    <w:rsid w:val="1F896A96"/>
    <w:rsid w:val="1F896D6A"/>
    <w:rsid w:val="1F8B3D41"/>
    <w:rsid w:val="1F8B663F"/>
    <w:rsid w:val="1F8D685B"/>
    <w:rsid w:val="1F90634B"/>
    <w:rsid w:val="1F9361DA"/>
    <w:rsid w:val="1F9A6E78"/>
    <w:rsid w:val="1F9B615C"/>
    <w:rsid w:val="1F9C5282"/>
    <w:rsid w:val="1F9D59EC"/>
    <w:rsid w:val="1F9E2816"/>
    <w:rsid w:val="1FA12306"/>
    <w:rsid w:val="1FA47700"/>
    <w:rsid w:val="1FA507E8"/>
    <w:rsid w:val="1FA671BB"/>
    <w:rsid w:val="1FA75F79"/>
    <w:rsid w:val="1FAA1E71"/>
    <w:rsid w:val="1FAB50E1"/>
    <w:rsid w:val="1FAC3B55"/>
    <w:rsid w:val="1FAD2A59"/>
    <w:rsid w:val="1FAD3F88"/>
    <w:rsid w:val="1FAD742D"/>
    <w:rsid w:val="1FAE2773"/>
    <w:rsid w:val="1FB00BE2"/>
    <w:rsid w:val="1FB44357"/>
    <w:rsid w:val="1FB73684"/>
    <w:rsid w:val="1FB84454"/>
    <w:rsid w:val="1FBC4A4A"/>
    <w:rsid w:val="1FC16A5D"/>
    <w:rsid w:val="1FC23CA6"/>
    <w:rsid w:val="1FC34680"/>
    <w:rsid w:val="1FC35F39"/>
    <w:rsid w:val="1FC61443"/>
    <w:rsid w:val="1FC72169"/>
    <w:rsid w:val="1FCB2EDF"/>
    <w:rsid w:val="1FCD4EA9"/>
    <w:rsid w:val="1FCE3F40"/>
    <w:rsid w:val="1FCE7E9C"/>
    <w:rsid w:val="1FCF0C21"/>
    <w:rsid w:val="1FD0596B"/>
    <w:rsid w:val="1FD44489"/>
    <w:rsid w:val="1FD5766E"/>
    <w:rsid w:val="1FD96771"/>
    <w:rsid w:val="1FDA3E25"/>
    <w:rsid w:val="1FDC7BDF"/>
    <w:rsid w:val="1FDE1C21"/>
    <w:rsid w:val="1FDE786A"/>
    <w:rsid w:val="1FE04BCF"/>
    <w:rsid w:val="1FE3006F"/>
    <w:rsid w:val="1FE553C2"/>
    <w:rsid w:val="1FE60172"/>
    <w:rsid w:val="1FE71E4B"/>
    <w:rsid w:val="1FE741BD"/>
    <w:rsid w:val="1FE7623B"/>
    <w:rsid w:val="1FEC17D3"/>
    <w:rsid w:val="1FED4E93"/>
    <w:rsid w:val="1FED554B"/>
    <w:rsid w:val="1FEF4E1F"/>
    <w:rsid w:val="1FF70B1D"/>
    <w:rsid w:val="1FFC60C1"/>
    <w:rsid w:val="20015EDA"/>
    <w:rsid w:val="20036B1D"/>
    <w:rsid w:val="200603BB"/>
    <w:rsid w:val="20062169"/>
    <w:rsid w:val="20086288"/>
    <w:rsid w:val="20093A2E"/>
    <w:rsid w:val="200A1C59"/>
    <w:rsid w:val="200C041C"/>
    <w:rsid w:val="200C2FED"/>
    <w:rsid w:val="200D1749"/>
    <w:rsid w:val="20107F24"/>
    <w:rsid w:val="2011123A"/>
    <w:rsid w:val="20112FE8"/>
    <w:rsid w:val="20120B0E"/>
    <w:rsid w:val="20124FB2"/>
    <w:rsid w:val="20130094"/>
    <w:rsid w:val="20141EC7"/>
    <w:rsid w:val="2014371F"/>
    <w:rsid w:val="20166850"/>
    <w:rsid w:val="20174376"/>
    <w:rsid w:val="20176124"/>
    <w:rsid w:val="201B0C75"/>
    <w:rsid w:val="201B6BB8"/>
    <w:rsid w:val="20232D1B"/>
    <w:rsid w:val="20235CE4"/>
    <w:rsid w:val="2025043D"/>
    <w:rsid w:val="20250841"/>
    <w:rsid w:val="20253BE5"/>
    <w:rsid w:val="202549B6"/>
    <w:rsid w:val="2026550C"/>
    <w:rsid w:val="20286583"/>
    <w:rsid w:val="20286883"/>
    <w:rsid w:val="202A0DCA"/>
    <w:rsid w:val="202B07D6"/>
    <w:rsid w:val="202B5A1D"/>
    <w:rsid w:val="202F24B7"/>
    <w:rsid w:val="202F348C"/>
    <w:rsid w:val="203062AB"/>
    <w:rsid w:val="203327BF"/>
    <w:rsid w:val="20334F74"/>
    <w:rsid w:val="203776EA"/>
    <w:rsid w:val="20387FBD"/>
    <w:rsid w:val="2039790D"/>
    <w:rsid w:val="203B391C"/>
    <w:rsid w:val="203C638C"/>
    <w:rsid w:val="203F072E"/>
    <w:rsid w:val="204213F3"/>
    <w:rsid w:val="20432809"/>
    <w:rsid w:val="20442E68"/>
    <w:rsid w:val="20444C98"/>
    <w:rsid w:val="204470B3"/>
    <w:rsid w:val="20452C91"/>
    <w:rsid w:val="20462D25"/>
    <w:rsid w:val="20474C5B"/>
    <w:rsid w:val="204C78C3"/>
    <w:rsid w:val="204F1D62"/>
    <w:rsid w:val="205253AE"/>
    <w:rsid w:val="20535F35"/>
    <w:rsid w:val="20542ED4"/>
    <w:rsid w:val="20566C4C"/>
    <w:rsid w:val="20580931"/>
    <w:rsid w:val="205920E7"/>
    <w:rsid w:val="205E01F7"/>
    <w:rsid w:val="205E1FA5"/>
    <w:rsid w:val="205E52B6"/>
    <w:rsid w:val="205E6393"/>
    <w:rsid w:val="205E6666"/>
    <w:rsid w:val="20601879"/>
    <w:rsid w:val="206122BB"/>
    <w:rsid w:val="2062104A"/>
    <w:rsid w:val="2063580D"/>
    <w:rsid w:val="206433F0"/>
    <w:rsid w:val="206A6B9C"/>
    <w:rsid w:val="206D29DF"/>
    <w:rsid w:val="206E043A"/>
    <w:rsid w:val="207128B9"/>
    <w:rsid w:val="20713A86"/>
    <w:rsid w:val="20713C45"/>
    <w:rsid w:val="207257A9"/>
    <w:rsid w:val="207277FE"/>
    <w:rsid w:val="2076109D"/>
    <w:rsid w:val="207812B9"/>
    <w:rsid w:val="2079293B"/>
    <w:rsid w:val="20794EEE"/>
    <w:rsid w:val="207D4F74"/>
    <w:rsid w:val="20831A0C"/>
    <w:rsid w:val="20847881"/>
    <w:rsid w:val="208539D6"/>
    <w:rsid w:val="208732AA"/>
    <w:rsid w:val="208852B0"/>
    <w:rsid w:val="20895274"/>
    <w:rsid w:val="208E288A"/>
    <w:rsid w:val="20914128"/>
    <w:rsid w:val="20932C15"/>
    <w:rsid w:val="20935F0E"/>
    <w:rsid w:val="20967991"/>
    <w:rsid w:val="20981A12"/>
    <w:rsid w:val="20987265"/>
    <w:rsid w:val="2099253B"/>
    <w:rsid w:val="20992E7B"/>
    <w:rsid w:val="209B0B03"/>
    <w:rsid w:val="20A011F8"/>
    <w:rsid w:val="20A24ABD"/>
    <w:rsid w:val="20A27B39"/>
    <w:rsid w:val="20A350FE"/>
    <w:rsid w:val="20A420AE"/>
    <w:rsid w:val="20A7394C"/>
    <w:rsid w:val="20A756FA"/>
    <w:rsid w:val="20A8243A"/>
    <w:rsid w:val="20A94E3B"/>
    <w:rsid w:val="20AA5651"/>
    <w:rsid w:val="20AA6F98"/>
    <w:rsid w:val="20AD5E53"/>
    <w:rsid w:val="20AE6A88"/>
    <w:rsid w:val="20AF1856"/>
    <w:rsid w:val="20B135CD"/>
    <w:rsid w:val="20B230EF"/>
    <w:rsid w:val="20B41BC5"/>
    <w:rsid w:val="20B56069"/>
    <w:rsid w:val="20B772A1"/>
    <w:rsid w:val="20B82D8A"/>
    <w:rsid w:val="20BC2891"/>
    <w:rsid w:val="20BD38E3"/>
    <w:rsid w:val="20BF540A"/>
    <w:rsid w:val="20C05A8A"/>
    <w:rsid w:val="20C43AB7"/>
    <w:rsid w:val="20C462AC"/>
    <w:rsid w:val="20C73087"/>
    <w:rsid w:val="20C9133D"/>
    <w:rsid w:val="20CB71D8"/>
    <w:rsid w:val="20CC267C"/>
    <w:rsid w:val="20CC747B"/>
    <w:rsid w:val="20CF13CE"/>
    <w:rsid w:val="20D004CB"/>
    <w:rsid w:val="20D02EA3"/>
    <w:rsid w:val="20D234E6"/>
    <w:rsid w:val="20D25E70"/>
    <w:rsid w:val="20D30A7A"/>
    <w:rsid w:val="20D504B9"/>
    <w:rsid w:val="20D52267"/>
    <w:rsid w:val="20D63E58"/>
    <w:rsid w:val="20D67D8D"/>
    <w:rsid w:val="20DA5ACF"/>
    <w:rsid w:val="20DB53A4"/>
    <w:rsid w:val="20DC3167"/>
    <w:rsid w:val="20DD111C"/>
    <w:rsid w:val="20DD736E"/>
    <w:rsid w:val="20DE1AB6"/>
    <w:rsid w:val="20DF30E6"/>
    <w:rsid w:val="20DF4F0A"/>
    <w:rsid w:val="20E12709"/>
    <w:rsid w:val="20E24984"/>
    <w:rsid w:val="20E52DD6"/>
    <w:rsid w:val="20E56222"/>
    <w:rsid w:val="20E80304"/>
    <w:rsid w:val="20E83906"/>
    <w:rsid w:val="20E85BCD"/>
    <w:rsid w:val="20E90D96"/>
    <w:rsid w:val="20EA329F"/>
    <w:rsid w:val="20EC66D3"/>
    <w:rsid w:val="20ED726E"/>
    <w:rsid w:val="20EE50D7"/>
    <w:rsid w:val="20EF22C2"/>
    <w:rsid w:val="20F036ED"/>
    <w:rsid w:val="20F4534A"/>
    <w:rsid w:val="20F46465"/>
    <w:rsid w:val="20FA2328"/>
    <w:rsid w:val="20FA7F20"/>
    <w:rsid w:val="20FC1C12"/>
    <w:rsid w:val="20FC3C98"/>
    <w:rsid w:val="20FD6333"/>
    <w:rsid w:val="21040AD4"/>
    <w:rsid w:val="21067460"/>
    <w:rsid w:val="21090163"/>
    <w:rsid w:val="21093593"/>
    <w:rsid w:val="21093CBF"/>
    <w:rsid w:val="210A59EF"/>
    <w:rsid w:val="210E5779"/>
    <w:rsid w:val="21111EDC"/>
    <w:rsid w:val="2113325A"/>
    <w:rsid w:val="211519AF"/>
    <w:rsid w:val="21156B08"/>
    <w:rsid w:val="211A2370"/>
    <w:rsid w:val="211A7A85"/>
    <w:rsid w:val="21221225"/>
    <w:rsid w:val="21224ACE"/>
    <w:rsid w:val="212276B8"/>
    <w:rsid w:val="2124331B"/>
    <w:rsid w:val="2127683B"/>
    <w:rsid w:val="212866DE"/>
    <w:rsid w:val="212958F6"/>
    <w:rsid w:val="21303941"/>
    <w:rsid w:val="213056EF"/>
    <w:rsid w:val="21313216"/>
    <w:rsid w:val="21342829"/>
    <w:rsid w:val="21360B4E"/>
    <w:rsid w:val="21366A7E"/>
    <w:rsid w:val="21371D65"/>
    <w:rsid w:val="21376595"/>
    <w:rsid w:val="21394AF2"/>
    <w:rsid w:val="213B5E42"/>
    <w:rsid w:val="213F3B84"/>
    <w:rsid w:val="214142A7"/>
    <w:rsid w:val="2141730D"/>
    <w:rsid w:val="214178FD"/>
    <w:rsid w:val="21433CAE"/>
    <w:rsid w:val="214473ED"/>
    <w:rsid w:val="21472A39"/>
    <w:rsid w:val="21487E82"/>
    <w:rsid w:val="214C004F"/>
    <w:rsid w:val="214C1877"/>
    <w:rsid w:val="214F3078"/>
    <w:rsid w:val="214F7D28"/>
    <w:rsid w:val="21511AA0"/>
    <w:rsid w:val="21513D9B"/>
    <w:rsid w:val="215313DE"/>
    <w:rsid w:val="215333D3"/>
    <w:rsid w:val="21577120"/>
    <w:rsid w:val="21585832"/>
    <w:rsid w:val="215869F4"/>
    <w:rsid w:val="215A09BE"/>
    <w:rsid w:val="215C4736"/>
    <w:rsid w:val="215C64E4"/>
    <w:rsid w:val="215D225D"/>
    <w:rsid w:val="215D2B5A"/>
    <w:rsid w:val="215D400B"/>
    <w:rsid w:val="216154D0"/>
    <w:rsid w:val="21621361"/>
    <w:rsid w:val="216300F7"/>
    <w:rsid w:val="216D06F2"/>
    <w:rsid w:val="216E446A"/>
    <w:rsid w:val="21701EF5"/>
    <w:rsid w:val="21707EAF"/>
    <w:rsid w:val="2174533C"/>
    <w:rsid w:val="21760073"/>
    <w:rsid w:val="21784B27"/>
    <w:rsid w:val="217915F9"/>
    <w:rsid w:val="217B58C7"/>
    <w:rsid w:val="217E1F03"/>
    <w:rsid w:val="21817CF9"/>
    <w:rsid w:val="21845A3B"/>
    <w:rsid w:val="21871088"/>
    <w:rsid w:val="2188552B"/>
    <w:rsid w:val="21885798"/>
    <w:rsid w:val="21893C3E"/>
    <w:rsid w:val="218C669E"/>
    <w:rsid w:val="218D2B42"/>
    <w:rsid w:val="218D48F0"/>
    <w:rsid w:val="219038FC"/>
    <w:rsid w:val="21933ED0"/>
    <w:rsid w:val="2194459D"/>
    <w:rsid w:val="21957C48"/>
    <w:rsid w:val="21971A5F"/>
    <w:rsid w:val="21983D12"/>
    <w:rsid w:val="219D08AB"/>
    <w:rsid w:val="219D137A"/>
    <w:rsid w:val="21A1039B"/>
    <w:rsid w:val="21A25EC1"/>
    <w:rsid w:val="21A3289D"/>
    <w:rsid w:val="21A34113"/>
    <w:rsid w:val="21A734D8"/>
    <w:rsid w:val="21A954A2"/>
    <w:rsid w:val="21AB746C"/>
    <w:rsid w:val="21AE5C8C"/>
    <w:rsid w:val="21B34182"/>
    <w:rsid w:val="21B44F4C"/>
    <w:rsid w:val="21B7196D"/>
    <w:rsid w:val="21B805CD"/>
    <w:rsid w:val="21B97996"/>
    <w:rsid w:val="21BB6D03"/>
    <w:rsid w:val="21BC6F83"/>
    <w:rsid w:val="21BE3ED6"/>
    <w:rsid w:val="21BE719F"/>
    <w:rsid w:val="21BF647C"/>
    <w:rsid w:val="21C21333"/>
    <w:rsid w:val="21C34E85"/>
    <w:rsid w:val="21C42F7A"/>
    <w:rsid w:val="21C81DCC"/>
    <w:rsid w:val="21C916A0"/>
    <w:rsid w:val="21C97F2F"/>
    <w:rsid w:val="21CA3B32"/>
    <w:rsid w:val="21CB1A9C"/>
    <w:rsid w:val="21CF6BB6"/>
    <w:rsid w:val="21D05231"/>
    <w:rsid w:val="21D40771"/>
    <w:rsid w:val="21D4251F"/>
    <w:rsid w:val="21D474D2"/>
    <w:rsid w:val="21D81714"/>
    <w:rsid w:val="21D94574"/>
    <w:rsid w:val="21DE5008"/>
    <w:rsid w:val="21E07116"/>
    <w:rsid w:val="21E20261"/>
    <w:rsid w:val="21E32424"/>
    <w:rsid w:val="21E55BA0"/>
    <w:rsid w:val="21E90CBF"/>
    <w:rsid w:val="21EA1E81"/>
    <w:rsid w:val="21EC6D8D"/>
    <w:rsid w:val="21ED35E0"/>
    <w:rsid w:val="21ED538F"/>
    <w:rsid w:val="21EE54AF"/>
    <w:rsid w:val="21F030D1"/>
    <w:rsid w:val="21F1456A"/>
    <w:rsid w:val="21F229A5"/>
    <w:rsid w:val="21F809B9"/>
    <w:rsid w:val="21FD15AA"/>
    <w:rsid w:val="21FE56DE"/>
    <w:rsid w:val="21FF0D89"/>
    <w:rsid w:val="21FF51E1"/>
    <w:rsid w:val="21FF5741"/>
    <w:rsid w:val="22001B30"/>
    <w:rsid w:val="2205092A"/>
    <w:rsid w:val="22053DC1"/>
    <w:rsid w:val="220F6353"/>
    <w:rsid w:val="22105521"/>
    <w:rsid w:val="22110B9B"/>
    <w:rsid w:val="22133198"/>
    <w:rsid w:val="221548E5"/>
    <w:rsid w:val="2217303E"/>
    <w:rsid w:val="221849F1"/>
    <w:rsid w:val="221B3A31"/>
    <w:rsid w:val="221C3EC6"/>
    <w:rsid w:val="221D20F7"/>
    <w:rsid w:val="222114DC"/>
    <w:rsid w:val="2222301D"/>
    <w:rsid w:val="2228286B"/>
    <w:rsid w:val="222923B7"/>
    <w:rsid w:val="222A326B"/>
    <w:rsid w:val="222B5EB7"/>
    <w:rsid w:val="222B61E7"/>
    <w:rsid w:val="22324B89"/>
    <w:rsid w:val="223357F1"/>
    <w:rsid w:val="2234120F"/>
    <w:rsid w:val="22346561"/>
    <w:rsid w:val="22347EC0"/>
    <w:rsid w:val="22356D36"/>
    <w:rsid w:val="22386CFF"/>
    <w:rsid w:val="223E208E"/>
    <w:rsid w:val="223F60E8"/>
    <w:rsid w:val="22401962"/>
    <w:rsid w:val="22422982"/>
    <w:rsid w:val="224376A4"/>
    <w:rsid w:val="22475203"/>
    <w:rsid w:val="224A0A33"/>
    <w:rsid w:val="224B0307"/>
    <w:rsid w:val="224D26CF"/>
    <w:rsid w:val="22500122"/>
    <w:rsid w:val="22526E6B"/>
    <w:rsid w:val="2255750B"/>
    <w:rsid w:val="2256088E"/>
    <w:rsid w:val="22573150"/>
    <w:rsid w:val="22582CF2"/>
    <w:rsid w:val="225936CC"/>
    <w:rsid w:val="225C42C2"/>
    <w:rsid w:val="225C6E46"/>
    <w:rsid w:val="225D2972"/>
    <w:rsid w:val="225F644E"/>
    <w:rsid w:val="22610DF3"/>
    <w:rsid w:val="22627DAF"/>
    <w:rsid w:val="22652325"/>
    <w:rsid w:val="2265761B"/>
    <w:rsid w:val="22680AB6"/>
    <w:rsid w:val="22697ED0"/>
    <w:rsid w:val="226A1C8A"/>
    <w:rsid w:val="226B0733"/>
    <w:rsid w:val="226B2757"/>
    <w:rsid w:val="226C09A9"/>
    <w:rsid w:val="226C6A9A"/>
    <w:rsid w:val="226D5B28"/>
    <w:rsid w:val="226F1B0F"/>
    <w:rsid w:val="226F2247"/>
    <w:rsid w:val="22711D00"/>
    <w:rsid w:val="22717D6E"/>
    <w:rsid w:val="2275603E"/>
    <w:rsid w:val="22761D98"/>
    <w:rsid w:val="2277156C"/>
    <w:rsid w:val="227D2B04"/>
    <w:rsid w:val="227D7F05"/>
    <w:rsid w:val="22806203"/>
    <w:rsid w:val="2281188C"/>
    <w:rsid w:val="22837AA1"/>
    <w:rsid w:val="2284006D"/>
    <w:rsid w:val="22877C26"/>
    <w:rsid w:val="22882A9D"/>
    <w:rsid w:val="22883098"/>
    <w:rsid w:val="228850B7"/>
    <w:rsid w:val="22924D39"/>
    <w:rsid w:val="2294396B"/>
    <w:rsid w:val="22956ED5"/>
    <w:rsid w:val="22992C61"/>
    <w:rsid w:val="229B303C"/>
    <w:rsid w:val="229B41DA"/>
    <w:rsid w:val="229F46EC"/>
    <w:rsid w:val="22A04AF7"/>
    <w:rsid w:val="22A06FFB"/>
    <w:rsid w:val="22A2261D"/>
    <w:rsid w:val="22A34CB2"/>
    <w:rsid w:val="22A34EAB"/>
    <w:rsid w:val="22A42E37"/>
    <w:rsid w:val="22A5535A"/>
    <w:rsid w:val="22A636FF"/>
    <w:rsid w:val="22A719E1"/>
    <w:rsid w:val="22A7378F"/>
    <w:rsid w:val="22AA26B3"/>
    <w:rsid w:val="22AC3082"/>
    <w:rsid w:val="22AF4D3A"/>
    <w:rsid w:val="22B21DED"/>
    <w:rsid w:val="22B365D8"/>
    <w:rsid w:val="22B420B4"/>
    <w:rsid w:val="22B440FE"/>
    <w:rsid w:val="22B51E92"/>
    <w:rsid w:val="22B73A65"/>
    <w:rsid w:val="22B76184"/>
    <w:rsid w:val="22B83E1E"/>
    <w:rsid w:val="22B97967"/>
    <w:rsid w:val="22BA5686"/>
    <w:rsid w:val="22BD1205"/>
    <w:rsid w:val="22BD7457"/>
    <w:rsid w:val="22BE5497"/>
    <w:rsid w:val="22C02529"/>
    <w:rsid w:val="22C205C9"/>
    <w:rsid w:val="22C407E5"/>
    <w:rsid w:val="22C5455D"/>
    <w:rsid w:val="22C56A5E"/>
    <w:rsid w:val="22C75BE0"/>
    <w:rsid w:val="22C8518E"/>
    <w:rsid w:val="22CA56D0"/>
    <w:rsid w:val="22CB79AC"/>
    <w:rsid w:val="22CC036B"/>
    <w:rsid w:val="22CC1448"/>
    <w:rsid w:val="22CD0B6A"/>
    <w:rsid w:val="22D13107"/>
    <w:rsid w:val="22D17130"/>
    <w:rsid w:val="22D36C7A"/>
    <w:rsid w:val="22D67741"/>
    <w:rsid w:val="22D92AC2"/>
    <w:rsid w:val="22DB168B"/>
    <w:rsid w:val="22DD6D24"/>
    <w:rsid w:val="22DF7CAA"/>
    <w:rsid w:val="22E05707"/>
    <w:rsid w:val="22E219EE"/>
    <w:rsid w:val="22E36146"/>
    <w:rsid w:val="22E646A2"/>
    <w:rsid w:val="22E845A7"/>
    <w:rsid w:val="22EB3FC4"/>
    <w:rsid w:val="22EC0600"/>
    <w:rsid w:val="22EC1AEA"/>
    <w:rsid w:val="22ED0B5D"/>
    <w:rsid w:val="22ED527D"/>
    <w:rsid w:val="22ED6D05"/>
    <w:rsid w:val="22EE2ABE"/>
    <w:rsid w:val="22EF1C2D"/>
    <w:rsid w:val="22F17100"/>
    <w:rsid w:val="22F615C6"/>
    <w:rsid w:val="22F72A56"/>
    <w:rsid w:val="22F7738D"/>
    <w:rsid w:val="22FF583D"/>
    <w:rsid w:val="230024FC"/>
    <w:rsid w:val="230629D3"/>
    <w:rsid w:val="23075FD1"/>
    <w:rsid w:val="230863A4"/>
    <w:rsid w:val="230B03BE"/>
    <w:rsid w:val="230C5CE8"/>
    <w:rsid w:val="230C7A96"/>
    <w:rsid w:val="230E078D"/>
    <w:rsid w:val="230F7587"/>
    <w:rsid w:val="23160915"/>
    <w:rsid w:val="23164F2B"/>
    <w:rsid w:val="231C770D"/>
    <w:rsid w:val="231D6AF7"/>
    <w:rsid w:val="231E0C58"/>
    <w:rsid w:val="231F36C8"/>
    <w:rsid w:val="231F3C6E"/>
    <w:rsid w:val="231F5A1C"/>
    <w:rsid w:val="23201794"/>
    <w:rsid w:val="232059B9"/>
    <w:rsid w:val="23221D24"/>
    <w:rsid w:val="232272BA"/>
    <w:rsid w:val="23253833"/>
    <w:rsid w:val="23253CFB"/>
    <w:rsid w:val="23272B22"/>
    <w:rsid w:val="232745F7"/>
    <w:rsid w:val="23290CB5"/>
    <w:rsid w:val="2329689A"/>
    <w:rsid w:val="232A1687"/>
    <w:rsid w:val="232A616E"/>
    <w:rsid w:val="232C67F1"/>
    <w:rsid w:val="232E71B0"/>
    <w:rsid w:val="233063FB"/>
    <w:rsid w:val="23311EDA"/>
    <w:rsid w:val="2331574F"/>
    <w:rsid w:val="233157B8"/>
    <w:rsid w:val="233200D8"/>
    <w:rsid w:val="23323CFF"/>
    <w:rsid w:val="23334578"/>
    <w:rsid w:val="23397C49"/>
    <w:rsid w:val="233B65CE"/>
    <w:rsid w:val="233C481F"/>
    <w:rsid w:val="233D40F4"/>
    <w:rsid w:val="233F4C01"/>
    <w:rsid w:val="234219F8"/>
    <w:rsid w:val="23451001"/>
    <w:rsid w:val="234845F1"/>
    <w:rsid w:val="234A3521"/>
    <w:rsid w:val="234B4A63"/>
    <w:rsid w:val="234C624A"/>
    <w:rsid w:val="234E00AF"/>
    <w:rsid w:val="235002CB"/>
    <w:rsid w:val="2355143D"/>
    <w:rsid w:val="23562DCC"/>
    <w:rsid w:val="23571659"/>
    <w:rsid w:val="23575EA4"/>
    <w:rsid w:val="235C1ABD"/>
    <w:rsid w:val="235D4796"/>
    <w:rsid w:val="235D6544"/>
    <w:rsid w:val="235F050E"/>
    <w:rsid w:val="23601687"/>
    <w:rsid w:val="23603983"/>
    <w:rsid w:val="23614286"/>
    <w:rsid w:val="23615928"/>
    <w:rsid w:val="236478D2"/>
    <w:rsid w:val="2366189C"/>
    <w:rsid w:val="236A4208"/>
    <w:rsid w:val="236B51E7"/>
    <w:rsid w:val="236B6309"/>
    <w:rsid w:val="236E24FF"/>
    <w:rsid w:val="236F53C6"/>
    <w:rsid w:val="237006B3"/>
    <w:rsid w:val="23763D46"/>
    <w:rsid w:val="237813DD"/>
    <w:rsid w:val="23790749"/>
    <w:rsid w:val="237A477A"/>
    <w:rsid w:val="237F64BA"/>
    <w:rsid w:val="23815BE5"/>
    <w:rsid w:val="23825FAA"/>
    <w:rsid w:val="238330DB"/>
    <w:rsid w:val="238A022C"/>
    <w:rsid w:val="238A7618"/>
    <w:rsid w:val="238B1A3B"/>
    <w:rsid w:val="238B3147"/>
    <w:rsid w:val="238B4E5F"/>
    <w:rsid w:val="238C687B"/>
    <w:rsid w:val="238C6E29"/>
    <w:rsid w:val="238E408D"/>
    <w:rsid w:val="238E53EC"/>
    <w:rsid w:val="2390568A"/>
    <w:rsid w:val="23916DF4"/>
    <w:rsid w:val="23926790"/>
    <w:rsid w:val="239314AB"/>
    <w:rsid w:val="23984321"/>
    <w:rsid w:val="239D1036"/>
    <w:rsid w:val="239F4DAE"/>
    <w:rsid w:val="23A06B04"/>
    <w:rsid w:val="23A128D5"/>
    <w:rsid w:val="23A202CD"/>
    <w:rsid w:val="23A61714"/>
    <w:rsid w:val="23A760C3"/>
    <w:rsid w:val="23A819F9"/>
    <w:rsid w:val="23A81EB5"/>
    <w:rsid w:val="23A83C63"/>
    <w:rsid w:val="23A841AA"/>
    <w:rsid w:val="23A91789"/>
    <w:rsid w:val="23A92664"/>
    <w:rsid w:val="23AB2D06"/>
    <w:rsid w:val="23AB72AF"/>
    <w:rsid w:val="23AE0B4E"/>
    <w:rsid w:val="23AE4FF1"/>
    <w:rsid w:val="23B02B18"/>
    <w:rsid w:val="23B239A9"/>
    <w:rsid w:val="23B3750B"/>
    <w:rsid w:val="23B56F9B"/>
    <w:rsid w:val="23B62B06"/>
    <w:rsid w:val="23B7280F"/>
    <w:rsid w:val="23B86870"/>
    <w:rsid w:val="23B87C1E"/>
    <w:rsid w:val="23BA3996"/>
    <w:rsid w:val="23BA5744"/>
    <w:rsid w:val="23BC770E"/>
    <w:rsid w:val="23BD6FE3"/>
    <w:rsid w:val="23BE37E6"/>
    <w:rsid w:val="23BF2D5B"/>
    <w:rsid w:val="23C070E9"/>
    <w:rsid w:val="23C13999"/>
    <w:rsid w:val="23C1633C"/>
    <w:rsid w:val="23C40EBE"/>
    <w:rsid w:val="23C6058D"/>
    <w:rsid w:val="23C70504"/>
    <w:rsid w:val="23C7613E"/>
    <w:rsid w:val="23C84E5A"/>
    <w:rsid w:val="23C97859"/>
    <w:rsid w:val="23CD18DA"/>
    <w:rsid w:val="23CD1D77"/>
    <w:rsid w:val="23CE1F9C"/>
    <w:rsid w:val="23D033B6"/>
    <w:rsid w:val="23D33478"/>
    <w:rsid w:val="23D42CAA"/>
    <w:rsid w:val="23D507D0"/>
    <w:rsid w:val="23D52F74"/>
    <w:rsid w:val="23D71DF9"/>
    <w:rsid w:val="23D749CD"/>
    <w:rsid w:val="23DA1548"/>
    <w:rsid w:val="23DA1EA6"/>
    <w:rsid w:val="23DE179B"/>
    <w:rsid w:val="23DE7685"/>
    <w:rsid w:val="23DF164F"/>
    <w:rsid w:val="23DF33FD"/>
    <w:rsid w:val="23DF6B20"/>
    <w:rsid w:val="23E12CD1"/>
    <w:rsid w:val="23EB1DA2"/>
    <w:rsid w:val="23EE0E98"/>
    <w:rsid w:val="23EE3640"/>
    <w:rsid w:val="23EE5289"/>
    <w:rsid w:val="23F077EE"/>
    <w:rsid w:val="23F81132"/>
    <w:rsid w:val="23FB7503"/>
    <w:rsid w:val="23FC2E04"/>
    <w:rsid w:val="23FC5D5D"/>
    <w:rsid w:val="23FD7DBD"/>
    <w:rsid w:val="23FD7F5C"/>
    <w:rsid w:val="23FE3FEE"/>
    <w:rsid w:val="23FE4FA4"/>
    <w:rsid w:val="23FF78C4"/>
    <w:rsid w:val="240115C5"/>
    <w:rsid w:val="24015121"/>
    <w:rsid w:val="24023FC6"/>
    <w:rsid w:val="24034615"/>
    <w:rsid w:val="240510B5"/>
    <w:rsid w:val="24092228"/>
    <w:rsid w:val="240B258B"/>
    <w:rsid w:val="240D1D18"/>
    <w:rsid w:val="240D3AC6"/>
    <w:rsid w:val="240D7F6A"/>
    <w:rsid w:val="24117CF6"/>
    <w:rsid w:val="24134E54"/>
    <w:rsid w:val="24146249"/>
    <w:rsid w:val="24150BCD"/>
    <w:rsid w:val="24152B0D"/>
    <w:rsid w:val="24156E1F"/>
    <w:rsid w:val="2416546A"/>
    <w:rsid w:val="241906BD"/>
    <w:rsid w:val="241C63FF"/>
    <w:rsid w:val="241E2177"/>
    <w:rsid w:val="241F7259"/>
    <w:rsid w:val="24222166"/>
    <w:rsid w:val="24262DDA"/>
    <w:rsid w:val="24280900"/>
    <w:rsid w:val="2429118E"/>
    <w:rsid w:val="24296AD7"/>
    <w:rsid w:val="242A1C9E"/>
    <w:rsid w:val="242A7E8E"/>
    <w:rsid w:val="242B4894"/>
    <w:rsid w:val="242B6ED3"/>
    <w:rsid w:val="242C34E7"/>
    <w:rsid w:val="243279D1"/>
    <w:rsid w:val="2435110C"/>
    <w:rsid w:val="24357A30"/>
    <w:rsid w:val="24375135"/>
    <w:rsid w:val="24394621"/>
    <w:rsid w:val="243948BB"/>
    <w:rsid w:val="24396F67"/>
    <w:rsid w:val="244036C9"/>
    <w:rsid w:val="244062B1"/>
    <w:rsid w:val="244119C2"/>
    <w:rsid w:val="24411BAA"/>
    <w:rsid w:val="24431FFE"/>
    <w:rsid w:val="24444F4D"/>
    <w:rsid w:val="244849F1"/>
    <w:rsid w:val="24485723"/>
    <w:rsid w:val="244A678E"/>
    <w:rsid w:val="244C67F8"/>
    <w:rsid w:val="244D325D"/>
    <w:rsid w:val="244F30A6"/>
    <w:rsid w:val="24516399"/>
    <w:rsid w:val="245254CF"/>
    <w:rsid w:val="24545B99"/>
    <w:rsid w:val="24572F93"/>
    <w:rsid w:val="2457471E"/>
    <w:rsid w:val="24577437"/>
    <w:rsid w:val="245834F6"/>
    <w:rsid w:val="2458446D"/>
    <w:rsid w:val="245B0CD5"/>
    <w:rsid w:val="245C2C9F"/>
    <w:rsid w:val="245C3F50"/>
    <w:rsid w:val="245C5FE8"/>
    <w:rsid w:val="245D63CA"/>
    <w:rsid w:val="245F0100"/>
    <w:rsid w:val="246160DA"/>
    <w:rsid w:val="24644151"/>
    <w:rsid w:val="24654EC4"/>
    <w:rsid w:val="24654ECD"/>
    <w:rsid w:val="24663FEE"/>
    <w:rsid w:val="246758CC"/>
    <w:rsid w:val="246A53BC"/>
    <w:rsid w:val="246D0A09"/>
    <w:rsid w:val="24705C8C"/>
    <w:rsid w:val="24705EF7"/>
    <w:rsid w:val="2474184A"/>
    <w:rsid w:val="2479115B"/>
    <w:rsid w:val="247A570E"/>
    <w:rsid w:val="247A6377"/>
    <w:rsid w:val="247B4ED4"/>
    <w:rsid w:val="247B5BFB"/>
    <w:rsid w:val="247C0C4C"/>
    <w:rsid w:val="247C29C0"/>
    <w:rsid w:val="247C5BC9"/>
    <w:rsid w:val="247D6D03"/>
    <w:rsid w:val="247F64B1"/>
    <w:rsid w:val="24800582"/>
    <w:rsid w:val="24800C56"/>
    <w:rsid w:val="248155AF"/>
    <w:rsid w:val="2484390C"/>
    <w:rsid w:val="248C335D"/>
    <w:rsid w:val="248D10AB"/>
    <w:rsid w:val="248D4C07"/>
    <w:rsid w:val="248D632C"/>
    <w:rsid w:val="248F6BD1"/>
    <w:rsid w:val="24925CBD"/>
    <w:rsid w:val="249266C1"/>
    <w:rsid w:val="249473FB"/>
    <w:rsid w:val="24967E64"/>
    <w:rsid w:val="24976FCE"/>
    <w:rsid w:val="24977834"/>
    <w:rsid w:val="249935AC"/>
    <w:rsid w:val="249C7D0B"/>
    <w:rsid w:val="249D2C6E"/>
    <w:rsid w:val="249D7540"/>
    <w:rsid w:val="249E6E14"/>
    <w:rsid w:val="24A0493A"/>
    <w:rsid w:val="24A14BA5"/>
    <w:rsid w:val="24A85EE5"/>
    <w:rsid w:val="24AC07EB"/>
    <w:rsid w:val="24AE5BA0"/>
    <w:rsid w:val="24AE6269"/>
    <w:rsid w:val="24B16B47"/>
    <w:rsid w:val="24B511A1"/>
    <w:rsid w:val="24B8273F"/>
    <w:rsid w:val="24BA2895"/>
    <w:rsid w:val="24BC3ACA"/>
    <w:rsid w:val="24BF6C72"/>
    <w:rsid w:val="24C3687B"/>
    <w:rsid w:val="24C543A1"/>
    <w:rsid w:val="24C555E0"/>
    <w:rsid w:val="24C70B66"/>
    <w:rsid w:val="24C96344"/>
    <w:rsid w:val="24CA3462"/>
    <w:rsid w:val="24CD11E7"/>
    <w:rsid w:val="24D60797"/>
    <w:rsid w:val="24D70AE1"/>
    <w:rsid w:val="24DF4095"/>
    <w:rsid w:val="24E011DB"/>
    <w:rsid w:val="24E22A16"/>
    <w:rsid w:val="24E4247E"/>
    <w:rsid w:val="24E639F7"/>
    <w:rsid w:val="24E707BB"/>
    <w:rsid w:val="24EA02AB"/>
    <w:rsid w:val="24EA2059"/>
    <w:rsid w:val="24ED5A68"/>
    <w:rsid w:val="24EE26FA"/>
    <w:rsid w:val="24F66C50"/>
    <w:rsid w:val="24F708DC"/>
    <w:rsid w:val="24F737AC"/>
    <w:rsid w:val="24FB7DC2"/>
    <w:rsid w:val="24FC6017"/>
    <w:rsid w:val="2500187D"/>
    <w:rsid w:val="25001B3E"/>
    <w:rsid w:val="250030DD"/>
    <w:rsid w:val="25034036"/>
    <w:rsid w:val="2504136D"/>
    <w:rsid w:val="25084DDF"/>
    <w:rsid w:val="25084F27"/>
    <w:rsid w:val="250F3DFA"/>
    <w:rsid w:val="251072F4"/>
    <w:rsid w:val="25184226"/>
    <w:rsid w:val="251A293E"/>
    <w:rsid w:val="251B2213"/>
    <w:rsid w:val="251B2BA7"/>
    <w:rsid w:val="251E0098"/>
    <w:rsid w:val="251E1D03"/>
    <w:rsid w:val="251E5552"/>
    <w:rsid w:val="251E582B"/>
    <w:rsid w:val="25210113"/>
    <w:rsid w:val="2524556B"/>
    <w:rsid w:val="252512E3"/>
    <w:rsid w:val="25253091"/>
    <w:rsid w:val="25291BE0"/>
    <w:rsid w:val="252A7204"/>
    <w:rsid w:val="252B4B4C"/>
    <w:rsid w:val="253258DD"/>
    <w:rsid w:val="253673BC"/>
    <w:rsid w:val="25396B3D"/>
    <w:rsid w:val="253A4D8F"/>
    <w:rsid w:val="253A5E5C"/>
    <w:rsid w:val="253B2191"/>
    <w:rsid w:val="253D03DB"/>
    <w:rsid w:val="253E78EC"/>
    <w:rsid w:val="253F50D2"/>
    <w:rsid w:val="253F55D6"/>
    <w:rsid w:val="253F66D1"/>
    <w:rsid w:val="25401C79"/>
    <w:rsid w:val="25411CEB"/>
    <w:rsid w:val="25443880"/>
    <w:rsid w:val="25450B6F"/>
    <w:rsid w:val="25453243"/>
    <w:rsid w:val="254727FE"/>
    <w:rsid w:val="25472F43"/>
    <w:rsid w:val="254865FB"/>
    <w:rsid w:val="25493224"/>
    <w:rsid w:val="25494FD2"/>
    <w:rsid w:val="254A66D8"/>
    <w:rsid w:val="254C22DC"/>
    <w:rsid w:val="254E1747"/>
    <w:rsid w:val="25506360"/>
    <w:rsid w:val="25517BDA"/>
    <w:rsid w:val="25575658"/>
    <w:rsid w:val="25580ACE"/>
    <w:rsid w:val="255875E9"/>
    <w:rsid w:val="255A2720"/>
    <w:rsid w:val="255A6303"/>
    <w:rsid w:val="255C14CA"/>
    <w:rsid w:val="255F2A47"/>
    <w:rsid w:val="25600EA1"/>
    <w:rsid w:val="25606AD2"/>
    <w:rsid w:val="2561056D"/>
    <w:rsid w:val="25610A8D"/>
    <w:rsid w:val="25626569"/>
    <w:rsid w:val="25627E42"/>
    <w:rsid w:val="2564005E"/>
    <w:rsid w:val="25640408"/>
    <w:rsid w:val="256673D1"/>
    <w:rsid w:val="25684362"/>
    <w:rsid w:val="256E78ED"/>
    <w:rsid w:val="25707940"/>
    <w:rsid w:val="25710085"/>
    <w:rsid w:val="257526FE"/>
    <w:rsid w:val="25760EB3"/>
    <w:rsid w:val="25770A0C"/>
    <w:rsid w:val="25780FFC"/>
    <w:rsid w:val="25792133"/>
    <w:rsid w:val="257C53A7"/>
    <w:rsid w:val="257D00DA"/>
    <w:rsid w:val="257E6E06"/>
    <w:rsid w:val="257F016A"/>
    <w:rsid w:val="258006EE"/>
    <w:rsid w:val="2580651A"/>
    <w:rsid w:val="258506D6"/>
    <w:rsid w:val="25873D4C"/>
    <w:rsid w:val="258878E0"/>
    <w:rsid w:val="25890A5E"/>
    <w:rsid w:val="25893620"/>
    <w:rsid w:val="258A442B"/>
    <w:rsid w:val="258E046C"/>
    <w:rsid w:val="258E7ACA"/>
    <w:rsid w:val="259124D5"/>
    <w:rsid w:val="259326F1"/>
    <w:rsid w:val="25946D3B"/>
    <w:rsid w:val="25956469"/>
    <w:rsid w:val="259920B1"/>
    <w:rsid w:val="259A39B1"/>
    <w:rsid w:val="259C00A8"/>
    <w:rsid w:val="259C15A5"/>
    <w:rsid w:val="259C15B6"/>
    <w:rsid w:val="259C3D11"/>
    <w:rsid w:val="259D0E7A"/>
    <w:rsid w:val="259D4D16"/>
    <w:rsid w:val="259E4C3A"/>
    <w:rsid w:val="259E5F95"/>
    <w:rsid w:val="25A154A2"/>
    <w:rsid w:val="25A22934"/>
    <w:rsid w:val="25A373C6"/>
    <w:rsid w:val="25A44C87"/>
    <w:rsid w:val="25A60D52"/>
    <w:rsid w:val="25A74B38"/>
    <w:rsid w:val="25A90A74"/>
    <w:rsid w:val="25AB17E9"/>
    <w:rsid w:val="25B30EC6"/>
    <w:rsid w:val="25B36038"/>
    <w:rsid w:val="25B51097"/>
    <w:rsid w:val="25B74631"/>
    <w:rsid w:val="25B82157"/>
    <w:rsid w:val="25BB0B4F"/>
    <w:rsid w:val="25BC1581"/>
    <w:rsid w:val="25BC57A4"/>
    <w:rsid w:val="25C603D0"/>
    <w:rsid w:val="25C64874"/>
    <w:rsid w:val="25C74149"/>
    <w:rsid w:val="25C86759"/>
    <w:rsid w:val="25CD0B0A"/>
    <w:rsid w:val="25D30703"/>
    <w:rsid w:val="25D315FC"/>
    <w:rsid w:val="25D33BA8"/>
    <w:rsid w:val="25D42A8C"/>
    <w:rsid w:val="25D55497"/>
    <w:rsid w:val="25D60939"/>
    <w:rsid w:val="25D70607"/>
    <w:rsid w:val="25D93B83"/>
    <w:rsid w:val="25D97EEC"/>
    <w:rsid w:val="25DA3E7C"/>
    <w:rsid w:val="25DC0A27"/>
    <w:rsid w:val="25DE1BBE"/>
    <w:rsid w:val="25E11171"/>
    <w:rsid w:val="25E20F82"/>
    <w:rsid w:val="25E234EE"/>
    <w:rsid w:val="25E41E2F"/>
    <w:rsid w:val="25E46335"/>
    <w:rsid w:val="25E66CC5"/>
    <w:rsid w:val="25E728A4"/>
    <w:rsid w:val="25E80121"/>
    <w:rsid w:val="25E90563"/>
    <w:rsid w:val="25EA76A2"/>
    <w:rsid w:val="25EB19B4"/>
    <w:rsid w:val="25EC3B10"/>
    <w:rsid w:val="25EE5B79"/>
    <w:rsid w:val="25F16507"/>
    <w:rsid w:val="25F17E07"/>
    <w:rsid w:val="25F27417"/>
    <w:rsid w:val="25F7237D"/>
    <w:rsid w:val="25F93317"/>
    <w:rsid w:val="25F969F8"/>
    <w:rsid w:val="25FA3506"/>
    <w:rsid w:val="25FB2BB1"/>
    <w:rsid w:val="25FC33D9"/>
    <w:rsid w:val="260041BF"/>
    <w:rsid w:val="26040378"/>
    <w:rsid w:val="26073220"/>
    <w:rsid w:val="26076B23"/>
    <w:rsid w:val="26082FEA"/>
    <w:rsid w:val="260B1E41"/>
    <w:rsid w:val="260B2287"/>
    <w:rsid w:val="260C30AB"/>
    <w:rsid w:val="2611515D"/>
    <w:rsid w:val="261310D6"/>
    <w:rsid w:val="261342DA"/>
    <w:rsid w:val="261513AF"/>
    <w:rsid w:val="26176E7E"/>
    <w:rsid w:val="26181471"/>
    <w:rsid w:val="26183DAA"/>
    <w:rsid w:val="261868A0"/>
    <w:rsid w:val="261C6242"/>
    <w:rsid w:val="261C66B1"/>
    <w:rsid w:val="261D3E53"/>
    <w:rsid w:val="26220F6B"/>
    <w:rsid w:val="2624159B"/>
    <w:rsid w:val="262477ED"/>
    <w:rsid w:val="26270419"/>
    <w:rsid w:val="262A2531"/>
    <w:rsid w:val="262D7AE8"/>
    <w:rsid w:val="262F4B27"/>
    <w:rsid w:val="262F6C4E"/>
    <w:rsid w:val="26301CEE"/>
    <w:rsid w:val="26323CB8"/>
    <w:rsid w:val="26336079"/>
    <w:rsid w:val="26345C82"/>
    <w:rsid w:val="26352D9D"/>
    <w:rsid w:val="263739D8"/>
    <w:rsid w:val="263907AA"/>
    <w:rsid w:val="263A5E5B"/>
    <w:rsid w:val="263A6020"/>
    <w:rsid w:val="263A64F8"/>
    <w:rsid w:val="263B587C"/>
    <w:rsid w:val="263C48DA"/>
    <w:rsid w:val="26421B0D"/>
    <w:rsid w:val="26445799"/>
    <w:rsid w:val="264744EF"/>
    <w:rsid w:val="26486485"/>
    <w:rsid w:val="264C3870"/>
    <w:rsid w:val="264F486A"/>
    <w:rsid w:val="264F766E"/>
    <w:rsid w:val="265231DC"/>
    <w:rsid w:val="26527E5F"/>
    <w:rsid w:val="26554BAF"/>
    <w:rsid w:val="265726EA"/>
    <w:rsid w:val="265B3DF5"/>
    <w:rsid w:val="265D0C6A"/>
    <w:rsid w:val="265D7770"/>
    <w:rsid w:val="26656E0B"/>
    <w:rsid w:val="266B541C"/>
    <w:rsid w:val="2670563D"/>
    <w:rsid w:val="26751DF6"/>
    <w:rsid w:val="26753152"/>
    <w:rsid w:val="267918E7"/>
    <w:rsid w:val="267A55B4"/>
    <w:rsid w:val="267E0F55"/>
    <w:rsid w:val="267F212E"/>
    <w:rsid w:val="267F6325"/>
    <w:rsid w:val="26823C3C"/>
    <w:rsid w:val="26836DB8"/>
    <w:rsid w:val="26861CA2"/>
    <w:rsid w:val="26866228"/>
    <w:rsid w:val="26875517"/>
    <w:rsid w:val="26881B2A"/>
    <w:rsid w:val="268A3AF4"/>
    <w:rsid w:val="268D0EEE"/>
    <w:rsid w:val="268D5392"/>
    <w:rsid w:val="268E0B0C"/>
    <w:rsid w:val="269153FD"/>
    <w:rsid w:val="26935FAA"/>
    <w:rsid w:val="26937DC4"/>
    <w:rsid w:val="26955FF5"/>
    <w:rsid w:val="26971D6D"/>
    <w:rsid w:val="269B7AAF"/>
    <w:rsid w:val="269C55D5"/>
    <w:rsid w:val="269D17AB"/>
    <w:rsid w:val="269D2717"/>
    <w:rsid w:val="269E30FB"/>
    <w:rsid w:val="269E748F"/>
    <w:rsid w:val="26A61FB0"/>
    <w:rsid w:val="26AA4776"/>
    <w:rsid w:val="26AC3B1E"/>
    <w:rsid w:val="26AD333E"/>
    <w:rsid w:val="26AD77C5"/>
    <w:rsid w:val="26B00AD9"/>
    <w:rsid w:val="26B6250E"/>
    <w:rsid w:val="26B62A2B"/>
    <w:rsid w:val="26B65DDE"/>
    <w:rsid w:val="26B730FC"/>
    <w:rsid w:val="26B81454"/>
    <w:rsid w:val="26B86EE4"/>
    <w:rsid w:val="26B96187"/>
    <w:rsid w:val="26BA7AA5"/>
    <w:rsid w:val="26BC71FD"/>
    <w:rsid w:val="26C15FC6"/>
    <w:rsid w:val="26C2328E"/>
    <w:rsid w:val="26C37659"/>
    <w:rsid w:val="26C41C94"/>
    <w:rsid w:val="26C54B2C"/>
    <w:rsid w:val="26C7042A"/>
    <w:rsid w:val="26C77A9E"/>
    <w:rsid w:val="26C97FF4"/>
    <w:rsid w:val="26D010E3"/>
    <w:rsid w:val="26D47194"/>
    <w:rsid w:val="26D806D4"/>
    <w:rsid w:val="26D829E9"/>
    <w:rsid w:val="26DE444E"/>
    <w:rsid w:val="26E01966"/>
    <w:rsid w:val="26E31456"/>
    <w:rsid w:val="26E3633D"/>
    <w:rsid w:val="26E40823"/>
    <w:rsid w:val="26E57798"/>
    <w:rsid w:val="26E8081A"/>
    <w:rsid w:val="26EA0897"/>
    <w:rsid w:val="26EA27E4"/>
    <w:rsid w:val="26EE4083"/>
    <w:rsid w:val="26EF668E"/>
    <w:rsid w:val="26F35BD2"/>
    <w:rsid w:val="26F62F37"/>
    <w:rsid w:val="26F747B3"/>
    <w:rsid w:val="26F81E01"/>
    <w:rsid w:val="26F92A28"/>
    <w:rsid w:val="26FB22FC"/>
    <w:rsid w:val="26FB2D38"/>
    <w:rsid w:val="26FB2E83"/>
    <w:rsid w:val="26FC7E22"/>
    <w:rsid w:val="26FD3074"/>
    <w:rsid w:val="270218DC"/>
    <w:rsid w:val="27037402"/>
    <w:rsid w:val="27054F28"/>
    <w:rsid w:val="270976ED"/>
    <w:rsid w:val="270B2978"/>
    <w:rsid w:val="270E38A9"/>
    <w:rsid w:val="27102ED4"/>
    <w:rsid w:val="27111B1F"/>
    <w:rsid w:val="271123A4"/>
    <w:rsid w:val="27117D71"/>
    <w:rsid w:val="27145343"/>
    <w:rsid w:val="27191ABD"/>
    <w:rsid w:val="271D04C4"/>
    <w:rsid w:val="271D48AB"/>
    <w:rsid w:val="271D517B"/>
    <w:rsid w:val="271D74C3"/>
    <w:rsid w:val="272162DF"/>
    <w:rsid w:val="27244C60"/>
    <w:rsid w:val="2727376E"/>
    <w:rsid w:val="27277595"/>
    <w:rsid w:val="27284F7F"/>
    <w:rsid w:val="272A2EE3"/>
    <w:rsid w:val="272D57DE"/>
    <w:rsid w:val="272F1FA5"/>
    <w:rsid w:val="27304FCB"/>
    <w:rsid w:val="27312F70"/>
    <w:rsid w:val="27321A64"/>
    <w:rsid w:val="27335F39"/>
    <w:rsid w:val="27384086"/>
    <w:rsid w:val="27392E24"/>
    <w:rsid w:val="273A7B11"/>
    <w:rsid w:val="273B0859"/>
    <w:rsid w:val="273F48DE"/>
    <w:rsid w:val="27407977"/>
    <w:rsid w:val="274176DD"/>
    <w:rsid w:val="27421CD9"/>
    <w:rsid w:val="27422847"/>
    <w:rsid w:val="2742617D"/>
    <w:rsid w:val="274301E8"/>
    <w:rsid w:val="27452D6D"/>
    <w:rsid w:val="274837EC"/>
    <w:rsid w:val="274912B9"/>
    <w:rsid w:val="274C7450"/>
    <w:rsid w:val="274E5E58"/>
    <w:rsid w:val="27530B66"/>
    <w:rsid w:val="27554F6C"/>
    <w:rsid w:val="27561C28"/>
    <w:rsid w:val="27563906"/>
    <w:rsid w:val="275A1EEC"/>
    <w:rsid w:val="275C4BED"/>
    <w:rsid w:val="275D3960"/>
    <w:rsid w:val="27617694"/>
    <w:rsid w:val="27637EA1"/>
    <w:rsid w:val="27677991"/>
    <w:rsid w:val="276A1007"/>
    <w:rsid w:val="276A122F"/>
    <w:rsid w:val="276C144B"/>
    <w:rsid w:val="276F4634"/>
    <w:rsid w:val="276F6846"/>
    <w:rsid w:val="27734588"/>
    <w:rsid w:val="27740F46"/>
    <w:rsid w:val="27765E26"/>
    <w:rsid w:val="277A28DC"/>
    <w:rsid w:val="277C2A42"/>
    <w:rsid w:val="277F2F2D"/>
    <w:rsid w:val="27800101"/>
    <w:rsid w:val="27822A1D"/>
    <w:rsid w:val="27822AAA"/>
    <w:rsid w:val="278307A4"/>
    <w:rsid w:val="2784665D"/>
    <w:rsid w:val="27846795"/>
    <w:rsid w:val="278512A4"/>
    <w:rsid w:val="27854130"/>
    <w:rsid w:val="27856069"/>
    <w:rsid w:val="278B2E92"/>
    <w:rsid w:val="278D3841"/>
    <w:rsid w:val="278D4CC6"/>
    <w:rsid w:val="279170EB"/>
    <w:rsid w:val="27923736"/>
    <w:rsid w:val="27934EBB"/>
    <w:rsid w:val="27944906"/>
    <w:rsid w:val="279462AC"/>
    <w:rsid w:val="27955C5C"/>
    <w:rsid w:val="27962024"/>
    <w:rsid w:val="2797115A"/>
    <w:rsid w:val="279969B0"/>
    <w:rsid w:val="279C14FA"/>
    <w:rsid w:val="279D50BB"/>
    <w:rsid w:val="27A06E5A"/>
    <w:rsid w:val="27A110F5"/>
    <w:rsid w:val="27A85BF1"/>
    <w:rsid w:val="27A913C2"/>
    <w:rsid w:val="27A97724"/>
    <w:rsid w:val="27A97FAA"/>
    <w:rsid w:val="27AD635F"/>
    <w:rsid w:val="27AF6D3A"/>
    <w:rsid w:val="27B16E5E"/>
    <w:rsid w:val="27B16FB8"/>
    <w:rsid w:val="27B24A4E"/>
    <w:rsid w:val="27B631D8"/>
    <w:rsid w:val="27B70919"/>
    <w:rsid w:val="27B77B3C"/>
    <w:rsid w:val="27B842BA"/>
    <w:rsid w:val="27BA189D"/>
    <w:rsid w:val="27BF5A1F"/>
    <w:rsid w:val="27C0736D"/>
    <w:rsid w:val="27C40104"/>
    <w:rsid w:val="27C46B92"/>
    <w:rsid w:val="27C61896"/>
    <w:rsid w:val="27C7291F"/>
    <w:rsid w:val="27C72BEB"/>
    <w:rsid w:val="27C9064C"/>
    <w:rsid w:val="27CA298E"/>
    <w:rsid w:val="27CA3C0A"/>
    <w:rsid w:val="27CC0DAB"/>
    <w:rsid w:val="27CC5A46"/>
    <w:rsid w:val="27CD42E9"/>
    <w:rsid w:val="27CE5820"/>
    <w:rsid w:val="27D27BF6"/>
    <w:rsid w:val="27D46819"/>
    <w:rsid w:val="27D72D69"/>
    <w:rsid w:val="27D758AC"/>
    <w:rsid w:val="27D8394B"/>
    <w:rsid w:val="27D868FE"/>
    <w:rsid w:val="27D94A95"/>
    <w:rsid w:val="27DB41EF"/>
    <w:rsid w:val="27DC037F"/>
    <w:rsid w:val="27DC0AE4"/>
    <w:rsid w:val="27DC7499"/>
    <w:rsid w:val="27DF1C1D"/>
    <w:rsid w:val="27DF5779"/>
    <w:rsid w:val="27E13134"/>
    <w:rsid w:val="27E234BC"/>
    <w:rsid w:val="27E569F4"/>
    <w:rsid w:val="27E66976"/>
    <w:rsid w:val="27E70AD2"/>
    <w:rsid w:val="27E75F0C"/>
    <w:rsid w:val="27E84EA0"/>
    <w:rsid w:val="27E97E58"/>
    <w:rsid w:val="27EB03AD"/>
    <w:rsid w:val="27EF069B"/>
    <w:rsid w:val="27EF381C"/>
    <w:rsid w:val="27F571E1"/>
    <w:rsid w:val="27F60D15"/>
    <w:rsid w:val="27F647BB"/>
    <w:rsid w:val="27F65DCE"/>
    <w:rsid w:val="27F702BD"/>
    <w:rsid w:val="27F70C6D"/>
    <w:rsid w:val="27F725A4"/>
    <w:rsid w:val="27F8683B"/>
    <w:rsid w:val="27FC156C"/>
    <w:rsid w:val="27FE2203"/>
    <w:rsid w:val="27FF5E1C"/>
    <w:rsid w:val="28011B94"/>
    <w:rsid w:val="2802526D"/>
    <w:rsid w:val="280276BA"/>
    <w:rsid w:val="280451E0"/>
    <w:rsid w:val="28060AE7"/>
    <w:rsid w:val="28074CD0"/>
    <w:rsid w:val="28077732"/>
    <w:rsid w:val="280953F7"/>
    <w:rsid w:val="280B2A12"/>
    <w:rsid w:val="280C15CB"/>
    <w:rsid w:val="280E28B8"/>
    <w:rsid w:val="281008F3"/>
    <w:rsid w:val="28117B21"/>
    <w:rsid w:val="28117CD7"/>
    <w:rsid w:val="281318C7"/>
    <w:rsid w:val="28136333"/>
    <w:rsid w:val="28136355"/>
    <w:rsid w:val="28136FCA"/>
    <w:rsid w:val="28142622"/>
    <w:rsid w:val="281477E5"/>
    <w:rsid w:val="281573ED"/>
    <w:rsid w:val="28185CCC"/>
    <w:rsid w:val="28186EDD"/>
    <w:rsid w:val="281E2746"/>
    <w:rsid w:val="281E70D9"/>
    <w:rsid w:val="28211C5E"/>
    <w:rsid w:val="282173B7"/>
    <w:rsid w:val="28226D25"/>
    <w:rsid w:val="28231246"/>
    <w:rsid w:val="28237D5C"/>
    <w:rsid w:val="28246CCB"/>
    <w:rsid w:val="282510AF"/>
    <w:rsid w:val="2825746B"/>
    <w:rsid w:val="28261ADE"/>
    <w:rsid w:val="28267748"/>
    <w:rsid w:val="282835C4"/>
    <w:rsid w:val="2828362E"/>
    <w:rsid w:val="282910EA"/>
    <w:rsid w:val="282A1F07"/>
    <w:rsid w:val="282A3F94"/>
    <w:rsid w:val="282A48B7"/>
    <w:rsid w:val="282E6A15"/>
    <w:rsid w:val="282E6D09"/>
    <w:rsid w:val="28321AAF"/>
    <w:rsid w:val="283304C6"/>
    <w:rsid w:val="28341F69"/>
    <w:rsid w:val="28353194"/>
    <w:rsid w:val="28377363"/>
    <w:rsid w:val="283830DC"/>
    <w:rsid w:val="28397580"/>
    <w:rsid w:val="283A09CA"/>
    <w:rsid w:val="283A0B00"/>
    <w:rsid w:val="283F1579"/>
    <w:rsid w:val="283F26BC"/>
    <w:rsid w:val="283F753C"/>
    <w:rsid w:val="28414B67"/>
    <w:rsid w:val="28416802"/>
    <w:rsid w:val="2843184F"/>
    <w:rsid w:val="284657F9"/>
    <w:rsid w:val="2849353B"/>
    <w:rsid w:val="284A28C9"/>
    <w:rsid w:val="284D4606"/>
    <w:rsid w:val="284E65C9"/>
    <w:rsid w:val="28502F16"/>
    <w:rsid w:val="28546167"/>
    <w:rsid w:val="28547626"/>
    <w:rsid w:val="28566942"/>
    <w:rsid w:val="2858390B"/>
    <w:rsid w:val="285939E6"/>
    <w:rsid w:val="28594C54"/>
    <w:rsid w:val="285D5FF9"/>
    <w:rsid w:val="285E192A"/>
    <w:rsid w:val="286454FC"/>
    <w:rsid w:val="286730EE"/>
    <w:rsid w:val="286839C1"/>
    <w:rsid w:val="28685841"/>
    <w:rsid w:val="28690BE6"/>
    <w:rsid w:val="286950AB"/>
    <w:rsid w:val="286E114F"/>
    <w:rsid w:val="286E174C"/>
    <w:rsid w:val="286F7BCF"/>
    <w:rsid w:val="28724840"/>
    <w:rsid w:val="287629C1"/>
    <w:rsid w:val="28771E56"/>
    <w:rsid w:val="28784073"/>
    <w:rsid w:val="287A6469"/>
    <w:rsid w:val="287B7B98"/>
    <w:rsid w:val="287C56BE"/>
    <w:rsid w:val="287D0F6A"/>
    <w:rsid w:val="28827350"/>
    <w:rsid w:val="28852983"/>
    <w:rsid w:val="2886166A"/>
    <w:rsid w:val="28877B07"/>
    <w:rsid w:val="28885E11"/>
    <w:rsid w:val="288C3F59"/>
    <w:rsid w:val="288D1C22"/>
    <w:rsid w:val="288D2D1D"/>
    <w:rsid w:val="2896616C"/>
    <w:rsid w:val="289742A6"/>
    <w:rsid w:val="289C035C"/>
    <w:rsid w:val="289C7B0E"/>
    <w:rsid w:val="289E73E3"/>
    <w:rsid w:val="28A078B9"/>
    <w:rsid w:val="28A40771"/>
    <w:rsid w:val="28AB23FE"/>
    <w:rsid w:val="28AF15F0"/>
    <w:rsid w:val="28B430AA"/>
    <w:rsid w:val="28B52B84"/>
    <w:rsid w:val="28BA1D43"/>
    <w:rsid w:val="28BC1F5F"/>
    <w:rsid w:val="28C0322D"/>
    <w:rsid w:val="28C055AB"/>
    <w:rsid w:val="28C35CCE"/>
    <w:rsid w:val="28C36E49"/>
    <w:rsid w:val="28C52BC1"/>
    <w:rsid w:val="28C54A49"/>
    <w:rsid w:val="28C57065"/>
    <w:rsid w:val="28C71C74"/>
    <w:rsid w:val="28C77ED9"/>
    <w:rsid w:val="28CC3600"/>
    <w:rsid w:val="28CF57EE"/>
    <w:rsid w:val="28D15A0A"/>
    <w:rsid w:val="28D63020"/>
    <w:rsid w:val="28D64DCE"/>
    <w:rsid w:val="28D728F5"/>
    <w:rsid w:val="28D90BBB"/>
    <w:rsid w:val="28DB700E"/>
    <w:rsid w:val="28DD7E7C"/>
    <w:rsid w:val="28E50F74"/>
    <w:rsid w:val="28E619B2"/>
    <w:rsid w:val="28E72B5B"/>
    <w:rsid w:val="28E819D7"/>
    <w:rsid w:val="28EC1CA8"/>
    <w:rsid w:val="28EC5995"/>
    <w:rsid w:val="28ED3EC6"/>
    <w:rsid w:val="28EF0462"/>
    <w:rsid w:val="28F00706"/>
    <w:rsid w:val="28F2659B"/>
    <w:rsid w:val="28F27E24"/>
    <w:rsid w:val="28F33FB6"/>
    <w:rsid w:val="28F90ABD"/>
    <w:rsid w:val="28F93369"/>
    <w:rsid w:val="28FA28AA"/>
    <w:rsid w:val="28FA3D43"/>
    <w:rsid w:val="28FA4ACB"/>
    <w:rsid w:val="28FB03BD"/>
    <w:rsid w:val="28FD19C7"/>
    <w:rsid w:val="28FF1668"/>
    <w:rsid w:val="28FF2559"/>
    <w:rsid w:val="29033E35"/>
    <w:rsid w:val="290577F8"/>
    <w:rsid w:val="2907242C"/>
    <w:rsid w:val="290A0F1C"/>
    <w:rsid w:val="290B259E"/>
    <w:rsid w:val="290C07F0"/>
    <w:rsid w:val="290F2DF1"/>
    <w:rsid w:val="29114FDA"/>
    <w:rsid w:val="29125B79"/>
    <w:rsid w:val="2913057A"/>
    <w:rsid w:val="29133D20"/>
    <w:rsid w:val="291341CB"/>
    <w:rsid w:val="29173BBA"/>
    <w:rsid w:val="291819B2"/>
    <w:rsid w:val="291B4ED7"/>
    <w:rsid w:val="291C47AB"/>
    <w:rsid w:val="291E23BB"/>
    <w:rsid w:val="291F683F"/>
    <w:rsid w:val="29207857"/>
    <w:rsid w:val="292131FD"/>
    <w:rsid w:val="29232042"/>
    <w:rsid w:val="29236F39"/>
    <w:rsid w:val="29272553"/>
    <w:rsid w:val="29283150"/>
    <w:rsid w:val="292875F4"/>
    <w:rsid w:val="292974E4"/>
    <w:rsid w:val="292D0D37"/>
    <w:rsid w:val="292E4C0A"/>
    <w:rsid w:val="29310257"/>
    <w:rsid w:val="293333A5"/>
    <w:rsid w:val="29346369"/>
    <w:rsid w:val="2936586D"/>
    <w:rsid w:val="29396D98"/>
    <w:rsid w:val="293E750C"/>
    <w:rsid w:val="293F0351"/>
    <w:rsid w:val="294039D0"/>
    <w:rsid w:val="29406961"/>
    <w:rsid w:val="29422464"/>
    <w:rsid w:val="29442B98"/>
    <w:rsid w:val="29451F54"/>
    <w:rsid w:val="29471828"/>
    <w:rsid w:val="29483668"/>
    <w:rsid w:val="294847D6"/>
    <w:rsid w:val="294A1318"/>
    <w:rsid w:val="294E705B"/>
    <w:rsid w:val="294F2FF6"/>
    <w:rsid w:val="295108F9"/>
    <w:rsid w:val="29567A3B"/>
    <w:rsid w:val="295A5D35"/>
    <w:rsid w:val="295A7A52"/>
    <w:rsid w:val="295C2AF8"/>
    <w:rsid w:val="295C5B49"/>
    <w:rsid w:val="295D1AE5"/>
    <w:rsid w:val="295D49CD"/>
    <w:rsid w:val="295F5CB6"/>
    <w:rsid w:val="296378D5"/>
    <w:rsid w:val="29680737"/>
    <w:rsid w:val="296A5517"/>
    <w:rsid w:val="296B6D7E"/>
    <w:rsid w:val="296D7F72"/>
    <w:rsid w:val="296E3326"/>
    <w:rsid w:val="296F0D7F"/>
    <w:rsid w:val="297059A6"/>
    <w:rsid w:val="2973086F"/>
    <w:rsid w:val="2973261D"/>
    <w:rsid w:val="297560F5"/>
    <w:rsid w:val="297563DE"/>
    <w:rsid w:val="297654D9"/>
    <w:rsid w:val="29787C34"/>
    <w:rsid w:val="297939AC"/>
    <w:rsid w:val="297B3BC8"/>
    <w:rsid w:val="297C6564"/>
    <w:rsid w:val="297E0FC2"/>
    <w:rsid w:val="297E51A0"/>
    <w:rsid w:val="297F5EFD"/>
    <w:rsid w:val="29820AB2"/>
    <w:rsid w:val="298244EE"/>
    <w:rsid w:val="29862965"/>
    <w:rsid w:val="2987256D"/>
    <w:rsid w:val="29874D52"/>
    <w:rsid w:val="29876B5F"/>
    <w:rsid w:val="298A310F"/>
    <w:rsid w:val="298A4E85"/>
    <w:rsid w:val="298D00B4"/>
    <w:rsid w:val="298E497F"/>
    <w:rsid w:val="298F4EE5"/>
    <w:rsid w:val="298F7715"/>
    <w:rsid w:val="29915195"/>
    <w:rsid w:val="29954C89"/>
    <w:rsid w:val="299627B0"/>
    <w:rsid w:val="29982084"/>
    <w:rsid w:val="299A1E4A"/>
    <w:rsid w:val="299A404E"/>
    <w:rsid w:val="299E1DE1"/>
    <w:rsid w:val="299F78B6"/>
    <w:rsid w:val="29A16581"/>
    <w:rsid w:val="29A2204F"/>
    <w:rsid w:val="29A44ECD"/>
    <w:rsid w:val="29A7676B"/>
    <w:rsid w:val="29AD36AA"/>
    <w:rsid w:val="29B03871"/>
    <w:rsid w:val="29B053EE"/>
    <w:rsid w:val="29B13F60"/>
    <w:rsid w:val="29B64C00"/>
    <w:rsid w:val="29B72B5C"/>
    <w:rsid w:val="29B840F2"/>
    <w:rsid w:val="29BB0DD0"/>
    <w:rsid w:val="29BB3A49"/>
    <w:rsid w:val="29BC0923"/>
    <w:rsid w:val="29C125C6"/>
    <w:rsid w:val="29C2065F"/>
    <w:rsid w:val="29C23CC1"/>
    <w:rsid w:val="29C27101"/>
    <w:rsid w:val="29C94933"/>
    <w:rsid w:val="29CA2459"/>
    <w:rsid w:val="29CA5F95"/>
    <w:rsid w:val="29CA7FEE"/>
    <w:rsid w:val="29CC7747"/>
    <w:rsid w:val="29D07A70"/>
    <w:rsid w:val="29D47E69"/>
    <w:rsid w:val="29D530A8"/>
    <w:rsid w:val="29D8316A"/>
    <w:rsid w:val="29D95868"/>
    <w:rsid w:val="29DF0EE7"/>
    <w:rsid w:val="29DF65F4"/>
    <w:rsid w:val="29E26E3A"/>
    <w:rsid w:val="29E300F8"/>
    <w:rsid w:val="29E51041"/>
    <w:rsid w:val="29E746B5"/>
    <w:rsid w:val="29E928DF"/>
    <w:rsid w:val="29E940EF"/>
    <w:rsid w:val="29EA0CB9"/>
    <w:rsid w:val="29EE42BE"/>
    <w:rsid w:val="29F01EC0"/>
    <w:rsid w:val="29F14408"/>
    <w:rsid w:val="29F32108"/>
    <w:rsid w:val="29F702A5"/>
    <w:rsid w:val="29F77B83"/>
    <w:rsid w:val="29F86FC6"/>
    <w:rsid w:val="29F95C3F"/>
    <w:rsid w:val="29FC6AB7"/>
    <w:rsid w:val="29FD0DE7"/>
    <w:rsid w:val="29FD282F"/>
    <w:rsid w:val="29FD45DD"/>
    <w:rsid w:val="29FF77DC"/>
    <w:rsid w:val="2A005ACD"/>
    <w:rsid w:val="2A0074CB"/>
    <w:rsid w:val="2A021070"/>
    <w:rsid w:val="2A054317"/>
    <w:rsid w:val="2A08240C"/>
    <w:rsid w:val="2A0A5759"/>
    <w:rsid w:val="2A0D1DA9"/>
    <w:rsid w:val="2A102562"/>
    <w:rsid w:val="2A104310"/>
    <w:rsid w:val="2A117A16"/>
    <w:rsid w:val="2A1906D1"/>
    <w:rsid w:val="2A1A2F1D"/>
    <w:rsid w:val="2A1C4A45"/>
    <w:rsid w:val="2A1D07DB"/>
    <w:rsid w:val="2A1D6A2D"/>
    <w:rsid w:val="2A21524A"/>
    <w:rsid w:val="2A2234FF"/>
    <w:rsid w:val="2A24593D"/>
    <w:rsid w:val="2A2735EF"/>
    <w:rsid w:val="2A29112A"/>
    <w:rsid w:val="2A2D4EC2"/>
    <w:rsid w:val="2A3177D9"/>
    <w:rsid w:val="2A320FCE"/>
    <w:rsid w:val="2A331152"/>
    <w:rsid w:val="2A353D77"/>
    <w:rsid w:val="2A391AB9"/>
    <w:rsid w:val="2A392506"/>
    <w:rsid w:val="2A3A04B3"/>
    <w:rsid w:val="2A3B0766"/>
    <w:rsid w:val="2A3C3357"/>
    <w:rsid w:val="2A3D1CDF"/>
    <w:rsid w:val="2A3F4557"/>
    <w:rsid w:val="2A3F67DE"/>
    <w:rsid w:val="2A404C37"/>
    <w:rsid w:val="2A40723A"/>
    <w:rsid w:val="2A411374"/>
    <w:rsid w:val="2A413371"/>
    <w:rsid w:val="2A4346E5"/>
    <w:rsid w:val="2A44045E"/>
    <w:rsid w:val="2A4508C5"/>
    <w:rsid w:val="2A473AAA"/>
    <w:rsid w:val="2A4B1F10"/>
    <w:rsid w:val="2A4C68E4"/>
    <w:rsid w:val="2A505BBC"/>
    <w:rsid w:val="2A506E02"/>
    <w:rsid w:val="2A55059E"/>
    <w:rsid w:val="2A571F3F"/>
    <w:rsid w:val="2A582EA2"/>
    <w:rsid w:val="2A5F40BB"/>
    <w:rsid w:val="2A614B6C"/>
    <w:rsid w:val="2A663F30"/>
    <w:rsid w:val="2A664AFF"/>
    <w:rsid w:val="2A691C72"/>
    <w:rsid w:val="2A696EB1"/>
    <w:rsid w:val="2A6A2CDE"/>
    <w:rsid w:val="2A6D1762"/>
    <w:rsid w:val="2A6D4BE6"/>
    <w:rsid w:val="2A6E57F5"/>
    <w:rsid w:val="2A6E7289"/>
    <w:rsid w:val="2A702F2C"/>
    <w:rsid w:val="2A740F74"/>
    <w:rsid w:val="2A7523C5"/>
    <w:rsid w:val="2A757469"/>
    <w:rsid w:val="2A790107"/>
    <w:rsid w:val="2A7D74CC"/>
    <w:rsid w:val="2A7E6D29"/>
    <w:rsid w:val="2A7F1496"/>
    <w:rsid w:val="2A7F3244"/>
    <w:rsid w:val="2A80338B"/>
    <w:rsid w:val="2A80749C"/>
    <w:rsid w:val="2A810D6A"/>
    <w:rsid w:val="2A83359C"/>
    <w:rsid w:val="2A856A1C"/>
    <w:rsid w:val="2A88034A"/>
    <w:rsid w:val="2A8904FD"/>
    <w:rsid w:val="2A8940C2"/>
    <w:rsid w:val="2A8A20AC"/>
    <w:rsid w:val="2A8A2314"/>
    <w:rsid w:val="2A8A5AF9"/>
    <w:rsid w:val="2A8C0BEE"/>
    <w:rsid w:val="2A8F468B"/>
    <w:rsid w:val="2A8F792B"/>
    <w:rsid w:val="2A90220D"/>
    <w:rsid w:val="2A9036E6"/>
    <w:rsid w:val="2A9134EC"/>
    <w:rsid w:val="2A94774E"/>
    <w:rsid w:val="2A9E7B6E"/>
    <w:rsid w:val="2A9F0D82"/>
    <w:rsid w:val="2AA1282F"/>
    <w:rsid w:val="2AA368F4"/>
    <w:rsid w:val="2AA414C5"/>
    <w:rsid w:val="2AA84549"/>
    <w:rsid w:val="2AAB29A7"/>
    <w:rsid w:val="2AAD76D5"/>
    <w:rsid w:val="2AAF3B29"/>
    <w:rsid w:val="2AB06457"/>
    <w:rsid w:val="2AB14DFE"/>
    <w:rsid w:val="2AB4113F"/>
    <w:rsid w:val="2AB91683"/>
    <w:rsid w:val="2ABA54D3"/>
    <w:rsid w:val="2ABC6246"/>
    <w:rsid w:val="2ABC728F"/>
    <w:rsid w:val="2ABD4084"/>
    <w:rsid w:val="2ABD6FE5"/>
    <w:rsid w:val="2ABE3B6C"/>
    <w:rsid w:val="2AC05FDB"/>
    <w:rsid w:val="2AC12111"/>
    <w:rsid w:val="2AC33130"/>
    <w:rsid w:val="2AC450FA"/>
    <w:rsid w:val="2AC51F3F"/>
    <w:rsid w:val="2AC670C5"/>
    <w:rsid w:val="2AC85EFF"/>
    <w:rsid w:val="2AC86999"/>
    <w:rsid w:val="2AC91672"/>
    <w:rsid w:val="2AC939FA"/>
    <w:rsid w:val="2ACA1EA3"/>
    <w:rsid w:val="2ACB0F4E"/>
    <w:rsid w:val="2ACD2201"/>
    <w:rsid w:val="2ACF5BC2"/>
    <w:rsid w:val="2ACF7D27"/>
    <w:rsid w:val="2AD36C9B"/>
    <w:rsid w:val="2AD37AF9"/>
    <w:rsid w:val="2AD840A3"/>
    <w:rsid w:val="2AD94591"/>
    <w:rsid w:val="2ADC0696"/>
    <w:rsid w:val="2ADC6D2B"/>
    <w:rsid w:val="2ADF3AD5"/>
    <w:rsid w:val="2AE74CA7"/>
    <w:rsid w:val="2AEB77AD"/>
    <w:rsid w:val="2AEC2197"/>
    <w:rsid w:val="2AEC50EA"/>
    <w:rsid w:val="2AEE06B1"/>
    <w:rsid w:val="2AEF03C9"/>
    <w:rsid w:val="2AF12D17"/>
    <w:rsid w:val="2AF27EBA"/>
    <w:rsid w:val="2AF505FC"/>
    <w:rsid w:val="2AF50EB8"/>
    <w:rsid w:val="2AF6762C"/>
    <w:rsid w:val="2AF71C48"/>
    <w:rsid w:val="2AF93233"/>
    <w:rsid w:val="2AF93B6E"/>
    <w:rsid w:val="2AFA2584"/>
    <w:rsid w:val="2AFB5879"/>
    <w:rsid w:val="2AFB5C85"/>
    <w:rsid w:val="2AFB6D6E"/>
    <w:rsid w:val="2AFC2AE6"/>
    <w:rsid w:val="2AFC349E"/>
    <w:rsid w:val="2AFD2B37"/>
    <w:rsid w:val="2AFD71FE"/>
    <w:rsid w:val="2B00686E"/>
    <w:rsid w:val="2B025609"/>
    <w:rsid w:val="2B054B6B"/>
    <w:rsid w:val="2B065545"/>
    <w:rsid w:val="2B097498"/>
    <w:rsid w:val="2B0A5203"/>
    <w:rsid w:val="2B0E292E"/>
    <w:rsid w:val="2B1442F6"/>
    <w:rsid w:val="2B1575E3"/>
    <w:rsid w:val="2B177920"/>
    <w:rsid w:val="2B183C6F"/>
    <w:rsid w:val="2B195597"/>
    <w:rsid w:val="2B1A6A27"/>
    <w:rsid w:val="2B1B20A5"/>
    <w:rsid w:val="2B1B3241"/>
    <w:rsid w:val="2B211B25"/>
    <w:rsid w:val="2B2250C2"/>
    <w:rsid w:val="2B234D22"/>
    <w:rsid w:val="2B254913"/>
    <w:rsid w:val="2B262712"/>
    <w:rsid w:val="2B266949"/>
    <w:rsid w:val="2B286C3A"/>
    <w:rsid w:val="2B2A2749"/>
    <w:rsid w:val="2B2B3A5C"/>
    <w:rsid w:val="2B2B6F28"/>
    <w:rsid w:val="2B2D4A4E"/>
    <w:rsid w:val="2B2E2B84"/>
    <w:rsid w:val="2B2F6926"/>
    <w:rsid w:val="2B3062F1"/>
    <w:rsid w:val="2B3328C2"/>
    <w:rsid w:val="2B361B54"/>
    <w:rsid w:val="2B396801"/>
    <w:rsid w:val="2B3C601B"/>
    <w:rsid w:val="2B3F2B94"/>
    <w:rsid w:val="2B406E77"/>
    <w:rsid w:val="2B420611"/>
    <w:rsid w:val="2B42137F"/>
    <w:rsid w:val="2B460090"/>
    <w:rsid w:val="2B47078E"/>
    <w:rsid w:val="2B4938E9"/>
    <w:rsid w:val="2B4B5034"/>
    <w:rsid w:val="2B4C1378"/>
    <w:rsid w:val="2B4D3342"/>
    <w:rsid w:val="2B4D6E9E"/>
    <w:rsid w:val="2B4F6F07"/>
    <w:rsid w:val="2B501D74"/>
    <w:rsid w:val="2B520958"/>
    <w:rsid w:val="2B546E8B"/>
    <w:rsid w:val="2B550C2B"/>
    <w:rsid w:val="2B5559AB"/>
    <w:rsid w:val="2B563DEE"/>
    <w:rsid w:val="2B567F03"/>
    <w:rsid w:val="2B57190D"/>
    <w:rsid w:val="2B581127"/>
    <w:rsid w:val="2B590518"/>
    <w:rsid w:val="2B5979F1"/>
    <w:rsid w:val="2B5A30BA"/>
    <w:rsid w:val="2B5B7F5A"/>
    <w:rsid w:val="2B5C7036"/>
    <w:rsid w:val="2B5D5D69"/>
    <w:rsid w:val="2B5E5728"/>
    <w:rsid w:val="2B5E6D9F"/>
    <w:rsid w:val="2B6128FD"/>
    <w:rsid w:val="2B6346D1"/>
    <w:rsid w:val="2B65243A"/>
    <w:rsid w:val="2B6568DD"/>
    <w:rsid w:val="2B66245D"/>
    <w:rsid w:val="2B6732DC"/>
    <w:rsid w:val="2B6969E4"/>
    <w:rsid w:val="2B6B4BC6"/>
    <w:rsid w:val="2B6D185F"/>
    <w:rsid w:val="2B6F2DD8"/>
    <w:rsid w:val="2B715282"/>
    <w:rsid w:val="2B71730A"/>
    <w:rsid w:val="2B724EEF"/>
    <w:rsid w:val="2B74267D"/>
    <w:rsid w:val="2B7608DD"/>
    <w:rsid w:val="2B776CAC"/>
    <w:rsid w:val="2B785FB3"/>
    <w:rsid w:val="2B7871E6"/>
    <w:rsid w:val="2B787FC9"/>
    <w:rsid w:val="2B797C93"/>
    <w:rsid w:val="2B7B509D"/>
    <w:rsid w:val="2B7E68AD"/>
    <w:rsid w:val="2B807316"/>
    <w:rsid w:val="2B8169CF"/>
    <w:rsid w:val="2B836D64"/>
    <w:rsid w:val="2B845E1E"/>
    <w:rsid w:val="2B874C0D"/>
    <w:rsid w:val="2B877DF1"/>
    <w:rsid w:val="2B881EE0"/>
    <w:rsid w:val="2B8B3979"/>
    <w:rsid w:val="2B8C18B2"/>
    <w:rsid w:val="2B8C3E6A"/>
    <w:rsid w:val="2B8C6026"/>
    <w:rsid w:val="2B91029B"/>
    <w:rsid w:val="2B944ACD"/>
    <w:rsid w:val="2B9643D1"/>
    <w:rsid w:val="2B9B40AD"/>
    <w:rsid w:val="2B9B4B36"/>
    <w:rsid w:val="2B9D3CEF"/>
    <w:rsid w:val="2BA15E1D"/>
    <w:rsid w:val="2BA2368E"/>
    <w:rsid w:val="2BA41FC6"/>
    <w:rsid w:val="2BA50A88"/>
    <w:rsid w:val="2BA529DB"/>
    <w:rsid w:val="2BA70440"/>
    <w:rsid w:val="2BA73E61"/>
    <w:rsid w:val="2BA75794"/>
    <w:rsid w:val="2BA94DB0"/>
    <w:rsid w:val="2BAA42F0"/>
    <w:rsid w:val="2BAA609E"/>
    <w:rsid w:val="2BAD5119"/>
    <w:rsid w:val="2BAE1FD0"/>
    <w:rsid w:val="2BAE4744"/>
    <w:rsid w:val="2BAF13B9"/>
    <w:rsid w:val="2BAF1907"/>
    <w:rsid w:val="2BB1567F"/>
    <w:rsid w:val="2BB37649"/>
    <w:rsid w:val="2BB57BB7"/>
    <w:rsid w:val="2BB62414"/>
    <w:rsid w:val="2BB774C0"/>
    <w:rsid w:val="2BB86B0B"/>
    <w:rsid w:val="2BBD04C8"/>
    <w:rsid w:val="2BC3007D"/>
    <w:rsid w:val="2BC32DAF"/>
    <w:rsid w:val="2BC43604"/>
    <w:rsid w:val="2BC5112A"/>
    <w:rsid w:val="2BC562B6"/>
    <w:rsid w:val="2BC5709C"/>
    <w:rsid w:val="2BC74EA2"/>
    <w:rsid w:val="2BCC4267"/>
    <w:rsid w:val="2BD10C18"/>
    <w:rsid w:val="2BD15D21"/>
    <w:rsid w:val="2BD31A99"/>
    <w:rsid w:val="2BD47945"/>
    <w:rsid w:val="2BD62C82"/>
    <w:rsid w:val="2BD6638E"/>
    <w:rsid w:val="2BD76078"/>
    <w:rsid w:val="2BD77E5E"/>
    <w:rsid w:val="2BD81B2B"/>
    <w:rsid w:val="2BD96984"/>
    <w:rsid w:val="2BDD6474"/>
    <w:rsid w:val="2BDE7BDD"/>
    <w:rsid w:val="2BDE7D31"/>
    <w:rsid w:val="2BE21CDC"/>
    <w:rsid w:val="2BE22EE5"/>
    <w:rsid w:val="2BE23A8A"/>
    <w:rsid w:val="2BE27F2E"/>
    <w:rsid w:val="2BE42462"/>
    <w:rsid w:val="2BE617CC"/>
    <w:rsid w:val="2BE64D82"/>
    <w:rsid w:val="2BE87FF9"/>
    <w:rsid w:val="2BE912BD"/>
    <w:rsid w:val="2BEA5C00"/>
    <w:rsid w:val="2BEB4B93"/>
    <w:rsid w:val="2BEC2B5B"/>
    <w:rsid w:val="2BEC46AF"/>
    <w:rsid w:val="2BEE480D"/>
    <w:rsid w:val="2BEE4C55"/>
    <w:rsid w:val="2BF256C4"/>
    <w:rsid w:val="2BF36CDD"/>
    <w:rsid w:val="2BF533E7"/>
    <w:rsid w:val="2BF62D20"/>
    <w:rsid w:val="2BF76EE4"/>
    <w:rsid w:val="2BF77324"/>
    <w:rsid w:val="2C032E8B"/>
    <w:rsid w:val="2C035304"/>
    <w:rsid w:val="2C0609C8"/>
    <w:rsid w:val="2C082F6E"/>
    <w:rsid w:val="2C097269"/>
    <w:rsid w:val="2C0C60AC"/>
    <w:rsid w:val="2C112329"/>
    <w:rsid w:val="2C133908"/>
    <w:rsid w:val="2C1416F6"/>
    <w:rsid w:val="2C160293"/>
    <w:rsid w:val="2C161986"/>
    <w:rsid w:val="2C197A3A"/>
    <w:rsid w:val="2C1A1178"/>
    <w:rsid w:val="2C1A2261"/>
    <w:rsid w:val="2C2570E3"/>
    <w:rsid w:val="2C2812AD"/>
    <w:rsid w:val="2C28591A"/>
    <w:rsid w:val="2C2936AC"/>
    <w:rsid w:val="2C2A71DF"/>
    <w:rsid w:val="2C2D606D"/>
    <w:rsid w:val="2C3171A3"/>
    <w:rsid w:val="2C343242"/>
    <w:rsid w:val="2C380015"/>
    <w:rsid w:val="2C380E88"/>
    <w:rsid w:val="2C385DA0"/>
    <w:rsid w:val="2C3952BB"/>
    <w:rsid w:val="2C410AD4"/>
    <w:rsid w:val="2C421FF7"/>
    <w:rsid w:val="2C441266"/>
    <w:rsid w:val="2C444745"/>
    <w:rsid w:val="2C462D13"/>
    <w:rsid w:val="2C493B09"/>
    <w:rsid w:val="2C4B2AB1"/>
    <w:rsid w:val="2C4D2151"/>
    <w:rsid w:val="2C4E4421"/>
    <w:rsid w:val="2C522201"/>
    <w:rsid w:val="2C5243EF"/>
    <w:rsid w:val="2C5308A5"/>
    <w:rsid w:val="2C541A6F"/>
    <w:rsid w:val="2C553BE7"/>
    <w:rsid w:val="2C567289"/>
    <w:rsid w:val="2C576031"/>
    <w:rsid w:val="2C577F77"/>
    <w:rsid w:val="2C5865F5"/>
    <w:rsid w:val="2C593A8E"/>
    <w:rsid w:val="2C597C75"/>
    <w:rsid w:val="2C5A1872"/>
    <w:rsid w:val="2C5A3F68"/>
    <w:rsid w:val="2C5B2595"/>
    <w:rsid w:val="2C5D65F6"/>
    <w:rsid w:val="2C602C01"/>
    <w:rsid w:val="2C603BD8"/>
    <w:rsid w:val="2C622E1D"/>
    <w:rsid w:val="2C6556A5"/>
    <w:rsid w:val="2C66290D"/>
    <w:rsid w:val="2C666469"/>
    <w:rsid w:val="2C6C5774"/>
    <w:rsid w:val="2C6D60EB"/>
    <w:rsid w:val="2C6E32EB"/>
    <w:rsid w:val="2C6E7E5D"/>
    <w:rsid w:val="2C7072E8"/>
    <w:rsid w:val="2C71213F"/>
    <w:rsid w:val="2C7212B2"/>
    <w:rsid w:val="2C72738C"/>
    <w:rsid w:val="2C743E4F"/>
    <w:rsid w:val="2C75082E"/>
    <w:rsid w:val="2C76380F"/>
    <w:rsid w:val="2C7E0BEC"/>
    <w:rsid w:val="2C7E27DB"/>
    <w:rsid w:val="2C82701B"/>
    <w:rsid w:val="2C8A6AA3"/>
    <w:rsid w:val="2C8B2374"/>
    <w:rsid w:val="2C8B5ED0"/>
    <w:rsid w:val="2C8D1BD4"/>
    <w:rsid w:val="2C8D6288"/>
    <w:rsid w:val="2C8E029E"/>
    <w:rsid w:val="2C8E1464"/>
    <w:rsid w:val="2C931228"/>
    <w:rsid w:val="2C983154"/>
    <w:rsid w:val="2C98683F"/>
    <w:rsid w:val="2C9A25B7"/>
    <w:rsid w:val="2C9A3593"/>
    <w:rsid w:val="2C9A6D02"/>
    <w:rsid w:val="2C9B3940"/>
    <w:rsid w:val="2C9C1C42"/>
    <w:rsid w:val="2C9E3305"/>
    <w:rsid w:val="2CA07E85"/>
    <w:rsid w:val="2CA15416"/>
    <w:rsid w:val="2CA50CFB"/>
    <w:rsid w:val="2CA5739C"/>
    <w:rsid w:val="2CA611AE"/>
    <w:rsid w:val="2CA62D0A"/>
    <w:rsid w:val="2CA77B9B"/>
    <w:rsid w:val="2CA81728"/>
    <w:rsid w:val="2CA84F33"/>
    <w:rsid w:val="2CAE1DFF"/>
    <w:rsid w:val="2CAE32CD"/>
    <w:rsid w:val="2CB17563"/>
    <w:rsid w:val="2CB177FA"/>
    <w:rsid w:val="2CB52F4D"/>
    <w:rsid w:val="2CB847EB"/>
    <w:rsid w:val="2CB90C8F"/>
    <w:rsid w:val="2CBA55C3"/>
    <w:rsid w:val="2CBB79FD"/>
    <w:rsid w:val="2CBD3C8F"/>
    <w:rsid w:val="2CBE1B6A"/>
    <w:rsid w:val="2CBE71D8"/>
    <w:rsid w:val="2CBF4252"/>
    <w:rsid w:val="2CC047FA"/>
    <w:rsid w:val="2CC056E2"/>
    <w:rsid w:val="2CC318CE"/>
    <w:rsid w:val="2CC37ECB"/>
    <w:rsid w:val="2CC43190"/>
    <w:rsid w:val="2CC4587F"/>
    <w:rsid w:val="2CC47634"/>
    <w:rsid w:val="2CC77EF2"/>
    <w:rsid w:val="2CCE4B2D"/>
    <w:rsid w:val="2CD226C8"/>
    <w:rsid w:val="2CD24B05"/>
    <w:rsid w:val="2CD258AD"/>
    <w:rsid w:val="2CD271D2"/>
    <w:rsid w:val="2CD535EF"/>
    <w:rsid w:val="2CD63D6C"/>
    <w:rsid w:val="2CD77367"/>
    <w:rsid w:val="2CD94F5A"/>
    <w:rsid w:val="2CDA60A0"/>
    <w:rsid w:val="2CDC413C"/>
    <w:rsid w:val="2CDD4252"/>
    <w:rsid w:val="2CDE6947"/>
    <w:rsid w:val="2CDF1746"/>
    <w:rsid w:val="2CDF7FCA"/>
    <w:rsid w:val="2CE0690B"/>
    <w:rsid w:val="2CE455E0"/>
    <w:rsid w:val="2CE633A8"/>
    <w:rsid w:val="2CE66931"/>
    <w:rsid w:val="2CE74B9F"/>
    <w:rsid w:val="2CEA0994"/>
    <w:rsid w:val="2CEA709A"/>
    <w:rsid w:val="2CEB5AA8"/>
    <w:rsid w:val="2CEB686A"/>
    <w:rsid w:val="2CEC3168"/>
    <w:rsid w:val="2CEE4C77"/>
    <w:rsid w:val="2CF20AC9"/>
    <w:rsid w:val="2CF32058"/>
    <w:rsid w:val="2CF36F49"/>
    <w:rsid w:val="2CF41CC7"/>
    <w:rsid w:val="2CF52616"/>
    <w:rsid w:val="2CF577ED"/>
    <w:rsid w:val="2CF73998"/>
    <w:rsid w:val="2CF75FA9"/>
    <w:rsid w:val="2CFB12A7"/>
    <w:rsid w:val="2CFC4A9F"/>
    <w:rsid w:val="2D003D0C"/>
    <w:rsid w:val="2D006AE6"/>
    <w:rsid w:val="2D057E10"/>
    <w:rsid w:val="2D0621F1"/>
    <w:rsid w:val="2D0A14EA"/>
    <w:rsid w:val="2D0A7F39"/>
    <w:rsid w:val="2D0B05C5"/>
    <w:rsid w:val="2D0F08AF"/>
    <w:rsid w:val="2D10479D"/>
    <w:rsid w:val="2D1063D5"/>
    <w:rsid w:val="2D1265F1"/>
    <w:rsid w:val="2D1418B0"/>
    <w:rsid w:val="2D1A5B7A"/>
    <w:rsid w:val="2D210E48"/>
    <w:rsid w:val="2D230ADF"/>
    <w:rsid w:val="2D236108"/>
    <w:rsid w:val="2D265957"/>
    <w:rsid w:val="2D2D14BE"/>
    <w:rsid w:val="2D2D342B"/>
    <w:rsid w:val="2D2F0F51"/>
    <w:rsid w:val="2D3070C6"/>
    <w:rsid w:val="2D32357A"/>
    <w:rsid w:val="2D3346F3"/>
    <w:rsid w:val="2D34475F"/>
    <w:rsid w:val="2D346567"/>
    <w:rsid w:val="2D3544F7"/>
    <w:rsid w:val="2D364384"/>
    <w:rsid w:val="2D376532"/>
    <w:rsid w:val="2D377FD9"/>
    <w:rsid w:val="2D3B44FE"/>
    <w:rsid w:val="2D3B5DAA"/>
    <w:rsid w:val="2D3B78F6"/>
    <w:rsid w:val="2D3E56E7"/>
    <w:rsid w:val="2D3E73E6"/>
    <w:rsid w:val="2D40315E"/>
    <w:rsid w:val="2D406B70"/>
    <w:rsid w:val="2D421F02"/>
    <w:rsid w:val="2D4253C2"/>
    <w:rsid w:val="2D444BF9"/>
    <w:rsid w:val="2D4C0B51"/>
    <w:rsid w:val="2D4C45A1"/>
    <w:rsid w:val="2D4E17CA"/>
    <w:rsid w:val="2D502C75"/>
    <w:rsid w:val="2D517119"/>
    <w:rsid w:val="2D5269EE"/>
    <w:rsid w:val="2D5452FE"/>
    <w:rsid w:val="2D546112"/>
    <w:rsid w:val="2D573875"/>
    <w:rsid w:val="2D5A5A08"/>
    <w:rsid w:val="2D5B1E69"/>
    <w:rsid w:val="2D5B6892"/>
    <w:rsid w:val="2D5C609F"/>
    <w:rsid w:val="2D5D2A14"/>
    <w:rsid w:val="2D5F4CBB"/>
    <w:rsid w:val="2D6075F1"/>
    <w:rsid w:val="2D636E4D"/>
    <w:rsid w:val="2D643342"/>
    <w:rsid w:val="2D652D46"/>
    <w:rsid w:val="2D66755D"/>
    <w:rsid w:val="2D6A0964"/>
    <w:rsid w:val="2D6D16A5"/>
    <w:rsid w:val="2D70078C"/>
    <w:rsid w:val="2D711449"/>
    <w:rsid w:val="2D7643E8"/>
    <w:rsid w:val="2D7746A6"/>
    <w:rsid w:val="2D7A7918"/>
    <w:rsid w:val="2D7C4FB3"/>
    <w:rsid w:val="2D7D3301"/>
    <w:rsid w:val="2D825575"/>
    <w:rsid w:val="2D832FCF"/>
    <w:rsid w:val="2D833E1B"/>
    <w:rsid w:val="2D8748E9"/>
    <w:rsid w:val="2D8A3C60"/>
    <w:rsid w:val="2D8C4390"/>
    <w:rsid w:val="2D8D306A"/>
    <w:rsid w:val="2D9139BA"/>
    <w:rsid w:val="2D915768"/>
    <w:rsid w:val="2D922480"/>
    <w:rsid w:val="2D9278AF"/>
    <w:rsid w:val="2D9373D2"/>
    <w:rsid w:val="2D937732"/>
    <w:rsid w:val="2D956230"/>
    <w:rsid w:val="2D990AC0"/>
    <w:rsid w:val="2D997782"/>
    <w:rsid w:val="2D9A1DAD"/>
    <w:rsid w:val="2D9A5C0B"/>
    <w:rsid w:val="2D9B2143"/>
    <w:rsid w:val="2D9E64E4"/>
    <w:rsid w:val="2DA107C0"/>
    <w:rsid w:val="2DA30EA2"/>
    <w:rsid w:val="2DA3549B"/>
    <w:rsid w:val="2DA84CAA"/>
    <w:rsid w:val="2DB057BD"/>
    <w:rsid w:val="2DB155D6"/>
    <w:rsid w:val="2DB30329"/>
    <w:rsid w:val="2DB31B82"/>
    <w:rsid w:val="2DB7616C"/>
    <w:rsid w:val="2DB87198"/>
    <w:rsid w:val="2DB92FF8"/>
    <w:rsid w:val="2DBB4D01"/>
    <w:rsid w:val="2DBD030B"/>
    <w:rsid w:val="2DBD3FAC"/>
    <w:rsid w:val="2DBF665F"/>
    <w:rsid w:val="2DC31699"/>
    <w:rsid w:val="2DC35C45"/>
    <w:rsid w:val="2DC53663"/>
    <w:rsid w:val="2DC723A4"/>
    <w:rsid w:val="2DC856AB"/>
    <w:rsid w:val="2DC930E8"/>
    <w:rsid w:val="2DCA68F9"/>
    <w:rsid w:val="2DCB765C"/>
    <w:rsid w:val="2DCC67A0"/>
    <w:rsid w:val="2DCE2518"/>
    <w:rsid w:val="2DCF1999"/>
    <w:rsid w:val="2DCF1C81"/>
    <w:rsid w:val="2DD136C7"/>
    <w:rsid w:val="2DD15E94"/>
    <w:rsid w:val="2DD21C38"/>
    <w:rsid w:val="2DD37B2E"/>
    <w:rsid w:val="2DD45655"/>
    <w:rsid w:val="2DDB25FC"/>
    <w:rsid w:val="2DDB4C35"/>
    <w:rsid w:val="2DDB69E3"/>
    <w:rsid w:val="2DDD7FB8"/>
    <w:rsid w:val="2DDF5C3D"/>
    <w:rsid w:val="2DE0224B"/>
    <w:rsid w:val="2DE16D9D"/>
    <w:rsid w:val="2DE25FC3"/>
    <w:rsid w:val="2DE33AEA"/>
    <w:rsid w:val="2DE5153C"/>
    <w:rsid w:val="2DE62DBB"/>
    <w:rsid w:val="2DE7182C"/>
    <w:rsid w:val="2DE72646"/>
    <w:rsid w:val="2DE81100"/>
    <w:rsid w:val="2DEA131C"/>
    <w:rsid w:val="2DEA4459"/>
    <w:rsid w:val="2DEB754B"/>
    <w:rsid w:val="2DF47AA5"/>
    <w:rsid w:val="2DF67E19"/>
    <w:rsid w:val="2DF80288"/>
    <w:rsid w:val="2DF8162E"/>
    <w:rsid w:val="2DF84C1D"/>
    <w:rsid w:val="2DFA155F"/>
    <w:rsid w:val="2DFB52D7"/>
    <w:rsid w:val="2DFC1F88"/>
    <w:rsid w:val="2DFE0923"/>
    <w:rsid w:val="2E023E21"/>
    <w:rsid w:val="2E047960"/>
    <w:rsid w:val="2E057F04"/>
    <w:rsid w:val="2E061FD3"/>
    <w:rsid w:val="2E0777D8"/>
    <w:rsid w:val="2E081123"/>
    <w:rsid w:val="2E083E2E"/>
    <w:rsid w:val="2E096859"/>
    <w:rsid w:val="2E0979F4"/>
    <w:rsid w:val="2E0D26D0"/>
    <w:rsid w:val="2E0E6DB8"/>
    <w:rsid w:val="2E11706F"/>
    <w:rsid w:val="2E1343CF"/>
    <w:rsid w:val="2E150147"/>
    <w:rsid w:val="2E17190F"/>
    <w:rsid w:val="2E1C7579"/>
    <w:rsid w:val="2E1D72E8"/>
    <w:rsid w:val="2E1E4B22"/>
    <w:rsid w:val="2E2006AB"/>
    <w:rsid w:val="2E204D3E"/>
    <w:rsid w:val="2E21674A"/>
    <w:rsid w:val="2E222864"/>
    <w:rsid w:val="2E262354"/>
    <w:rsid w:val="2E262979"/>
    <w:rsid w:val="2E284BAF"/>
    <w:rsid w:val="2E2C36E3"/>
    <w:rsid w:val="2E2C723F"/>
    <w:rsid w:val="2E2E2FB7"/>
    <w:rsid w:val="2E2E663C"/>
    <w:rsid w:val="2E2E771A"/>
    <w:rsid w:val="2E2F191C"/>
    <w:rsid w:val="2E2F42CE"/>
    <w:rsid w:val="2E3002C2"/>
    <w:rsid w:val="2E334534"/>
    <w:rsid w:val="2E366F45"/>
    <w:rsid w:val="2E3A195C"/>
    <w:rsid w:val="2E3C1B78"/>
    <w:rsid w:val="2E400F3C"/>
    <w:rsid w:val="2E402CEA"/>
    <w:rsid w:val="2E46759E"/>
    <w:rsid w:val="2E496BD0"/>
    <w:rsid w:val="2E4A068F"/>
    <w:rsid w:val="2E4A5917"/>
    <w:rsid w:val="2E4A629F"/>
    <w:rsid w:val="2E4B5422"/>
    <w:rsid w:val="2E4C5FC1"/>
    <w:rsid w:val="2E4C739F"/>
    <w:rsid w:val="2E4F055C"/>
    <w:rsid w:val="2E503607"/>
    <w:rsid w:val="2E514CFC"/>
    <w:rsid w:val="2E514EF7"/>
    <w:rsid w:val="2E525AC4"/>
    <w:rsid w:val="2E530AF8"/>
    <w:rsid w:val="2E536EC1"/>
    <w:rsid w:val="2E5642BC"/>
    <w:rsid w:val="2E580034"/>
    <w:rsid w:val="2E5977D4"/>
    <w:rsid w:val="2E5A09CB"/>
    <w:rsid w:val="2E5A4452"/>
    <w:rsid w:val="2E5B4D1F"/>
    <w:rsid w:val="2E5B5AA6"/>
    <w:rsid w:val="2E5D1786"/>
    <w:rsid w:val="2E5E2687"/>
    <w:rsid w:val="2E5F18DA"/>
    <w:rsid w:val="2E6115DE"/>
    <w:rsid w:val="2E613A63"/>
    <w:rsid w:val="2E644C2A"/>
    <w:rsid w:val="2E6611AB"/>
    <w:rsid w:val="2E690493"/>
    <w:rsid w:val="2E692241"/>
    <w:rsid w:val="2E6B420B"/>
    <w:rsid w:val="2E6C1D31"/>
    <w:rsid w:val="2E6D0391"/>
    <w:rsid w:val="2E6D4943"/>
    <w:rsid w:val="2E6D6953"/>
    <w:rsid w:val="2E6F1BC9"/>
    <w:rsid w:val="2E7671A6"/>
    <w:rsid w:val="2E7A4998"/>
    <w:rsid w:val="2E7A61FC"/>
    <w:rsid w:val="2E7C2DE0"/>
    <w:rsid w:val="2E7D7A9A"/>
    <w:rsid w:val="2E8121D3"/>
    <w:rsid w:val="2E826747"/>
    <w:rsid w:val="2E84707B"/>
    <w:rsid w:val="2E860788"/>
    <w:rsid w:val="2E872F93"/>
    <w:rsid w:val="2E8A241A"/>
    <w:rsid w:val="2E8B665B"/>
    <w:rsid w:val="2E8C1E2D"/>
    <w:rsid w:val="2E8D23D3"/>
    <w:rsid w:val="2E8E20FB"/>
    <w:rsid w:val="2E8F3097"/>
    <w:rsid w:val="2E9077CD"/>
    <w:rsid w:val="2E907989"/>
    <w:rsid w:val="2E9335DF"/>
    <w:rsid w:val="2E936523"/>
    <w:rsid w:val="2E94175C"/>
    <w:rsid w:val="2E9574DA"/>
    <w:rsid w:val="2E9751BB"/>
    <w:rsid w:val="2E980D78"/>
    <w:rsid w:val="2E981DA9"/>
    <w:rsid w:val="2E9C7364"/>
    <w:rsid w:val="2E9E47F4"/>
    <w:rsid w:val="2EA63495"/>
    <w:rsid w:val="2EA72D69"/>
    <w:rsid w:val="2EAB0AAB"/>
    <w:rsid w:val="2EB106E3"/>
    <w:rsid w:val="2EB21E3A"/>
    <w:rsid w:val="2EB4725C"/>
    <w:rsid w:val="2EB86815"/>
    <w:rsid w:val="2EB9692B"/>
    <w:rsid w:val="2EBA0CEE"/>
    <w:rsid w:val="2EBA7E62"/>
    <w:rsid w:val="2EBF14DA"/>
    <w:rsid w:val="2EC05B23"/>
    <w:rsid w:val="2EC61121"/>
    <w:rsid w:val="2EC6283E"/>
    <w:rsid w:val="2EC70374"/>
    <w:rsid w:val="2ECA6A55"/>
    <w:rsid w:val="2ECC3FD3"/>
    <w:rsid w:val="2ECD27D0"/>
    <w:rsid w:val="2ECD78F2"/>
    <w:rsid w:val="2ECE662B"/>
    <w:rsid w:val="2ECF311B"/>
    <w:rsid w:val="2ECF3660"/>
    <w:rsid w:val="2ECF5146"/>
    <w:rsid w:val="2ED008D2"/>
    <w:rsid w:val="2ED022C0"/>
    <w:rsid w:val="2ED1017B"/>
    <w:rsid w:val="2ED303B5"/>
    <w:rsid w:val="2ED350EC"/>
    <w:rsid w:val="2ED7364E"/>
    <w:rsid w:val="2ED818F8"/>
    <w:rsid w:val="2ED975A3"/>
    <w:rsid w:val="2EDA313F"/>
    <w:rsid w:val="2EDB46CB"/>
    <w:rsid w:val="2EDC6EB7"/>
    <w:rsid w:val="2EDE14B8"/>
    <w:rsid w:val="2EDE385A"/>
    <w:rsid w:val="2EDF2503"/>
    <w:rsid w:val="2EDF2FF3"/>
    <w:rsid w:val="2EE01BB5"/>
    <w:rsid w:val="2EE50403"/>
    <w:rsid w:val="2EE55832"/>
    <w:rsid w:val="2EE61893"/>
    <w:rsid w:val="2EE61AE3"/>
    <w:rsid w:val="2EE77A92"/>
    <w:rsid w:val="2EE91D37"/>
    <w:rsid w:val="2EE94293"/>
    <w:rsid w:val="2EEA15D4"/>
    <w:rsid w:val="2EEA2556"/>
    <w:rsid w:val="2EEA3E19"/>
    <w:rsid w:val="2EEB3529"/>
    <w:rsid w:val="2EEE2BF6"/>
    <w:rsid w:val="2EEE7427"/>
    <w:rsid w:val="2EF040C8"/>
    <w:rsid w:val="2EF04710"/>
    <w:rsid w:val="2EF30A9F"/>
    <w:rsid w:val="2EF44546"/>
    <w:rsid w:val="2EF509CA"/>
    <w:rsid w:val="2EF637C3"/>
    <w:rsid w:val="2EFC0F94"/>
    <w:rsid w:val="2EFF2A80"/>
    <w:rsid w:val="2F0106CB"/>
    <w:rsid w:val="2F0121E9"/>
    <w:rsid w:val="2F0361F1"/>
    <w:rsid w:val="2F045D38"/>
    <w:rsid w:val="2F0B60C1"/>
    <w:rsid w:val="2F0B68FA"/>
    <w:rsid w:val="2F0B754D"/>
    <w:rsid w:val="2F10090E"/>
    <w:rsid w:val="2F11484F"/>
    <w:rsid w:val="2F183292"/>
    <w:rsid w:val="2F1A353B"/>
    <w:rsid w:val="2F2052B1"/>
    <w:rsid w:val="2F212237"/>
    <w:rsid w:val="2F212B1B"/>
    <w:rsid w:val="2F241835"/>
    <w:rsid w:val="2F2443BA"/>
    <w:rsid w:val="2F266384"/>
    <w:rsid w:val="2F26688E"/>
    <w:rsid w:val="2F2820FC"/>
    <w:rsid w:val="2F283402"/>
    <w:rsid w:val="2F2A29E2"/>
    <w:rsid w:val="2F2A7C22"/>
    <w:rsid w:val="2F2B2197"/>
    <w:rsid w:val="2F2D7712"/>
    <w:rsid w:val="2F2E028B"/>
    <w:rsid w:val="2F2F048D"/>
    <w:rsid w:val="2F3314F6"/>
    <w:rsid w:val="2F3446AB"/>
    <w:rsid w:val="2F3575A9"/>
    <w:rsid w:val="2F362834"/>
    <w:rsid w:val="2F363C4A"/>
    <w:rsid w:val="2F364FCD"/>
    <w:rsid w:val="2F370591"/>
    <w:rsid w:val="2F3740ED"/>
    <w:rsid w:val="2F394A87"/>
    <w:rsid w:val="2F3A26BF"/>
    <w:rsid w:val="2F3A599D"/>
    <w:rsid w:val="2F3B2A6E"/>
    <w:rsid w:val="2F3C6DC2"/>
    <w:rsid w:val="2F3C7955"/>
    <w:rsid w:val="2F401C3D"/>
    <w:rsid w:val="2F414F6C"/>
    <w:rsid w:val="2F43624E"/>
    <w:rsid w:val="2F452CAE"/>
    <w:rsid w:val="2F494A03"/>
    <w:rsid w:val="2F4B5DEA"/>
    <w:rsid w:val="2F4E112C"/>
    <w:rsid w:val="2F4F1437"/>
    <w:rsid w:val="2F511653"/>
    <w:rsid w:val="2F520713"/>
    <w:rsid w:val="2F5226C6"/>
    <w:rsid w:val="2F527179"/>
    <w:rsid w:val="2F53777A"/>
    <w:rsid w:val="2F546A4D"/>
    <w:rsid w:val="2F570B40"/>
    <w:rsid w:val="2F590507"/>
    <w:rsid w:val="2F5B549F"/>
    <w:rsid w:val="2F5C1DA5"/>
    <w:rsid w:val="2F5C5507"/>
    <w:rsid w:val="2F5C5965"/>
    <w:rsid w:val="2F5E63C1"/>
    <w:rsid w:val="2F60503D"/>
    <w:rsid w:val="2F614070"/>
    <w:rsid w:val="2F61560E"/>
    <w:rsid w:val="2F633FA7"/>
    <w:rsid w:val="2F6501FB"/>
    <w:rsid w:val="2F655284"/>
    <w:rsid w:val="2F67061E"/>
    <w:rsid w:val="2F6A3B3F"/>
    <w:rsid w:val="2F6B4B51"/>
    <w:rsid w:val="2F6C2B59"/>
    <w:rsid w:val="2F6D5D61"/>
    <w:rsid w:val="2F6E69CB"/>
    <w:rsid w:val="2F6F7D2B"/>
    <w:rsid w:val="2F705E45"/>
    <w:rsid w:val="2F793447"/>
    <w:rsid w:val="2F7B66D0"/>
    <w:rsid w:val="2F7C651B"/>
    <w:rsid w:val="2F807842"/>
    <w:rsid w:val="2F827A5E"/>
    <w:rsid w:val="2F83220D"/>
    <w:rsid w:val="2F850ADD"/>
    <w:rsid w:val="2F862062"/>
    <w:rsid w:val="2F875DDB"/>
    <w:rsid w:val="2F893CAE"/>
    <w:rsid w:val="2F897353"/>
    <w:rsid w:val="2F897553"/>
    <w:rsid w:val="2F8A6464"/>
    <w:rsid w:val="2F8B15D3"/>
    <w:rsid w:val="2F8C48FA"/>
    <w:rsid w:val="2F8C7507"/>
    <w:rsid w:val="2F8D29E4"/>
    <w:rsid w:val="2F8F5CD7"/>
    <w:rsid w:val="2F8F6204"/>
    <w:rsid w:val="2F9652B7"/>
    <w:rsid w:val="2F984DE7"/>
    <w:rsid w:val="2F996B56"/>
    <w:rsid w:val="2F9A6713"/>
    <w:rsid w:val="2FA01C92"/>
    <w:rsid w:val="2FA43801"/>
    <w:rsid w:val="2FA57C88"/>
    <w:rsid w:val="2FA66A7B"/>
    <w:rsid w:val="2FA72ADC"/>
    <w:rsid w:val="2FA7493F"/>
    <w:rsid w:val="2FA85820"/>
    <w:rsid w:val="2FA972FC"/>
    <w:rsid w:val="2FAA0D63"/>
    <w:rsid w:val="2FAA1E44"/>
    <w:rsid w:val="2FAA688C"/>
    <w:rsid w:val="2FAC28ED"/>
    <w:rsid w:val="2FAC6889"/>
    <w:rsid w:val="2FAD0853"/>
    <w:rsid w:val="2FAD3C4C"/>
    <w:rsid w:val="2FAE0398"/>
    <w:rsid w:val="2FAE2B60"/>
    <w:rsid w:val="2FAE7DDE"/>
    <w:rsid w:val="2FAF408F"/>
    <w:rsid w:val="2FB034F5"/>
    <w:rsid w:val="2FB219C5"/>
    <w:rsid w:val="2FB6079E"/>
    <w:rsid w:val="2FB61497"/>
    <w:rsid w:val="2FB614B6"/>
    <w:rsid w:val="2FB93C3E"/>
    <w:rsid w:val="2FBA2097"/>
    <w:rsid w:val="2FBA2E31"/>
    <w:rsid w:val="2FBA3998"/>
    <w:rsid w:val="2FBB2091"/>
    <w:rsid w:val="2FBC2844"/>
    <w:rsid w:val="2FBD4A1A"/>
    <w:rsid w:val="2FC17E5A"/>
    <w:rsid w:val="2FC31E25"/>
    <w:rsid w:val="2FC70985"/>
    <w:rsid w:val="2FCC2D1A"/>
    <w:rsid w:val="2FCD1DB8"/>
    <w:rsid w:val="2FCF67F2"/>
    <w:rsid w:val="2FD55C7F"/>
    <w:rsid w:val="2FD60EEB"/>
    <w:rsid w:val="2FD61B58"/>
    <w:rsid w:val="2FD667BA"/>
    <w:rsid w:val="2FD91648"/>
    <w:rsid w:val="2FDA31FA"/>
    <w:rsid w:val="2FDB7A73"/>
    <w:rsid w:val="2FDD4C94"/>
    <w:rsid w:val="2FDD4EC8"/>
    <w:rsid w:val="2FDE1EA5"/>
    <w:rsid w:val="2FDE2163"/>
    <w:rsid w:val="2FE16210"/>
    <w:rsid w:val="2FE34275"/>
    <w:rsid w:val="2FE53B49"/>
    <w:rsid w:val="2FE60914"/>
    <w:rsid w:val="2FE72A13"/>
    <w:rsid w:val="2FE76BA0"/>
    <w:rsid w:val="2FE87CD4"/>
    <w:rsid w:val="2FEA1011"/>
    <w:rsid w:val="2FEA115F"/>
    <w:rsid w:val="2FEA3D1F"/>
    <w:rsid w:val="2FEA5603"/>
    <w:rsid w:val="2FEB19CF"/>
    <w:rsid w:val="2FEC137B"/>
    <w:rsid w:val="2FF26266"/>
    <w:rsid w:val="2FF31DB3"/>
    <w:rsid w:val="2FF40230"/>
    <w:rsid w:val="2FF62A84"/>
    <w:rsid w:val="2FF63FA8"/>
    <w:rsid w:val="2FFF61F5"/>
    <w:rsid w:val="30007590"/>
    <w:rsid w:val="30025F37"/>
    <w:rsid w:val="300264A9"/>
    <w:rsid w:val="300541EB"/>
    <w:rsid w:val="30054C8E"/>
    <w:rsid w:val="30063B76"/>
    <w:rsid w:val="3008511A"/>
    <w:rsid w:val="30182718"/>
    <w:rsid w:val="3019196B"/>
    <w:rsid w:val="30195D8F"/>
    <w:rsid w:val="301A5EE8"/>
    <w:rsid w:val="301B7CFD"/>
    <w:rsid w:val="301D1345"/>
    <w:rsid w:val="301E14CD"/>
    <w:rsid w:val="301E4594"/>
    <w:rsid w:val="302063B0"/>
    <w:rsid w:val="3022068C"/>
    <w:rsid w:val="30231207"/>
    <w:rsid w:val="302723B3"/>
    <w:rsid w:val="30282D2D"/>
    <w:rsid w:val="30297DFA"/>
    <w:rsid w:val="302A3C52"/>
    <w:rsid w:val="302C03EF"/>
    <w:rsid w:val="302E2470"/>
    <w:rsid w:val="302F17A2"/>
    <w:rsid w:val="30321033"/>
    <w:rsid w:val="30332B06"/>
    <w:rsid w:val="30340D22"/>
    <w:rsid w:val="30343D19"/>
    <w:rsid w:val="3037780B"/>
    <w:rsid w:val="303960D5"/>
    <w:rsid w:val="303D4414"/>
    <w:rsid w:val="303F4207"/>
    <w:rsid w:val="30446CA3"/>
    <w:rsid w:val="30450A8C"/>
    <w:rsid w:val="3045283A"/>
    <w:rsid w:val="304545E8"/>
    <w:rsid w:val="30455DB9"/>
    <w:rsid w:val="3049057C"/>
    <w:rsid w:val="304A7E50"/>
    <w:rsid w:val="304F6181"/>
    <w:rsid w:val="304F76D1"/>
    <w:rsid w:val="30515682"/>
    <w:rsid w:val="30531916"/>
    <w:rsid w:val="30542A7D"/>
    <w:rsid w:val="30544CD1"/>
    <w:rsid w:val="305667F5"/>
    <w:rsid w:val="30566D3E"/>
    <w:rsid w:val="305956BF"/>
    <w:rsid w:val="305A0C6C"/>
    <w:rsid w:val="305D2063"/>
    <w:rsid w:val="305D2219"/>
    <w:rsid w:val="305D5DD5"/>
    <w:rsid w:val="305F7D9F"/>
    <w:rsid w:val="30620BA0"/>
    <w:rsid w:val="30625A07"/>
    <w:rsid w:val="30637A5C"/>
    <w:rsid w:val="30677CAD"/>
    <w:rsid w:val="30694209"/>
    <w:rsid w:val="306B04F2"/>
    <w:rsid w:val="306B49F6"/>
    <w:rsid w:val="306C3C49"/>
    <w:rsid w:val="306C426A"/>
    <w:rsid w:val="306F78B6"/>
    <w:rsid w:val="30711881"/>
    <w:rsid w:val="30711FD2"/>
    <w:rsid w:val="3073354B"/>
    <w:rsid w:val="307419CD"/>
    <w:rsid w:val="30751371"/>
    <w:rsid w:val="307809F1"/>
    <w:rsid w:val="307849BD"/>
    <w:rsid w:val="307A0735"/>
    <w:rsid w:val="307A2A44"/>
    <w:rsid w:val="307D6DD7"/>
    <w:rsid w:val="30803872"/>
    <w:rsid w:val="308570DA"/>
    <w:rsid w:val="3087381B"/>
    <w:rsid w:val="30907F59"/>
    <w:rsid w:val="30913CD1"/>
    <w:rsid w:val="309252D4"/>
    <w:rsid w:val="309335A5"/>
    <w:rsid w:val="30963095"/>
    <w:rsid w:val="309C1A81"/>
    <w:rsid w:val="309C4B4F"/>
    <w:rsid w:val="309D2676"/>
    <w:rsid w:val="309F3DF3"/>
    <w:rsid w:val="309F63EE"/>
    <w:rsid w:val="30A01D57"/>
    <w:rsid w:val="30A95775"/>
    <w:rsid w:val="30B24E3A"/>
    <w:rsid w:val="30B34411"/>
    <w:rsid w:val="30B359F5"/>
    <w:rsid w:val="30B416AE"/>
    <w:rsid w:val="30B57CC4"/>
    <w:rsid w:val="30B73737"/>
    <w:rsid w:val="30B86334"/>
    <w:rsid w:val="30BD0B2D"/>
    <w:rsid w:val="30BD496A"/>
    <w:rsid w:val="30BF083E"/>
    <w:rsid w:val="30BF0D58"/>
    <w:rsid w:val="30BF25EC"/>
    <w:rsid w:val="30C61622"/>
    <w:rsid w:val="30C827FD"/>
    <w:rsid w:val="30CC4D09"/>
    <w:rsid w:val="30CC6AB7"/>
    <w:rsid w:val="30D009A6"/>
    <w:rsid w:val="30D024C9"/>
    <w:rsid w:val="30D31EF8"/>
    <w:rsid w:val="30D36097"/>
    <w:rsid w:val="30D65CF6"/>
    <w:rsid w:val="30DA02F7"/>
    <w:rsid w:val="30DD3FAE"/>
    <w:rsid w:val="30DD6467"/>
    <w:rsid w:val="30DE1032"/>
    <w:rsid w:val="30E06C3C"/>
    <w:rsid w:val="30E54FE6"/>
    <w:rsid w:val="30E56588"/>
    <w:rsid w:val="30E66A06"/>
    <w:rsid w:val="30E738F1"/>
    <w:rsid w:val="30E90E7B"/>
    <w:rsid w:val="30E956CA"/>
    <w:rsid w:val="30E97ADA"/>
    <w:rsid w:val="30EB564F"/>
    <w:rsid w:val="30EC7582"/>
    <w:rsid w:val="30ED5299"/>
    <w:rsid w:val="30EE1123"/>
    <w:rsid w:val="30F46739"/>
    <w:rsid w:val="30F6259A"/>
    <w:rsid w:val="30FB25C8"/>
    <w:rsid w:val="30FE70F0"/>
    <w:rsid w:val="30FE73E0"/>
    <w:rsid w:val="3105077E"/>
    <w:rsid w:val="31087FD0"/>
    <w:rsid w:val="310B3A83"/>
    <w:rsid w:val="310D15A9"/>
    <w:rsid w:val="31107375"/>
    <w:rsid w:val="311346E6"/>
    <w:rsid w:val="31153BD8"/>
    <w:rsid w:val="31171306"/>
    <w:rsid w:val="31185880"/>
    <w:rsid w:val="311B012D"/>
    <w:rsid w:val="311F6719"/>
    <w:rsid w:val="31210D22"/>
    <w:rsid w:val="31216E03"/>
    <w:rsid w:val="312238C0"/>
    <w:rsid w:val="312312C2"/>
    <w:rsid w:val="31270333"/>
    <w:rsid w:val="31280191"/>
    <w:rsid w:val="31283842"/>
    <w:rsid w:val="312843E6"/>
    <w:rsid w:val="31286700"/>
    <w:rsid w:val="312963BF"/>
    <w:rsid w:val="31297D1B"/>
    <w:rsid w:val="312A215B"/>
    <w:rsid w:val="312C3C9C"/>
    <w:rsid w:val="312D57A8"/>
    <w:rsid w:val="312E1520"/>
    <w:rsid w:val="31305298"/>
    <w:rsid w:val="31320090"/>
    <w:rsid w:val="31326337"/>
    <w:rsid w:val="31335454"/>
    <w:rsid w:val="313647EB"/>
    <w:rsid w:val="313661D4"/>
    <w:rsid w:val="31384310"/>
    <w:rsid w:val="313A6116"/>
    <w:rsid w:val="313B4368"/>
    <w:rsid w:val="313C4787"/>
    <w:rsid w:val="3140197F"/>
    <w:rsid w:val="314049D6"/>
    <w:rsid w:val="31414A8F"/>
    <w:rsid w:val="3143321D"/>
    <w:rsid w:val="31436C0A"/>
    <w:rsid w:val="31440D43"/>
    <w:rsid w:val="31466AED"/>
    <w:rsid w:val="314671C3"/>
    <w:rsid w:val="3146720F"/>
    <w:rsid w:val="314708FE"/>
    <w:rsid w:val="31480833"/>
    <w:rsid w:val="31490108"/>
    <w:rsid w:val="31492416"/>
    <w:rsid w:val="314956F5"/>
    <w:rsid w:val="314B20D2"/>
    <w:rsid w:val="314B6E77"/>
    <w:rsid w:val="314D5E4A"/>
    <w:rsid w:val="31541D0B"/>
    <w:rsid w:val="31552F50"/>
    <w:rsid w:val="31592A40"/>
    <w:rsid w:val="315947EF"/>
    <w:rsid w:val="3159659D"/>
    <w:rsid w:val="315A0567"/>
    <w:rsid w:val="315D0A78"/>
    <w:rsid w:val="315F16D9"/>
    <w:rsid w:val="316136A3"/>
    <w:rsid w:val="316157B6"/>
    <w:rsid w:val="31624104"/>
    <w:rsid w:val="316244E8"/>
    <w:rsid w:val="31625430"/>
    <w:rsid w:val="31627E2E"/>
    <w:rsid w:val="3163199F"/>
    <w:rsid w:val="31637C35"/>
    <w:rsid w:val="3168639F"/>
    <w:rsid w:val="31692558"/>
    <w:rsid w:val="316A2349"/>
    <w:rsid w:val="316B45F9"/>
    <w:rsid w:val="316E0AD0"/>
    <w:rsid w:val="316F36A1"/>
    <w:rsid w:val="3171695A"/>
    <w:rsid w:val="31772101"/>
    <w:rsid w:val="31794E91"/>
    <w:rsid w:val="317A6C19"/>
    <w:rsid w:val="317B6D18"/>
    <w:rsid w:val="317C445A"/>
    <w:rsid w:val="317D0713"/>
    <w:rsid w:val="317D1B9C"/>
    <w:rsid w:val="317D7134"/>
    <w:rsid w:val="317E5C59"/>
    <w:rsid w:val="317F5811"/>
    <w:rsid w:val="31800DCC"/>
    <w:rsid w:val="31807FCD"/>
    <w:rsid w:val="31861927"/>
    <w:rsid w:val="31864898"/>
    <w:rsid w:val="318B26F6"/>
    <w:rsid w:val="318B6C1C"/>
    <w:rsid w:val="318C6A0E"/>
    <w:rsid w:val="318D7E61"/>
    <w:rsid w:val="318E2CF5"/>
    <w:rsid w:val="31903F88"/>
    <w:rsid w:val="3190509A"/>
    <w:rsid w:val="31922437"/>
    <w:rsid w:val="3192385D"/>
    <w:rsid w:val="319475D5"/>
    <w:rsid w:val="31994BEB"/>
    <w:rsid w:val="319B1821"/>
    <w:rsid w:val="319E2731"/>
    <w:rsid w:val="319E48F7"/>
    <w:rsid w:val="319E65FF"/>
    <w:rsid w:val="319F0454"/>
    <w:rsid w:val="31A12E98"/>
    <w:rsid w:val="31A31F0E"/>
    <w:rsid w:val="31A57F83"/>
    <w:rsid w:val="31A65BBC"/>
    <w:rsid w:val="31A71BB0"/>
    <w:rsid w:val="31A84EB5"/>
    <w:rsid w:val="31A87135"/>
    <w:rsid w:val="31AA4EB9"/>
    <w:rsid w:val="31B55D74"/>
    <w:rsid w:val="31B870CA"/>
    <w:rsid w:val="31B90F57"/>
    <w:rsid w:val="31B97C29"/>
    <w:rsid w:val="31BE7228"/>
    <w:rsid w:val="31C12CBD"/>
    <w:rsid w:val="31C13C58"/>
    <w:rsid w:val="31C13F03"/>
    <w:rsid w:val="31C140A1"/>
    <w:rsid w:val="31C224E3"/>
    <w:rsid w:val="31C34909"/>
    <w:rsid w:val="31C43F6A"/>
    <w:rsid w:val="31C47748"/>
    <w:rsid w:val="31C678DA"/>
    <w:rsid w:val="31C75B74"/>
    <w:rsid w:val="31C773BE"/>
    <w:rsid w:val="31C82E1B"/>
    <w:rsid w:val="31C8630E"/>
    <w:rsid w:val="31CA5F34"/>
    <w:rsid w:val="31CB532E"/>
    <w:rsid w:val="31D02A3D"/>
    <w:rsid w:val="31D04385"/>
    <w:rsid w:val="31D112FC"/>
    <w:rsid w:val="31D13818"/>
    <w:rsid w:val="31D143D5"/>
    <w:rsid w:val="31D245A1"/>
    <w:rsid w:val="31D4377F"/>
    <w:rsid w:val="31D71BB7"/>
    <w:rsid w:val="31DD5420"/>
    <w:rsid w:val="31DD6918"/>
    <w:rsid w:val="31E00A6C"/>
    <w:rsid w:val="31E0281A"/>
    <w:rsid w:val="31E10F22"/>
    <w:rsid w:val="31E16592"/>
    <w:rsid w:val="31E22A36"/>
    <w:rsid w:val="31E247E4"/>
    <w:rsid w:val="31E25859"/>
    <w:rsid w:val="31E3230A"/>
    <w:rsid w:val="31E47910"/>
    <w:rsid w:val="31E613F8"/>
    <w:rsid w:val="31E65FBC"/>
    <w:rsid w:val="31E75CF0"/>
    <w:rsid w:val="31E90D49"/>
    <w:rsid w:val="31EB0437"/>
    <w:rsid w:val="31EC73C3"/>
    <w:rsid w:val="31ED3189"/>
    <w:rsid w:val="31ED7FEA"/>
    <w:rsid w:val="31EE2108"/>
    <w:rsid w:val="31EE6258"/>
    <w:rsid w:val="31F247BE"/>
    <w:rsid w:val="31F613E5"/>
    <w:rsid w:val="31F64758"/>
    <w:rsid w:val="31F97D80"/>
    <w:rsid w:val="31FB58A6"/>
    <w:rsid w:val="31FB7654"/>
    <w:rsid w:val="31FC517A"/>
    <w:rsid w:val="31FE7144"/>
    <w:rsid w:val="320077FC"/>
    <w:rsid w:val="3201186B"/>
    <w:rsid w:val="32015E52"/>
    <w:rsid w:val="320515F0"/>
    <w:rsid w:val="32054110"/>
    <w:rsid w:val="320C0D57"/>
    <w:rsid w:val="320E29DF"/>
    <w:rsid w:val="320E7CBC"/>
    <w:rsid w:val="321149C8"/>
    <w:rsid w:val="3213317E"/>
    <w:rsid w:val="32172601"/>
    <w:rsid w:val="32192170"/>
    <w:rsid w:val="321921D0"/>
    <w:rsid w:val="32193F7E"/>
    <w:rsid w:val="321D4EFD"/>
    <w:rsid w:val="322070BA"/>
    <w:rsid w:val="32217D55"/>
    <w:rsid w:val="32221084"/>
    <w:rsid w:val="32230959"/>
    <w:rsid w:val="32236BAB"/>
    <w:rsid w:val="3224240A"/>
    <w:rsid w:val="32250B75"/>
    <w:rsid w:val="322546D1"/>
    <w:rsid w:val="322572D0"/>
    <w:rsid w:val="3227669B"/>
    <w:rsid w:val="322841C1"/>
    <w:rsid w:val="322C3397"/>
    <w:rsid w:val="322F554F"/>
    <w:rsid w:val="32326167"/>
    <w:rsid w:val="32333124"/>
    <w:rsid w:val="32337D41"/>
    <w:rsid w:val="32340B71"/>
    <w:rsid w:val="32357A85"/>
    <w:rsid w:val="32364B30"/>
    <w:rsid w:val="32383E2B"/>
    <w:rsid w:val="32384404"/>
    <w:rsid w:val="323E570F"/>
    <w:rsid w:val="324419CA"/>
    <w:rsid w:val="3247623F"/>
    <w:rsid w:val="324907BC"/>
    <w:rsid w:val="324A4137"/>
    <w:rsid w:val="324B54F3"/>
    <w:rsid w:val="324C4A75"/>
    <w:rsid w:val="324F174E"/>
    <w:rsid w:val="3250281F"/>
    <w:rsid w:val="32537B48"/>
    <w:rsid w:val="325517CD"/>
    <w:rsid w:val="32555EB0"/>
    <w:rsid w:val="32565D7D"/>
    <w:rsid w:val="325705E7"/>
    <w:rsid w:val="325823B4"/>
    <w:rsid w:val="32582CF8"/>
    <w:rsid w:val="32585234"/>
    <w:rsid w:val="325B4596"/>
    <w:rsid w:val="325B6344"/>
    <w:rsid w:val="325F1790"/>
    <w:rsid w:val="325F4087"/>
    <w:rsid w:val="3260395B"/>
    <w:rsid w:val="32653528"/>
    <w:rsid w:val="32655415"/>
    <w:rsid w:val="32670332"/>
    <w:rsid w:val="3267118D"/>
    <w:rsid w:val="32674CE9"/>
    <w:rsid w:val="32682108"/>
    <w:rsid w:val="32696CB3"/>
    <w:rsid w:val="326B3300"/>
    <w:rsid w:val="326B48D2"/>
    <w:rsid w:val="3274548D"/>
    <w:rsid w:val="32755658"/>
    <w:rsid w:val="32760578"/>
    <w:rsid w:val="327635CB"/>
    <w:rsid w:val="327F4D4C"/>
    <w:rsid w:val="32843AED"/>
    <w:rsid w:val="32876812"/>
    <w:rsid w:val="32892EB1"/>
    <w:rsid w:val="32894C0B"/>
    <w:rsid w:val="328964AC"/>
    <w:rsid w:val="328D3E75"/>
    <w:rsid w:val="328F1215"/>
    <w:rsid w:val="32914955"/>
    <w:rsid w:val="32950EC6"/>
    <w:rsid w:val="3297522B"/>
    <w:rsid w:val="32990C1B"/>
    <w:rsid w:val="329B2BE5"/>
    <w:rsid w:val="329C7A9A"/>
    <w:rsid w:val="329F4EC8"/>
    <w:rsid w:val="32A1072C"/>
    <w:rsid w:val="32A21668"/>
    <w:rsid w:val="32A221C5"/>
    <w:rsid w:val="32A26CEE"/>
    <w:rsid w:val="32A31CA7"/>
    <w:rsid w:val="32A75EAC"/>
    <w:rsid w:val="32A970B0"/>
    <w:rsid w:val="32AA2E28"/>
    <w:rsid w:val="32AB5B3C"/>
    <w:rsid w:val="32B42094"/>
    <w:rsid w:val="32B43F0B"/>
    <w:rsid w:val="32B55A55"/>
    <w:rsid w:val="32B868C4"/>
    <w:rsid w:val="32B876D8"/>
    <w:rsid w:val="32B922FB"/>
    <w:rsid w:val="32BB7FF6"/>
    <w:rsid w:val="32BF2D77"/>
    <w:rsid w:val="32C24615"/>
    <w:rsid w:val="32C3480F"/>
    <w:rsid w:val="32C6287D"/>
    <w:rsid w:val="32C6335F"/>
    <w:rsid w:val="32C70493"/>
    <w:rsid w:val="32C959A4"/>
    <w:rsid w:val="32CC5CB8"/>
    <w:rsid w:val="32CC726D"/>
    <w:rsid w:val="32CE2BAF"/>
    <w:rsid w:val="32D26767"/>
    <w:rsid w:val="32D35945"/>
    <w:rsid w:val="32D3702F"/>
    <w:rsid w:val="32D41674"/>
    <w:rsid w:val="32D43E3A"/>
    <w:rsid w:val="32D466D2"/>
    <w:rsid w:val="32D549D9"/>
    <w:rsid w:val="32D61E33"/>
    <w:rsid w:val="32D75F0F"/>
    <w:rsid w:val="32DA195F"/>
    <w:rsid w:val="32DB4B67"/>
    <w:rsid w:val="32DD144F"/>
    <w:rsid w:val="32DE2D20"/>
    <w:rsid w:val="32E16A61"/>
    <w:rsid w:val="32E209B4"/>
    <w:rsid w:val="32E243B4"/>
    <w:rsid w:val="32E427DE"/>
    <w:rsid w:val="32E52BDD"/>
    <w:rsid w:val="32E61B1C"/>
    <w:rsid w:val="32E6604D"/>
    <w:rsid w:val="32E70C39"/>
    <w:rsid w:val="32EF33F5"/>
    <w:rsid w:val="32F02F60"/>
    <w:rsid w:val="32F1545A"/>
    <w:rsid w:val="32F31139"/>
    <w:rsid w:val="32F353EA"/>
    <w:rsid w:val="32FF3876"/>
    <w:rsid w:val="33016EEC"/>
    <w:rsid w:val="33020A39"/>
    <w:rsid w:val="3302440C"/>
    <w:rsid w:val="33036367"/>
    <w:rsid w:val="33037626"/>
    <w:rsid w:val="330662B0"/>
    <w:rsid w:val="330D5390"/>
    <w:rsid w:val="330E1609"/>
    <w:rsid w:val="331035D3"/>
    <w:rsid w:val="33143344"/>
    <w:rsid w:val="33186C8A"/>
    <w:rsid w:val="331A016C"/>
    <w:rsid w:val="331D7A9E"/>
    <w:rsid w:val="332008FE"/>
    <w:rsid w:val="33207DC3"/>
    <w:rsid w:val="3321133C"/>
    <w:rsid w:val="332130EA"/>
    <w:rsid w:val="33226E62"/>
    <w:rsid w:val="33254A0D"/>
    <w:rsid w:val="33271537"/>
    <w:rsid w:val="3328369F"/>
    <w:rsid w:val="332B3CDC"/>
    <w:rsid w:val="332B501A"/>
    <w:rsid w:val="332C1A8F"/>
    <w:rsid w:val="332C31B3"/>
    <w:rsid w:val="332E3A59"/>
    <w:rsid w:val="332E5807"/>
    <w:rsid w:val="33305A23"/>
    <w:rsid w:val="33356941"/>
    <w:rsid w:val="334407BD"/>
    <w:rsid w:val="334427CA"/>
    <w:rsid w:val="33460805"/>
    <w:rsid w:val="33462B51"/>
    <w:rsid w:val="33466FF4"/>
    <w:rsid w:val="33473F32"/>
    <w:rsid w:val="334B460B"/>
    <w:rsid w:val="334D3EDF"/>
    <w:rsid w:val="334E250D"/>
    <w:rsid w:val="334E5EA9"/>
    <w:rsid w:val="334E7C57"/>
    <w:rsid w:val="334F7FAE"/>
    <w:rsid w:val="33513750"/>
    <w:rsid w:val="33513762"/>
    <w:rsid w:val="33570661"/>
    <w:rsid w:val="33574D5E"/>
    <w:rsid w:val="335800A3"/>
    <w:rsid w:val="33596D28"/>
    <w:rsid w:val="335C2374"/>
    <w:rsid w:val="335C25DE"/>
    <w:rsid w:val="33604E27"/>
    <w:rsid w:val="33667C7F"/>
    <w:rsid w:val="336757C8"/>
    <w:rsid w:val="336A2CE3"/>
    <w:rsid w:val="337038A2"/>
    <w:rsid w:val="33737662"/>
    <w:rsid w:val="337376BE"/>
    <w:rsid w:val="33741567"/>
    <w:rsid w:val="337B0E24"/>
    <w:rsid w:val="337C5C26"/>
    <w:rsid w:val="337D71C6"/>
    <w:rsid w:val="33811DDB"/>
    <w:rsid w:val="33813A09"/>
    <w:rsid w:val="33816234"/>
    <w:rsid w:val="3382558B"/>
    <w:rsid w:val="33833553"/>
    <w:rsid w:val="3387302B"/>
    <w:rsid w:val="33875C46"/>
    <w:rsid w:val="33886947"/>
    <w:rsid w:val="338A5A42"/>
    <w:rsid w:val="338B4A07"/>
    <w:rsid w:val="338D4C23"/>
    <w:rsid w:val="33922361"/>
    <w:rsid w:val="3394364F"/>
    <w:rsid w:val="33977850"/>
    <w:rsid w:val="339A0931"/>
    <w:rsid w:val="339C3287"/>
    <w:rsid w:val="339C4E66"/>
    <w:rsid w:val="339D2089"/>
    <w:rsid w:val="33A0490A"/>
    <w:rsid w:val="33A35467"/>
    <w:rsid w:val="33A9069D"/>
    <w:rsid w:val="33AC3E6F"/>
    <w:rsid w:val="33AE035C"/>
    <w:rsid w:val="33AE131F"/>
    <w:rsid w:val="33B100D9"/>
    <w:rsid w:val="33B206AE"/>
    <w:rsid w:val="33B20C46"/>
    <w:rsid w:val="33B248B0"/>
    <w:rsid w:val="33B37F5C"/>
    <w:rsid w:val="33B57B30"/>
    <w:rsid w:val="33B57CD6"/>
    <w:rsid w:val="33BC2F6E"/>
    <w:rsid w:val="33BC789C"/>
    <w:rsid w:val="33BD3E8D"/>
    <w:rsid w:val="33BD6A91"/>
    <w:rsid w:val="33C1667B"/>
    <w:rsid w:val="33C341A1"/>
    <w:rsid w:val="33C6593C"/>
    <w:rsid w:val="33C70135"/>
    <w:rsid w:val="33C817B8"/>
    <w:rsid w:val="33C85C5B"/>
    <w:rsid w:val="33CA11F3"/>
    <w:rsid w:val="33CA19D4"/>
    <w:rsid w:val="33CA3782"/>
    <w:rsid w:val="33CB127F"/>
    <w:rsid w:val="33CB12A8"/>
    <w:rsid w:val="33CB74FA"/>
    <w:rsid w:val="33CD2C95"/>
    <w:rsid w:val="33CD3501"/>
    <w:rsid w:val="33CF2B46"/>
    <w:rsid w:val="33CF6FEA"/>
    <w:rsid w:val="33D31231"/>
    <w:rsid w:val="33D645A1"/>
    <w:rsid w:val="33D73270"/>
    <w:rsid w:val="33D75439"/>
    <w:rsid w:val="33D943F9"/>
    <w:rsid w:val="33D94AF6"/>
    <w:rsid w:val="33DE5D97"/>
    <w:rsid w:val="33E11B69"/>
    <w:rsid w:val="33E22FD7"/>
    <w:rsid w:val="33E24718"/>
    <w:rsid w:val="33E75037"/>
    <w:rsid w:val="33E964FB"/>
    <w:rsid w:val="33EA461D"/>
    <w:rsid w:val="33ED13F9"/>
    <w:rsid w:val="33ED255F"/>
    <w:rsid w:val="33EE1947"/>
    <w:rsid w:val="33EE32C2"/>
    <w:rsid w:val="33F0483B"/>
    <w:rsid w:val="33F2420D"/>
    <w:rsid w:val="33F702EF"/>
    <w:rsid w:val="33F71FAD"/>
    <w:rsid w:val="33F71FE3"/>
    <w:rsid w:val="33F963C5"/>
    <w:rsid w:val="33FA22CC"/>
    <w:rsid w:val="33FB2AA8"/>
    <w:rsid w:val="33FB393B"/>
    <w:rsid w:val="33FE0891"/>
    <w:rsid w:val="340100A6"/>
    <w:rsid w:val="340135DC"/>
    <w:rsid w:val="34015F0C"/>
    <w:rsid w:val="3402309A"/>
    <w:rsid w:val="34026921"/>
    <w:rsid w:val="34036CA5"/>
    <w:rsid w:val="34054559"/>
    <w:rsid w:val="340547BA"/>
    <w:rsid w:val="34064F33"/>
    <w:rsid w:val="340B78F6"/>
    <w:rsid w:val="340D18C0"/>
    <w:rsid w:val="340E2CBD"/>
    <w:rsid w:val="340F3E18"/>
    <w:rsid w:val="34100830"/>
    <w:rsid w:val="34101B6E"/>
    <w:rsid w:val="34107576"/>
    <w:rsid w:val="34120C85"/>
    <w:rsid w:val="341744ED"/>
    <w:rsid w:val="34207846"/>
    <w:rsid w:val="34210CBB"/>
    <w:rsid w:val="34213C80"/>
    <w:rsid w:val="34237336"/>
    <w:rsid w:val="34246193"/>
    <w:rsid w:val="3424709C"/>
    <w:rsid w:val="34270E8D"/>
    <w:rsid w:val="342A06C4"/>
    <w:rsid w:val="342C191C"/>
    <w:rsid w:val="34313157"/>
    <w:rsid w:val="343252A6"/>
    <w:rsid w:val="3433217D"/>
    <w:rsid w:val="34341AA3"/>
    <w:rsid w:val="34365B5E"/>
    <w:rsid w:val="34367E3A"/>
    <w:rsid w:val="34377BE5"/>
    <w:rsid w:val="34394DB5"/>
    <w:rsid w:val="343B4069"/>
    <w:rsid w:val="343C3D07"/>
    <w:rsid w:val="343E1A7A"/>
    <w:rsid w:val="343E2D6C"/>
    <w:rsid w:val="34432928"/>
    <w:rsid w:val="34441C05"/>
    <w:rsid w:val="344B5E53"/>
    <w:rsid w:val="344D7F0F"/>
    <w:rsid w:val="344E43B3"/>
    <w:rsid w:val="344F280E"/>
    <w:rsid w:val="344F5EC1"/>
    <w:rsid w:val="34500E16"/>
    <w:rsid w:val="34513124"/>
    <w:rsid w:val="345325EB"/>
    <w:rsid w:val="34533777"/>
    <w:rsid w:val="34572B3B"/>
    <w:rsid w:val="345825D8"/>
    <w:rsid w:val="34586FDF"/>
    <w:rsid w:val="34592D57"/>
    <w:rsid w:val="345937DD"/>
    <w:rsid w:val="345D2124"/>
    <w:rsid w:val="345F3E4B"/>
    <w:rsid w:val="34602FDD"/>
    <w:rsid w:val="346040E6"/>
    <w:rsid w:val="346516FC"/>
    <w:rsid w:val="34666E4F"/>
    <w:rsid w:val="346911EC"/>
    <w:rsid w:val="346A286F"/>
    <w:rsid w:val="346B303E"/>
    <w:rsid w:val="3470333B"/>
    <w:rsid w:val="3472264C"/>
    <w:rsid w:val="34745500"/>
    <w:rsid w:val="34766219"/>
    <w:rsid w:val="347831DE"/>
    <w:rsid w:val="34796F56"/>
    <w:rsid w:val="347B4A7C"/>
    <w:rsid w:val="347C4181"/>
    <w:rsid w:val="347E55D3"/>
    <w:rsid w:val="347F4F7A"/>
    <w:rsid w:val="34856A51"/>
    <w:rsid w:val="34864580"/>
    <w:rsid w:val="34865D22"/>
    <w:rsid w:val="348C4EDB"/>
    <w:rsid w:val="348E4BCA"/>
    <w:rsid w:val="348F2D68"/>
    <w:rsid w:val="34904252"/>
    <w:rsid w:val="34913F0F"/>
    <w:rsid w:val="34931DC5"/>
    <w:rsid w:val="3494217B"/>
    <w:rsid w:val="34942256"/>
    <w:rsid w:val="349472FB"/>
    <w:rsid w:val="34956681"/>
    <w:rsid w:val="349618B6"/>
    <w:rsid w:val="34967B08"/>
    <w:rsid w:val="34975A2E"/>
    <w:rsid w:val="34975EE2"/>
    <w:rsid w:val="34980AC4"/>
    <w:rsid w:val="3498562E"/>
    <w:rsid w:val="349A7F5B"/>
    <w:rsid w:val="349B7D53"/>
    <w:rsid w:val="349C35B5"/>
    <w:rsid w:val="349E076A"/>
    <w:rsid w:val="34A0062A"/>
    <w:rsid w:val="34A2025B"/>
    <w:rsid w:val="34A75871"/>
    <w:rsid w:val="34AA4266"/>
    <w:rsid w:val="34AA710F"/>
    <w:rsid w:val="34AA7E9A"/>
    <w:rsid w:val="34AC631F"/>
    <w:rsid w:val="34AE30A3"/>
    <w:rsid w:val="34AE33E9"/>
    <w:rsid w:val="34AE4E51"/>
    <w:rsid w:val="34B01677"/>
    <w:rsid w:val="34B02383"/>
    <w:rsid w:val="34B07AE5"/>
    <w:rsid w:val="34B12734"/>
    <w:rsid w:val="34B13D24"/>
    <w:rsid w:val="34B866F6"/>
    <w:rsid w:val="34B9092F"/>
    <w:rsid w:val="34B92C2D"/>
    <w:rsid w:val="34BE0DB6"/>
    <w:rsid w:val="34BF2BBB"/>
    <w:rsid w:val="34BF4CAA"/>
    <w:rsid w:val="34C401D1"/>
    <w:rsid w:val="34C44675"/>
    <w:rsid w:val="34C46423"/>
    <w:rsid w:val="34C518B3"/>
    <w:rsid w:val="34C71782"/>
    <w:rsid w:val="34CC52D7"/>
    <w:rsid w:val="34CE1050"/>
    <w:rsid w:val="34CE54B1"/>
    <w:rsid w:val="34CF3F99"/>
    <w:rsid w:val="34CF74EF"/>
    <w:rsid w:val="34D320DF"/>
    <w:rsid w:val="34D523DE"/>
    <w:rsid w:val="34D553A2"/>
    <w:rsid w:val="34D66876"/>
    <w:rsid w:val="34D7691B"/>
    <w:rsid w:val="34D7759A"/>
    <w:rsid w:val="34D86AF2"/>
    <w:rsid w:val="34D94F22"/>
    <w:rsid w:val="34DA0BF7"/>
    <w:rsid w:val="34DB73CF"/>
    <w:rsid w:val="34DB747A"/>
    <w:rsid w:val="34DF4C62"/>
    <w:rsid w:val="34E00D83"/>
    <w:rsid w:val="34E171F3"/>
    <w:rsid w:val="34E21003"/>
    <w:rsid w:val="34E42621"/>
    <w:rsid w:val="34E44DB9"/>
    <w:rsid w:val="34E55945"/>
    <w:rsid w:val="34E57BDD"/>
    <w:rsid w:val="34E72111"/>
    <w:rsid w:val="34E756D1"/>
    <w:rsid w:val="34E8605E"/>
    <w:rsid w:val="34E86A35"/>
    <w:rsid w:val="34EC31FC"/>
    <w:rsid w:val="34EE7F06"/>
    <w:rsid w:val="34F41174"/>
    <w:rsid w:val="34F565DC"/>
    <w:rsid w:val="34F628E9"/>
    <w:rsid w:val="34F95164"/>
    <w:rsid w:val="34FA62E8"/>
    <w:rsid w:val="34FB1589"/>
    <w:rsid w:val="34FB5395"/>
    <w:rsid w:val="34FD1A0E"/>
    <w:rsid w:val="34FD2B73"/>
    <w:rsid w:val="34FD60E6"/>
    <w:rsid w:val="350358A4"/>
    <w:rsid w:val="35044C07"/>
    <w:rsid w:val="350478CF"/>
    <w:rsid w:val="3504793C"/>
    <w:rsid w:val="350506BD"/>
    <w:rsid w:val="35053CB4"/>
    <w:rsid w:val="350607E9"/>
    <w:rsid w:val="35063CE7"/>
    <w:rsid w:val="35066A3B"/>
    <w:rsid w:val="35076310"/>
    <w:rsid w:val="350A469D"/>
    <w:rsid w:val="350C1B78"/>
    <w:rsid w:val="350D491F"/>
    <w:rsid w:val="350D7760"/>
    <w:rsid w:val="3515669C"/>
    <w:rsid w:val="351729F7"/>
    <w:rsid w:val="35190631"/>
    <w:rsid w:val="351A5C73"/>
    <w:rsid w:val="351B1D36"/>
    <w:rsid w:val="352073D1"/>
    <w:rsid w:val="35215A60"/>
    <w:rsid w:val="3521623A"/>
    <w:rsid w:val="35242972"/>
    <w:rsid w:val="35244754"/>
    <w:rsid w:val="35244AF8"/>
    <w:rsid w:val="35250956"/>
    <w:rsid w:val="35260C06"/>
    <w:rsid w:val="35270760"/>
    <w:rsid w:val="35274568"/>
    <w:rsid w:val="35284C04"/>
    <w:rsid w:val="3529097C"/>
    <w:rsid w:val="35294056"/>
    <w:rsid w:val="352A3A26"/>
    <w:rsid w:val="352A4BA6"/>
    <w:rsid w:val="352B64A2"/>
    <w:rsid w:val="352D221A"/>
    <w:rsid w:val="352E7D40"/>
    <w:rsid w:val="353167A6"/>
    <w:rsid w:val="3534652F"/>
    <w:rsid w:val="35353DEC"/>
    <w:rsid w:val="353752DC"/>
    <w:rsid w:val="35377484"/>
    <w:rsid w:val="353852C5"/>
    <w:rsid w:val="353C4A37"/>
    <w:rsid w:val="353D7F83"/>
    <w:rsid w:val="353E4427"/>
    <w:rsid w:val="354041AE"/>
    <w:rsid w:val="354220CE"/>
    <w:rsid w:val="35435612"/>
    <w:rsid w:val="354B3727"/>
    <w:rsid w:val="354E3097"/>
    <w:rsid w:val="354E440C"/>
    <w:rsid w:val="354E634E"/>
    <w:rsid w:val="35526101"/>
    <w:rsid w:val="355310D8"/>
    <w:rsid w:val="35572E64"/>
    <w:rsid w:val="355840B7"/>
    <w:rsid w:val="355A2BFC"/>
    <w:rsid w:val="355F41C7"/>
    <w:rsid w:val="35614940"/>
    <w:rsid w:val="35675000"/>
    <w:rsid w:val="35690D78"/>
    <w:rsid w:val="356A1816"/>
    <w:rsid w:val="356B4AF0"/>
    <w:rsid w:val="356C7F43"/>
    <w:rsid w:val="356E45E1"/>
    <w:rsid w:val="357229A2"/>
    <w:rsid w:val="357240D1"/>
    <w:rsid w:val="3572479A"/>
    <w:rsid w:val="35742266"/>
    <w:rsid w:val="3575568D"/>
    <w:rsid w:val="35763C92"/>
    <w:rsid w:val="35780FBB"/>
    <w:rsid w:val="357908B8"/>
    <w:rsid w:val="35794950"/>
    <w:rsid w:val="357B0E48"/>
    <w:rsid w:val="357D027F"/>
    <w:rsid w:val="357E6CE3"/>
    <w:rsid w:val="35825EDC"/>
    <w:rsid w:val="35885FC6"/>
    <w:rsid w:val="358944C3"/>
    <w:rsid w:val="35894ABA"/>
    <w:rsid w:val="358B51B1"/>
    <w:rsid w:val="358C7ACB"/>
    <w:rsid w:val="35912AD9"/>
    <w:rsid w:val="35922121"/>
    <w:rsid w:val="359330B7"/>
    <w:rsid w:val="35951B6D"/>
    <w:rsid w:val="359528C1"/>
    <w:rsid w:val="359A0BDE"/>
    <w:rsid w:val="359C3486"/>
    <w:rsid w:val="359D0A22"/>
    <w:rsid w:val="359E0533"/>
    <w:rsid w:val="359E78BC"/>
    <w:rsid w:val="35A103B9"/>
    <w:rsid w:val="35A324DC"/>
    <w:rsid w:val="35A3428A"/>
    <w:rsid w:val="35A34F88"/>
    <w:rsid w:val="35A77DEC"/>
    <w:rsid w:val="35A818A1"/>
    <w:rsid w:val="35AB313F"/>
    <w:rsid w:val="35AB75E3"/>
    <w:rsid w:val="35AE478E"/>
    <w:rsid w:val="35B53E09"/>
    <w:rsid w:val="35B7611D"/>
    <w:rsid w:val="35BD20E4"/>
    <w:rsid w:val="35BD2E56"/>
    <w:rsid w:val="35BE10C4"/>
    <w:rsid w:val="35BF159A"/>
    <w:rsid w:val="35BF6BEA"/>
    <w:rsid w:val="35C32557"/>
    <w:rsid w:val="35C366DA"/>
    <w:rsid w:val="35C773D6"/>
    <w:rsid w:val="35C8079E"/>
    <w:rsid w:val="35C868EF"/>
    <w:rsid w:val="35CA605B"/>
    <w:rsid w:val="35CD57AB"/>
    <w:rsid w:val="35CD709A"/>
    <w:rsid w:val="35CE5B68"/>
    <w:rsid w:val="35CF14F4"/>
    <w:rsid w:val="35D119BA"/>
    <w:rsid w:val="35D37C6C"/>
    <w:rsid w:val="35D62830"/>
    <w:rsid w:val="35D73F34"/>
    <w:rsid w:val="35DB559B"/>
    <w:rsid w:val="35DF3FE2"/>
    <w:rsid w:val="35DF4502"/>
    <w:rsid w:val="35E00EF6"/>
    <w:rsid w:val="35E054DE"/>
    <w:rsid w:val="35E27B90"/>
    <w:rsid w:val="35E3438F"/>
    <w:rsid w:val="35E36D7D"/>
    <w:rsid w:val="35E56A24"/>
    <w:rsid w:val="35E6686D"/>
    <w:rsid w:val="35E87EEF"/>
    <w:rsid w:val="35EA1C77"/>
    <w:rsid w:val="35EB3E83"/>
    <w:rsid w:val="35ED3646"/>
    <w:rsid w:val="35ED3FC5"/>
    <w:rsid w:val="35EF74CF"/>
    <w:rsid w:val="35F04FF6"/>
    <w:rsid w:val="35F3763F"/>
    <w:rsid w:val="35F56376"/>
    <w:rsid w:val="35F57BFA"/>
    <w:rsid w:val="35F82D0F"/>
    <w:rsid w:val="35F8709C"/>
    <w:rsid w:val="35F94860"/>
    <w:rsid w:val="35FA7C22"/>
    <w:rsid w:val="35FB07A7"/>
    <w:rsid w:val="35FC51A3"/>
    <w:rsid w:val="35FD01EF"/>
    <w:rsid w:val="35FE541E"/>
    <w:rsid w:val="35FF20F7"/>
    <w:rsid w:val="36030FFF"/>
    <w:rsid w:val="360337E4"/>
    <w:rsid w:val="360A0F5F"/>
    <w:rsid w:val="360A60B7"/>
    <w:rsid w:val="360B0081"/>
    <w:rsid w:val="360F1920"/>
    <w:rsid w:val="3611037B"/>
    <w:rsid w:val="36116BC2"/>
    <w:rsid w:val="36147E72"/>
    <w:rsid w:val="3615522F"/>
    <w:rsid w:val="36171DC5"/>
    <w:rsid w:val="3618333E"/>
    <w:rsid w:val="362058DB"/>
    <w:rsid w:val="36205E0A"/>
    <w:rsid w:val="36246F52"/>
    <w:rsid w:val="3626472B"/>
    <w:rsid w:val="36272932"/>
    <w:rsid w:val="36277B2C"/>
    <w:rsid w:val="36297C02"/>
    <w:rsid w:val="362A056A"/>
    <w:rsid w:val="362A49AB"/>
    <w:rsid w:val="362C191E"/>
    <w:rsid w:val="362F3BFA"/>
    <w:rsid w:val="36327824"/>
    <w:rsid w:val="36383A88"/>
    <w:rsid w:val="363A178A"/>
    <w:rsid w:val="363B0967"/>
    <w:rsid w:val="363C540D"/>
    <w:rsid w:val="363D008E"/>
    <w:rsid w:val="36432BB5"/>
    <w:rsid w:val="364B7538"/>
    <w:rsid w:val="364C03A6"/>
    <w:rsid w:val="364E3013"/>
    <w:rsid w:val="364E5036"/>
    <w:rsid w:val="364F5736"/>
    <w:rsid w:val="3651018A"/>
    <w:rsid w:val="36511F38"/>
    <w:rsid w:val="36542AEA"/>
    <w:rsid w:val="36547242"/>
    <w:rsid w:val="365732C7"/>
    <w:rsid w:val="365A53F4"/>
    <w:rsid w:val="365D5F63"/>
    <w:rsid w:val="365E11F9"/>
    <w:rsid w:val="365F0DC8"/>
    <w:rsid w:val="365F4673"/>
    <w:rsid w:val="366118FB"/>
    <w:rsid w:val="366128C4"/>
    <w:rsid w:val="366130BF"/>
    <w:rsid w:val="36653C36"/>
    <w:rsid w:val="36662276"/>
    <w:rsid w:val="36664FD3"/>
    <w:rsid w:val="36677059"/>
    <w:rsid w:val="366859E7"/>
    <w:rsid w:val="36691B2D"/>
    <w:rsid w:val="366B2C8D"/>
    <w:rsid w:val="366D3E67"/>
    <w:rsid w:val="366E534C"/>
    <w:rsid w:val="366F210B"/>
    <w:rsid w:val="367134E1"/>
    <w:rsid w:val="36716A47"/>
    <w:rsid w:val="36745195"/>
    <w:rsid w:val="3676374D"/>
    <w:rsid w:val="36763D81"/>
    <w:rsid w:val="3676733D"/>
    <w:rsid w:val="367A11D2"/>
    <w:rsid w:val="367B01ED"/>
    <w:rsid w:val="367C4435"/>
    <w:rsid w:val="367C5D69"/>
    <w:rsid w:val="367D350B"/>
    <w:rsid w:val="367E6394"/>
    <w:rsid w:val="368045CB"/>
    <w:rsid w:val="36812553"/>
    <w:rsid w:val="368340BC"/>
    <w:rsid w:val="368816D2"/>
    <w:rsid w:val="36884442"/>
    <w:rsid w:val="368A71F8"/>
    <w:rsid w:val="368C15AB"/>
    <w:rsid w:val="368D3697"/>
    <w:rsid w:val="36963CD6"/>
    <w:rsid w:val="3697304E"/>
    <w:rsid w:val="3699568D"/>
    <w:rsid w:val="369A111C"/>
    <w:rsid w:val="369A3EC3"/>
    <w:rsid w:val="369B7657"/>
    <w:rsid w:val="369E2844"/>
    <w:rsid w:val="369E2CA4"/>
    <w:rsid w:val="369F3CD4"/>
    <w:rsid w:val="36A07813"/>
    <w:rsid w:val="36A302BA"/>
    <w:rsid w:val="36A667E0"/>
    <w:rsid w:val="36AA529F"/>
    <w:rsid w:val="36AD1CF1"/>
    <w:rsid w:val="36AD2EE7"/>
    <w:rsid w:val="36B01F5D"/>
    <w:rsid w:val="36B83D65"/>
    <w:rsid w:val="36B95704"/>
    <w:rsid w:val="36BA2093"/>
    <w:rsid w:val="36BA67AF"/>
    <w:rsid w:val="36BB5A02"/>
    <w:rsid w:val="36BC50FA"/>
    <w:rsid w:val="36BD75CE"/>
    <w:rsid w:val="36BD7B6A"/>
    <w:rsid w:val="36BE50F4"/>
    <w:rsid w:val="36BF23B5"/>
    <w:rsid w:val="36BF64BB"/>
    <w:rsid w:val="36C648F5"/>
    <w:rsid w:val="36CA2570"/>
    <w:rsid w:val="36CA3A99"/>
    <w:rsid w:val="36CB2CF1"/>
    <w:rsid w:val="36CB4432"/>
    <w:rsid w:val="36CC15BF"/>
    <w:rsid w:val="36D14E27"/>
    <w:rsid w:val="36D30B9F"/>
    <w:rsid w:val="36D44917"/>
    <w:rsid w:val="36D45294"/>
    <w:rsid w:val="36D53699"/>
    <w:rsid w:val="36D6162D"/>
    <w:rsid w:val="36D82651"/>
    <w:rsid w:val="36D84407"/>
    <w:rsid w:val="36D848F4"/>
    <w:rsid w:val="36D87F64"/>
    <w:rsid w:val="36DA0180"/>
    <w:rsid w:val="36DC53B7"/>
    <w:rsid w:val="36DF7544"/>
    <w:rsid w:val="36E0506A"/>
    <w:rsid w:val="36E16EBE"/>
    <w:rsid w:val="36E200DA"/>
    <w:rsid w:val="36E52680"/>
    <w:rsid w:val="36E55F46"/>
    <w:rsid w:val="36E6103A"/>
    <w:rsid w:val="36E763F9"/>
    <w:rsid w:val="36E8556C"/>
    <w:rsid w:val="36E903C3"/>
    <w:rsid w:val="36E979BB"/>
    <w:rsid w:val="36EB7735"/>
    <w:rsid w:val="36EE59D9"/>
    <w:rsid w:val="36EE7787"/>
    <w:rsid w:val="36EF1119"/>
    <w:rsid w:val="36EF34FF"/>
    <w:rsid w:val="36F01751"/>
    <w:rsid w:val="36F14A0C"/>
    <w:rsid w:val="36F347AA"/>
    <w:rsid w:val="36F50A18"/>
    <w:rsid w:val="36F87DF0"/>
    <w:rsid w:val="36F9612C"/>
    <w:rsid w:val="36FA0940"/>
    <w:rsid w:val="36FB1DD0"/>
    <w:rsid w:val="36FD34CA"/>
    <w:rsid w:val="36FE6B26"/>
    <w:rsid w:val="36FF3676"/>
    <w:rsid w:val="36FF3B5F"/>
    <w:rsid w:val="370276D6"/>
    <w:rsid w:val="37040B1B"/>
    <w:rsid w:val="37062E2E"/>
    <w:rsid w:val="37076A9B"/>
    <w:rsid w:val="370826D9"/>
    <w:rsid w:val="37083764"/>
    <w:rsid w:val="3709636F"/>
    <w:rsid w:val="37096FD0"/>
    <w:rsid w:val="370C565E"/>
    <w:rsid w:val="37110ED7"/>
    <w:rsid w:val="37117919"/>
    <w:rsid w:val="37120FD8"/>
    <w:rsid w:val="37123024"/>
    <w:rsid w:val="37164F30"/>
    <w:rsid w:val="37180CA8"/>
    <w:rsid w:val="371816ED"/>
    <w:rsid w:val="37186729"/>
    <w:rsid w:val="371A057C"/>
    <w:rsid w:val="371A4A20"/>
    <w:rsid w:val="371B60A2"/>
    <w:rsid w:val="371D0BF6"/>
    <w:rsid w:val="371D1E1A"/>
    <w:rsid w:val="37233414"/>
    <w:rsid w:val="37240FDC"/>
    <w:rsid w:val="37273808"/>
    <w:rsid w:val="37276CA5"/>
    <w:rsid w:val="372B5929"/>
    <w:rsid w:val="37321D6A"/>
    <w:rsid w:val="373331A0"/>
    <w:rsid w:val="37337890"/>
    <w:rsid w:val="3735484D"/>
    <w:rsid w:val="373625B4"/>
    <w:rsid w:val="373741BF"/>
    <w:rsid w:val="37382934"/>
    <w:rsid w:val="373830F8"/>
    <w:rsid w:val="373A0C1E"/>
    <w:rsid w:val="373D289B"/>
    <w:rsid w:val="373F4487"/>
    <w:rsid w:val="37404D66"/>
    <w:rsid w:val="37441933"/>
    <w:rsid w:val="37484DBA"/>
    <w:rsid w:val="3749466E"/>
    <w:rsid w:val="374B0319"/>
    <w:rsid w:val="374B0346"/>
    <w:rsid w:val="374B2DBA"/>
    <w:rsid w:val="374D6E99"/>
    <w:rsid w:val="374D7F37"/>
    <w:rsid w:val="374E3F47"/>
    <w:rsid w:val="374E6F28"/>
    <w:rsid w:val="374F641F"/>
    <w:rsid w:val="37515F68"/>
    <w:rsid w:val="37531398"/>
    <w:rsid w:val="37533DA9"/>
    <w:rsid w:val="375354EA"/>
    <w:rsid w:val="37537F32"/>
    <w:rsid w:val="37553A24"/>
    <w:rsid w:val="37582FDA"/>
    <w:rsid w:val="37586CF5"/>
    <w:rsid w:val="375E6C53"/>
    <w:rsid w:val="37613BAA"/>
    <w:rsid w:val="37621F23"/>
    <w:rsid w:val="37647A49"/>
    <w:rsid w:val="3768454B"/>
    <w:rsid w:val="37684F65"/>
    <w:rsid w:val="376A28C4"/>
    <w:rsid w:val="376C29B8"/>
    <w:rsid w:val="376D78A1"/>
    <w:rsid w:val="376E2676"/>
    <w:rsid w:val="37701082"/>
    <w:rsid w:val="37711BEF"/>
    <w:rsid w:val="377528DC"/>
    <w:rsid w:val="37755D74"/>
    <w:rsid w:val="37773C20"/>
    <w:rsid w:val="37781747"/>
    <w:rsid w:val="3779143F"/>
    <w:rsid w:val="3779149A"/>
    <w:rsid w:val="377A4739"/>
    <w:rsid w:val="377A54BF"/>
    <w:rsid w:val="377C56CA"/>
    <w:rsid w:val="377F3B92"/>
    <w:rsid w:val="378011CC"/>
    <w:rsid w:val="3781407F"/>
    <w:rsid w:val="37816E26"/>
    <w:rsid w:val="3785779C"/>
    <w:rsid w:val="37857C22"/>
    <w:rsid w:val="37895702"/>
    <w:rsid w:val="378B76CC"/>
    <w:rsid w:val="378C4F44"/>
    <w:rsid w:val="378D2097"/>
    <w:rsid w:val="378E072C"/>
    <w:rsid w:val="378E12F9"/>
    <w:rsid w:val="378E6859"/>
    <w:rsid w:val="37911BA5"/>
    <w:rsid w:val="3793576F"/>
    <w:rsid w:val="379412E7"/>
    <w:rsid w:val="37963C65"/>
    <w:rsid w:val="37965C4F"/>
    <w:rsid w:val="379753A2"/>
    <w:rsid w:val="37976B45"/>
    <w:rsid w:val="37984905"/>
    <w:rsid w:val="379851DD"/>
    <w:rsid w:val="379A7C7E"/>
    <w:rsid w:val="379B79CD"/>
    <w:rsid w:val="379C5435"/>
    <w:rsid w:val="379E634E"/>
    <w:rsid w:val="379F223C"/>
    <w:rsid w:val="37A12A4B"/>
    <w:rsid w:val="37A174EA"/>
    <w:rsid w:val="37A23E2F"/>
    <w:rsid w:val="37A367C3"/>
    <w:rsid w:val="37A553DC"/>
    <w:rsid w:val="37A61D2C"/>
    <w:rsid w:val="37A81D9F"/>
    <w:rsid w:val="37A84621"/>
    <w:rsid w:val="37AC3523"/>
    <w:rsid w:val="37AE6F16"/>
    <w:rsid w:val="37B0270A"/>
    <w:rsid w:val="37B13E97"/>
    <w:rsid w:val="37B26A07"/>
    <w:rsid w:val="37B409D1"/>
    <w:rsid w:val="37B75CFC"/>
    <w:rsid w:val="37B931D5"/>
    <w:rsid w:val="37C01999"/>
    <w:rsid w:val="37C07B1C"/>
    <w:rsid w:val="37C10D7C"/>
    <w:rsid w:val="37C14E9C"/>
    <w:rsid w:val="37C36E66"/>
    <w:rsid w:val="37C43263"/>
    <w:rsid w:val="37C443DA"/>
    <w:rsid w:val="37C449D1"/>
    <w:rsid w:val="37C468DF"/>
    <w:rsid w:val="37C8622A"/>
    <w:rsid w:val="37C87031"/>
    <w:rsid w:val="37C97989"/>
    <w:rsid w:val="37CA01F4"/>
    <w:rsid w:val="37CB17CA"/>
    <w:rsid w:val="37D026B9"/>
    <w:rsid w:val="37D0718F"/>
    <w:rsid w:val="37D16B8E"/>
    <w:rsid w:val="37D32B5C"/>
    <w:rsid w:val="37D36C83"/>
    <w:rsid w:val="37D42E21"/>
    <w:rsid w:val="37D50FEE"/>
    <w:rsid w:val="37D5528D"/>
    <w:rsid w:val="37D72911"/>
    <w:rsid w:val="37D93FC1"/>
    <w:rsid w:val="37DA0F0A"/>
    <w:rsid w:val="37DA722C"/>
    <w:rsid w:val="37DB5071"/>
    <w:rsid w:val="37DC7FC7"/>
    <w:rsid w:val="37DE4F22"/>
    <w:rsid w:val="37DE77FC"/>
    <w:rsid w:val="37DF17C6"/>
    <w:rsid w:val="37E1553E"/>
    <w:rsid w:val="37EB3CC7"/>
    <w:rsid w:val="37EF17E7"/>
    <w:rsid w:val="37EF7C5B"/>
    <w:rsid w:val="37F520F7"/>
    <w:rsid w:val="37F6240E"/>
    <w:rsid w:val="37F62926"/>
    <w:rsid w:val="37F6650C"/>
    <w:rsid w:val="37F8482F"/>
    <w:rsid w:val="37F877B5"/>
    <w:rsid w:val="37F963E3"/>
    <w:rsid w:val="37FB444A"/>
    <w:rsid w:val="37FB56A4"/>
    <w:rsid w:val="37FE01FA"/>
    <w:rsid w:val="37FF14F7"/>
    <w:rsid w:val="37FF2F9C"/>
    <w:rsid w:val="38002AE5"/>
    <w:rsid w:val="3800409C"/>
    <w:rsid w:val="38022A43"/>
    <w:rsid w:val="38033706"/>
    <w:rsid w:val="38064FA4"/>
    <w:rsid w:val="38073014"/>
    <w:rsid w:val="38073D08"/>
    <w:rsid w:val="38080D1C"/>
    <w:rsid w:val="38082ACA"/>
    <w:rsid w:val="380B4369"/>
    <w:rsid w:val="380E3DAA"/>
    <w:rsid w:val="38116DCE"/>
    <w:rsid w:val="381274A5"/>
    <w:rsid w:val="38131B4E"/>
    <w:rsid w:val="38135D20"/>
    <w:rsid w:val="381471FC"/>
    <w:rsid w:val="38166F6B"/>
    <w:rsid w:val="38170F5F"/>
    <w:rsid w:val="38172D0E"/>
    <w:rsid w:val="38180898"/>
    <w:rsid w:val="381A3CAD"/>
    <w:rsid w:val="381A7687"/>
    <w:rsid w:val="381D6E01"/>
    <w:rsid w:val="381E5E4A"/>
    <w:rsid w:val="38213B8C"/>
    <w:rsid w:val="38233396"/>
    <w:rsid w:val="38241748"/>
    <w:rsid w:val="38262F51"/>
    <w:rsid w:val="382B0CDD"/>
    <w:rsid w:val="382B67B9"/>
    <w:rsid w:val="383513E6"/>
    <w:rsid w:val="3837445B"/>
    <w:rsid w:val="3837540F"/>
    <w:rsid w:val="3838181B"/>
    <w:rsid w:val="383A69FC"/>
    <w:rsid w:val="383C4522"/>
    <w:rsid w:val="383C70CD"/>
    <w:rsid w:val="383F4FB6"/>
    <w:rsid w:val="38402264"/>
    <w:rsid w:val="38410654"/>
    <w:rsid w:val="38415FDC"/>
    <w:rsid w:val="384864BF"/>
    <w:rsid w:val="384927BA"/>
    <w:rsid w:val="384B29B7"/>
    <w:rsid w:val="384C2104"/>
    <w:rsid w:val="384C64EB"/>
    <w:rsid w:val="384E1216"/>
    <w:rsid w:val="384E39DC"/>
    <w:rsid w:val="38593621"/>
    <w:rsid w:val="385B2CEB"/>
    <w:rsid w:val="385B52F0"/>
    <w:rsid w:val="385B7756"/>
    <w:rsid w:val="385C05BE"/>
    <w:rsid w:val="385D55F1"/>
    <w:rsid w:val="385F0CD8"/>
    <w:rsid w:val="38602906"/>
    <w:rsid w:val="386677F1"/>
    <w:rsid w:val="38673C95"/>
    <w:rsid w:val="38675A43"/>
    <w:rsid w:val="386808FA"/>
    <w:rsid w:val="386C0121"/>
    <w:rsid w:val="387255E2"/>
    <w:rsid w:val="3876046B"/>
    <w:rsid w:val="3876776F"/>
    <w:rsid w:val="387737AC"/>
    <w:rsid w:val="38795776"/>
    <w:rsid w:val="387B02AE"/>
    <w:rsid w:val="387C7B59"/>
    <w:rsid w:val="387D7F16"/>
    <w:rsid w:val="387E0FDF"/>
    <w:rsid w:val="387E2D8D"/>
    <w:rsid w:val="388008B3"/>
    <w:rsid w:val="3881462B"/>
    <w:rsid w:val="38814BD3"/>
    <w:rsid w:val="38835FCA"/>
    <w:rsid w:val="38845301"/>
    <w:rsid w:val="38856139"/>
    <w:rsid w:val="38887CF3"/>
    <w:rsid w:val="38896B4E"/>
    <w:rsid w:val="38896D41"/>
    <w:rsid w:val="388A7F31"/>
    <w:rsid w:val="388C002A"/>
    <w:rsid w:val="388D4D7E"/>
    <w:rsid w:val="388F25E2"/>
    <w:rsid w:val="38911F6C"/>
    <w:rsid w:val="38926838"/>
    <w:rsid w:val="38964FC3"/>
    <w:rsid w:val="389655B6"/>
    <w:rsid w:val="389820A0"/>
    <w:rsid w:val="389A0FAF"/>
    <w:rsid w:val="389B393F"/>
    <w:rsid w:val="389B56ED"/>
    <w:rsid w:val="389C3179"/>
    <w:rsid w:val="389E17EE"/>
    <w:rsid w:val="389E2FF7"/>
    <w:rsid w:val="389E342F"/>
    <w:rsid w:val="38A238FF"/>
    <w:rsid w:val="38A663E7"/>
    <w:rsid w:val="38AC0A11"/>
    <w:rsid w:val="38AD6424"/>
    <w:rsid w:val="38AF2F28"/>
    <w:rsid w:val="38AF3476"/>
    <w:rsid w:val="38B4460C"/>
    <w:rsid w:val="38B56F92"/>
    <w:rsid w:val="38B7712F"/>
    <w:rsid w:val="38B93499"/>
    <w:rsid w:val="38BA6BE8"/>
    <w:rsid w:val="38BA743B"/>
    <w:rsid w:val="38BB7B3D"/>
    <w:rsid w:val="38BD5429"/>
    <w:rsid w:val="38BD5663"/>
    <w:rsid w:val="38BE0CDB"/>
    <w:rsid w:val="38BE13DB"/>
    <w:rsid w:val="38C516E9"/>
    <w:rsid w:val="38C56769"/>
    <w:rsid w:val="38C56C0D"/>
    <w:rsid w:val="38C8225A"/>
    <w:rsid w:val="38CA2E9D"/>
    <w:rsid w:val="38CA4224"/>
    <w:rsid w:val="38CA5F8E"/>
    <w:rsid w:val="38D81DC4"/>
    <w:rsid w:val="38D9778B"/>
    <w:rsid w:val="38DA604A"/>
    <w:rsid w:val="38E3340E"/>
    <w:rsid w:val="38E76B84"/>
    <w:rsid w:val="38E87616"/>
    <w:rsid w:val="38ED15BE"/>
    <w:rsid w:val="38ED4791"/>
    <w:rsid w:val="38ED4A23"/>
    <w:rsid w:val="38ED5C53"/>
    <w:rsid w:val="38EF7C2F"/>
    <w:rsid w:val="38F05D77"/>
    <w:rsid w:val="38F17772"/>
    <w:rsid w:val="38F17A02"/>
    <w:rsid w:val="38F23661"/>
    <w:rsid w:val="38F429E7"/>
    <w:rsid w:val="38F47B30"/>
    <w:rsid w:val="38F55823"/>
    <w:rsid w:val="38F562A5"/>
    <w:rsid w:val="38F566EC"/>
    <w:rsid w:val="38F60B75"/>
    <w:rsid w:val="38F65D26"/>
    <w:rsid w:val="38F82B3F"/>
    <w:rsid w:val="38F85146"/>
    <w:rsid w:val="38FA6DE4"/>
    <w:rsid w:val="38FC1BB2"/>
    <w:rsid w:val="38FD0155"/>
    <w:rsid w:val="38FD3FB5"/>
    <w:rsid w:val="39001DF2"/>
    <w:rsid w:val="39005A1F"/>
    <w:rsid w:val="39033292"/>
    <w:rsid w:val="3904061D"/>
    <w:rsid w:val="39072D82"/>
    <w:rsid w:val="39077C38"/>
    <w:rsid w:val="390908A8"/>
    <w:rsid w:val="390B7A49"/>
    <w:rsid w:val="390D7B86"/>
    <w:rsid w:val="390F4678"/>
    <w:rsid w:val="390F7E89"/>
    <w:rsid w:val="391060DB"/>
    <w:rsid w:val="391536F1"/>
    <w:rsid w:val="391917F2"/>
    <w:rsid w:val="391F477E"/>
    <w:rsid w:val="391F5588"/>
    <w:rsid w:val="39202096"/>
    <w:rsid w:val="3922196A"/>
    <w:rsid w:val="39231DC6"/>
    <w:rsid w:val="39240A54"/>
    <w:rsid w:val="39241B86"/>
    <w:rsid w:val="3924733A"/>
    <w:rsid w:val="392747CC"/>
    <w:rsid w:val="39292CF8"/>
    <w:rsid w:val="3929719C"/>
    <w:rsid w:val="392A001C"/>
    <w:rsid w:val="392A5548"/>
    <w:rsid w:val="392C73F4"/>
    <w:rsid w:val="392E33FF"/>
    <w:rsid w:val="3930729B"/>
    <w:rsid w:val="39311BAD"/>
    <w:rsid w:val="39330ED1"/>
    <w:rsid w:val="39335925"/>
    <w:rsid w:val="393450E2"/>
    <w:rsid w:val="39357B6D"/>
    <w:rsid w:val="39396CB4"/>
    <w:rsid w:val="393C0BCA"/>
    <w:rsid w:val="393D2C48"/>
    <w:rsid w:val="393D53EF"/>
    <w:rsid w:val="39406294"/>
    <w:rsid w:val="39407DC9"/>
    <w:rsid w:val="394175B7"/>
    <w:rsid w:val="39445009"/>
    <w:rsid w:val="3947043B"/>
    <w:rsid w:val="3948754F"/>
    <w:rsid w:val="394D416D"/>
    <w:rsid w:val="39553AED"/>
    <w:rsid w:val="39557F91"/>
    <w:rsid w:val="39561614"/>
    <w:rsid w:val="395A5F90"/>
    <w:rsid w:val="395E1EC2"/>
    <w:rsid w:val="39603161"/>
    <w:rsid w:val="396106F6"/>
    <w:rsid w:val="3962445C"/>
    <w:rsid w:val="39641F82"/>
    <w:rsid w:val="39643D30"/>
    <w:rsid w:val="39644270"/>
    <w:rsid w:val="39644D95"/>
    <w:rsid w:val="39647FE9"/>
    <w:rsid w:val="396B5955"/>
    <w:rsid w:val="396D6D0A"/>
    <w:rsid w:val="396E33EB"/>
    <w:rsid w:val="396F025C"/>
    <w:rsid w:val="39705995"/>
    <w:rsid w:val="3972687A"/>
    <w:rsid w:val="39766971"/>
    <w:rsid w:val="39777AE1"/>
    <w:rsid w:val="39783C80"/>
    <w:rsid w:val="39797D07"/>
    <w:rsid w:val="397A3745"/>
    <w:rsid w:val="397C1E1E"/>
    <w:rsid w:val="397F007B"/>
    <w:rsid w:val="398041A1"/>
    <w:rsid w:val="3980722A"/>
    <w:rsid w:val="39833122"/>
    <w:rsid w:val="3983630E"/>
    <w:rsid w:val="39847402"/>
    <w:rsid w:val="39861EF9"/>
    <w:rsid w:val="398647D6"/>
    <w:rsid w:val="39877995"/>
    <w:rsid w:val="398B750F"/>
    <w:rsid w:val="398C683F"/>
    <w:rsid w:val="398D44FC"/>
    <w:rsid w:val="39910DD9"/>
    <w:rsid w:val="39916AF0"/>
    <w:rsid w:val="39930ABA"/>
    <w:rsid w:val="39934616"/>
    <w:rsid w:val="399830AD"/>
    <w:rsid w:val="399833FA"/>
    <w:rsid w:val="399B34CA"/>
    <w:rsid w:val="399C796E"/>
    <w:rsid w:val="399E53FE"/>
    <w:rsid w:val="39A078A0"/>
    <w:rsid w:val="39A27F0D"/>
    <w:rsid w:val="39A836C1"/>
    <w:rsid w:val="39AE6463"/>
    <w:rsid w:val="39AF61D8"/>
    <w:rsid w:val="39AF656A"/>
    <w:rsid w:val="39B01653"/>
    <w:rsid w:val="39B34182"/>
    <w:rsid w:val="39B4306C"/>
    <w:rsid w:val="39B50A30"/>
    <w:rsid w:val="39B80B16"/>
    <w:rsid w:val="39B95C04"/>
    <w:rsid w:val="39BA1BA2"/>
    <w:rsid w:val="39BC6705"/>
    <w:rsid w:val="39BF3306"/>
    <w:rsid w:val="39C65F0A"/>
    <w:rsid w:val="39C834E2"/>
    <w:rsid w:val="39C864C5"/>
    <w:rsid w:val="39CA622A"/>
    <w:rsid w:val="39CB740D"/>
    <w:rsid w:val="39CF1B0C"/>
    <w:rsid w:val="39D467B8"/>
    <w:rsid w:val="39D569DC"/>
    <w:rsid w:val="39D57E34"/>
    <w:rsid w:val="39D968A0"/>
    <w:rsid w:val="39DA0497"/>
    <w:rsid w:val="39DA282A"/>
    <w:rsid w:val="39DC6679"/>
    <w:rsid w:val="39DD464B"/>
    <w:rsid w:val="39DD5DE7"/>
    <w:rsid w:val="39DF3CFF"/>
    <w:rsid w:val="39E05BC6"/>
    <w:rsid w:val="39E1438F"/>
    <w:rsid w:val="39E1624A"/>
    <w:rsid w:val="39E73B05"/>
    <w:rsid w:val="39E934F2"/>
    <w:rsid w:val="39F02795"/>
    <w:rsid w:val="39F27413"/>
    <w:rsid w:val="39F50E2C"/>
    <w:rsid w:val="39FA26AF"/>
    <w:rsid w:val="39FA2880"/>
    <w:rsid w:val="39FF3BFA"/>
    <w:rsid w:val="3A021F67"/>
    <w:rsid w:val="3A0C109C"/>
    <w:rsid w:val="3A12461D"/>
    <w:rsid w:val="3A127C30"/>
    <w:rsid w:val="3A156E7D"/>
    <w:rsid w:val="3A186706"/>
    <w:rsid w:val="3A190FBF"/>
    <w:rsid w:val="3A1C3049"/>
    <w:rsid w:val="3A1C4631"/>
    <w:rsid w:val="3A1F2C73"/>
    <w:rsid w:val="3A202852"/>
    <w:rsid w:val="3A2133F1"/>
    <w:rsid w:val="3A231E3E"/>
    <w:rsid w:val="3A243B97"/>
    <w:rsid w:val="3A286EDC"/>
    <w:rsid w:val="3A31374A"/>
    <w:rsid w:val="3A3257CF"/>
    <w:rsid w:val="3A340B0B"/>
    <w:rsid w:val="3A351565"/>
    <w:rsid w:val="3A351C27"/>
    <w:rsid w:val="3A3646D2"/>
    <w:rsid w:val="3A383CB2"/>
    <w:rsid w:val="3A3C4CAD"/>
    <w:rsid w:val="3A3C6A5B"/>
    <w:rsid w:val="3A3E0A25"/>
    <w:rsid w:val="3A4060DF"/>
    <w:rsid w:val="3A426B43"/>
    <w:rsid w:val="3A4447B2"/>
    <w:rsid w:val="3A465B2C"/>
    <w:rsid w:val="3A4818A4"/>
    <w:rsid w:val="3A485CA9"/>
    <w:rsid w:val="3A492409"/>
    <w:rsid w:val="3A4A00A8"/>
    <w:rsid w:val="3A4A1178"/>
    <w:rsid w:val="3A4A72A3"/>
    <w:rsid w:val="3A4B4EF0"/>
    <w:rsid w:val="3A4D0C68"/>
    <w:rsid w:val="3A50591E"/>
    <w:rsid w:val="3A52002D"/>
    <w:rsid w:val="3A532C86"/>
    <w:rsid w:val="3A537A35"/>
    <w:rsid w:val="3A5405D4"/>
    <w:rsid w:val="3A540E29"/>
    <w:rsid w:val="3A573895"/>
    <w:rsid w:val="3A59585F"/>
    <w:rsid w:val="3A5E472D"/>
    <w:rsid w:val="3A5E7E93"/>
    <w:rsid w:val="3A5F274A"/>
    <w:rsid w:val="3A5F50F7"/>
    <w:rsid w:val="3A60672A"/>
    <w:rsid w:val="3A606BEE"/>
    <w:rsid w:val="3A60703B"/>
    <w:rsid w:val="3A61085A"/>
    <w:rsid w:val="3A61177C"/>
    <w:rsid w:val="3A633EFE"/>
    <w:rsid w:val="3A6366DE"/>
    <w:rsid w:val="3A6369BA"/>
    <w:rsid w:val="3A655FB2"/>
    <w:rsid w:val="3A6701BF"/>
    <w:rsid w:val="3A68373B"/>
    <w:rsid w:val="3A683CF4"/>
    <w:rsid w:val="3A6A7E5F"/>
    <w:rsid w:val="3A6D4031"/>
    <w:rsid w:val="3A6F27BA"/>
    <w:rsid w:val="3A6F6E31"/>
    <w:rsid w:val="3A712BA9"/>
    <w:rsid w:val="3A726921"/>
    <w:rsid w:val="3A746DAE"/>
    <w:rsid w:val="3A750F66"/>
    <w:rsid w:val="3A751F6D"/>
    <w:rsid w:val="3A766411"/>
    <w:rsid w:val="3A7A7B33"/>
    <w:rsid w:val="3A7E7074"/>
    <w:rsid w:val="3A7F6446"/>
    <w:rsid w:val="3A80103E"/>
    <w:rsid w:val="3A804B9A"/>
    <w:rsid w:val="3A83468A"/>
    <w:rsid w:val="3A836438"/>
    <w:rsid w:val="3A8521B0"/>
    <w:rsid w:val="3A887DC6"/>
    <w:rsid w:val="3A8A2E3E"/>
    <w:rsid w:val="3A8B353F"/>
    <w:rsid w:val="3A922AEF"/>
    <w:rsid w:val="3A940645"/>
    <w:rsid w:val="3A960F1D"/>
    <w:rsid w:val="3A975B5D"/>
    <w:rsid w:val="3A981760"/>
    <w:rsid w:val="3A994B6E"/>
    <w:rsid w:val="3A9B6739"/>
    <w:rsid w:val="3A9B7C26"/>
    <w:rsid w:val="3A9C574C"/>
    <w:rsid w:val="3A9D19CF"/>
    <w:rsid w:val="3A9D2F2C"/>
    <w:rsid w:val="3AA0348E"/>
    <w:rsid w:val="3AA34D2C"/>
    <w:rsid w:val="3AA43493"/>
    <w:rsid w:val="3AA477F1"/>
    <w:rsid w:val="3AA8387C"/>
    <w:rsid w:val="3AA905A6"/>
    <w:rsid w:val="3AAB1C5E"/>
    <w:rsid w:val="3AAD6AC6"/>
    <w:rsid w:val="3AAD7C02"/>
    <w:rsid w:val="3AAE50AC"/>
    <w:rsid w:val="3AAE5142"/>
    <w:rsid w:val="3AB17686"/>
    <w:rsid w:val="3AB31C5D"/>
    <w:rsid w:val="3AB31E12"/>
    <w:rsid w:val="3AB343AB"/>
    <w:rsid w:val="3AB46F3A"/>
    <w:rsid w:val="3AB62162"/>
    <w:rsid w:val="3AB7090A"/>
    <w:rsid w:val="3AB900AC"/>
    <w:rsid w:val="3ABC194A"/>
    <w:rsid w:val="3ABD7EF5"/>
    <w:rsid w:val="3AC37A6B"/>
    <w:rsid w:val="3AC423BF"/>
    <w:rsid w:val="3AC56A51"/>
    <w:rsid w:val="3AC94DA9"/>
    <w:rsid w:val="3ACE6B2C"/>
    <w:rsid w:val="3ACE7FFB"/>
    <w:rsid w:val="3AD07404"/>
    <w:rsid w:val="3AD14283"/>
    <w:rsid w:val="3AD249E7"/>
    <w:rsid w:val="3AD35CDD"/>
    <w:rsid w:val="3AD46C94"/>
    <w:rsid w:val="3AD52BF8"/>
    <w:rsid w:val="3AD74A85"/>
    <w:rsid w:val="3AD841A2"/>
    <w:rsid w:val="3AD849D6"/>
    <w:rsid w:val="3AD85C82"/>
    <w:rsid w:val="3AD9693B"/>
    <w:rsid w:val="3ADB0022"/>
    <w:rsid w:val="3ADB4647"/>
    <w:rsid w:val="3ADB6274"/>
    <w:rsid w:val="3ADB6EFD"/>
    <w:rsid w:val="3ADC631C"/>
    <w:rsid w:val="3ADF6838"/>
    <w:rsid w:val="3ADF71D3"/>
    <w:rsid w:val="3AE11656"/>
    <w:rsid w:val="3AE31E89"/>
    <w:rsid w:val="3AE35149"/>
    <w:rsid w:val="3AE42A27"/>
    <w:rsid w:val="3AE66429"/>
    <w:rsid w:val="3AE8273F"/>
    <w:rsid w:val="3AEA295B"/>
    <w:rsid w:val="3AEA64B7"/>
    <w:rsid w:val="3AEC222F"/>
    <w:rsid w:val="3AEF5E7C"/>
    <w:rsid w:val="3AEF602E"/>
    <w:rsid w:val="3AF15824"/>
    <w:rsid w:val="3AF20837"/>
    <w:rsid w:val="3AFB6C09"/>
    <w:rsid w:val="3AFC62E5"/>
    <w:rsid w:val="3B020F5F"/>
    <w:rsid w:val="3B033335"/>
    <w:rsid w:val="3B0603D8"/>
    <w:rsid w:val="3B0752BB"/>
    <w:rsid w:val="3B0B7708"/>
    <w:rsid w:val="3B0C05A2"/>
    <w:rsid w:val="3B0C28D2"/>
    <w:rsid w:val="3B0C5D64"/>
    <w:rsid w:val="3B0F69DA"/>
    <w:rsid w:val="3B117D1D"/>
    <w:rsid w:val="3B125121"/>
    <w:rsid w:val="3B143CDD"/>
    <w:rsid w:val="3B157003"/>
    <w:rsid w:val="3B181276"/>
    <w:rsid w:val="3B1925BB"/>
    <w:rsid w:val="3B1B3938"/>
    <w:rsid w:val="3B1B59C7"/>
    <w:rsid w:val="3B1C74AC"/>
    <w:rsid w:val="3B1D688D"/>
    <w:rsid w:val="3B1E7ADC"/>
    <w:rsid w:val="3B1F2605"/>
    <w:rsid w:val="3B1F73CB"/>
    <w:rsid w:val="3B2220F5"/>
    <w:rsid w:val="3B225C51"/>
    <w:rsid w:val="3B23389E"/>
    <w:rsid w:val="3B236155"/>
    <w:rsid w:val="3B253993"/>
    <w:rsid w:val="3B255741"/>
    <w:rsid w:val="3B274BA5"/>
    <w:rsid w:val="3B286C5A"/>
    <w:rsid w:val="3B2929B3"/>
    <w:rsid w:val="3B2A71FC"/>
    <w:rsid w:val="3B2B47D3"/>
    <w:rsid w:val="3B2E6E59"/>
    <w:rsid w:val="3B305927"/>
    <w:rsid w:val="3B313D2D"/>
    <w:rsid w:val="3B337E5E"/>
    <w:rsid w:val="3B3572F1"/>
    <w:rsid w:val="3B3616FD"/>
    <w:rsid w:val="3B38059C"/>
    <w:rsid w:val="3B385190"/>
    <w:rsid w:val="3B385475"/>
    <w:rsid w:val="3B3A70B3"/>
    <w:rsid w:val="3B3E0A5D"/>
    <w:rsid w:val="3B415103"/>
    <w:rsid w:val="3B4309FB"/>
    <w:rsid w:val="3B467D00"/>
    <w:rsid w:val="3B4C078F"/>
    <w:rsid w:val="3B4D3158"/>
    <w:rsid w:val="3B501C3D"/>
    <w:rsid w:val="3B516536"/>
    <w:rsid w:val="3B520FAA"/>
    <w:rsid w:val="3B5351C8"/>
    <w:rsid w:val="3B542D8C"/>
    <w:rsid w:val="3B547DD5"/>
    <w:rsid w:val="3B581673"/>
    <w:rsid w:val="3B5833C3"/>
    <w:rsid w:val="3B583D69"/>
    <w:rsid w:val="3B5A363D"/>
    <w:rsid w:val="3B5A4B44"/>
    <w:rsid w:val="3B5B1EBF"/>
    <w:rsid w:val="3B5B73B5"/>
    <w:rsid w:val="3B5F6CB1"/>
    <w:rsid w:val="3B605CF3"/>
    <w:rsid w:val="3B6068E0"/>
    <w:rsid w:val="3B630EF4"/>
    <w:rsid w:val="3B641CDE"/>
    <w:rsid w:val="3B651551"/>
    <w:rsid w:val="3B654B07"/>
    <w:rsid w:val="3B693880"/>
    <w:rsid w:val="3B694F97"/>
    <w:rsid w:val="3B6953A3"/>
    <w:rsid w:val="3B6C15C2"/>
    <w:rsid w:val="3B716DF8"/>
    <w:rsid w:val="3B7346FF"/>
    <w:rsid w:val="3B753CD7"/>
    <w:rsid w:val="3B756C6B"/>
    <w:rsid w:val="3B782EAA"/>
    <w:rsid w:val="3B783AC3"/>
    <w:rsid w:val="3B7C1E01"/>
    <w:rsid w:val="3B7D580F"/>
    <w:rsid w:val="3B7E6550"/>
    <w:rsid w:val="3B7E6C11"/>
    <w:rsid w:val="3B804E7C"/>
    <w:rsid w:val="3B8107CA"/>
    <w:rsid w:val="3B835649"/>
    <w:rsid w:val="3B836A7A"/>
    <w:rsid w:val="3B837FE1"/>
    <w:rsid w:val="3B84690C"/>
    <w:rsid w:val="3B872A81"/>
    <w:rsid w:val="3B8C53DF"/>
    <w:rsid w:val="3B8F1F8C"/>
    <w:rsid w:val="3B914B85"/>
    <w:rsid w:val="3B941857"/>
    <w:rsid w:val="3B954E32"/>
    <w:rsid w:val="3B9823B7"/>
    <w:rsid w:val="3B985F13"/>
    <w:rsid w:val="3B99218B"/>
    <w:rsid w:val="3B9D79CE"/>
    <w:rsid w:val="3B9E0E08"/>
    <w:rsid w:val="3B9E1685"/>
    <w:rsid w:val="3B9F5FB0"/>
    <w:rsid w:val="3BA05CB3"/>
    <w:rsid w:val="3BA07C0E"/>
    <w:rsid w:val="3BA20A6F"/>
    <w:rsid w:val="3BA23236"/>
    <w:rsid w:val="3BA32073"/>
    <w:rsid w:val="3BA50630"/>
    <w:rsid w:val="3BA614BF"/>
    <w:rsid w:val="3BA66882"/>
    <w:rsid w:val="3BAA4638"/>
    <w:rsid w:val="3BAB34BA"/>
    <w:rsid w:val="3BAB3E99"/>
    <w:rsid w:val="3BAB4D14"/>
    <w:rsid w:val="3BAC0F6E"/>
    <w:rsid w:val="3BAD75AB"/>
    <w:rsid w:val="3BAE7611"/>
    <w:rsid w:val="3BB01BF9"/>
    <w:rsid w:val="3BB05953"/>
    <w:rsid w:val="3BB23479"/>
    <w:rsid w:val="3BB23FD8"/>
    <w:rsid w:val="3BB46AFC"/>
    <w:rsid w:val="3BB545D4"/>
    <w:rsid w:val="3BB55065"/>
    <w:rsid w:val="3BB60259"/>
    <w:rsid w:val="3BB6283D"/>
    <w:rsid w:val="3BB64DEA"/>
    <w:rsid w:val="3BB738FF"/>
    <w:rsid w:val="3BB77BFA"/>
    <w:rsid w:val="3BBA232E"/>
    <w:rsid w:val="3BBA3EDB"/>
    <w:rsid w:val="3BBB4275"/>
    <w:rsid w:val="3BBB4756"/>
    <w:rsid w:val="3BBC0A63"/>
    <w:rsid w:val="3BBD3265"/>
    <w:rsid w:val="3BBD508A"/>
    <w:rsid w:val="3BBE68B6"/>
    <w:rsid w:val="3BBF16F2"/>
    <w:rsid w:val="3BC06454"/>
    <w:rsid w:val="3BC1546A"/>
    <w:rsid w:val="3BC33901"/>
    <w:rsid w:val="3BC37254"/>
    <w:rsid w:val="3BC56B64"/>
    <w:rsid w:val="3BC73B35"/>
    <w:rsid w:val="3BC85517"/>
    <w:rsid w:val="3BC907C3"/>
    <w:rsid w:val="3BCF35B7"/>
    <w:rsid w:val="3BCF5A2A"/>
    <w:rsid w:val="3BD11425"/>
    <w:rsid w:val="3BD2044D"/>
    <w:rsid w:val="3BD42201"/>
    <w:rsid w:val="3BD827B4"/>
    <w:rsid w:val="3BDC22A4"/>
    <w:rsid w:val="3BDC322A"/>
    <w:rsid w:val="3BDC6B40"/>
    <w:rsid w:val="3BDD601C"/>
    <w:rsid w:val="3BDE6333"/>
    <w:rsid w:val="3BE2277D"/>
    <w:rsid w:val="3BE23822"/>
    <w:rsid w:val="3BE56A31"/>
    <w:rsid w:val="3BE70C49"/>
    <w:rsid w:val="3BE837B4"/>
    <w:rsid w:val="3BE949C1"/>
    <w:rsid w:val="3BED0A07"/>
    <w:rsid w:val="3BED5E65"/>
    <w:rsid w:val="3BF25A29"/>
    <w:rsid w:val="3BF75330"/>
    <w:rsid w:val="3BFC5EF5"/>
    <w:rsid w:val="3BFF1AA8"/>
    <w:rsid w:val="3C007AC4"/>
    <w:rsid w:val="3C027E36"/>
    <w:rsid w:val="3C033CD5"/>
    <w:rsid w:val="3C060031"/>
    <w:rsid w:val="3C073099"/>
    <w:rsid w:val="3C0A2B23"/>
    <w:rsid w:val="3C0D6901"/>
    <w:rsid w:val="3C1001A0"/>
    <w:rsid w:val="3C100ED6"/>
    <w:rsid w:val="3C1057FB"/>
    <w:rsid w:val="3C1067F4"/>
    <w:rsid w:val="3C120CA5"/>
    <w:rsid w:val="3C13747B"/>
    <w:rsid w:val="3C16379A"/>
    <w:rsid w:val="3C17152E"/>
    <w:rsid w:val="3C174363"/>
    <w:rsid w:val="3C177780"/>
    <w:rsid w:val="3C1F6635"/>
    <w:rsid w:val="3C2105FF"/>
    <w:rsid w:val="3C225D0A"/>
    <w:rsid w:val="3C243C4B"/>
    <w:rsid w:val="3C254B00"/>
    <w:rsid w:val="3C2B4041"/>
    <w:rsid w:val="3C2C71A5"/>
    <w:rsid w:val="3C2D447E"/>
    <w:rsid w:val="3C317A73"/>
    <w:rsid w:val="3C335C3C"/>
    <w:rsid w:val="3C371BD0"/>
    <w:rsid w:val="3C3A6FCB"/>
    <w:rsid w:val="3C3D6F3F"/>
    <w:rsid w:val="3C406CD7"/>
    <w:rsid w:val="3C4270A9"/>
    <w:rsid w:val="3C430575"/>
    <w:rsid w:val="3C441DC2"/>
    <w:rsid w:val="3C464312"/>
    <w:rsid w:val="3C46700B"/>
    <w:rsid w:val="3C4816E7"/>
    <w:rsid w:val="3C485B8B"/>
    <w:rsid w:val="3C4B2A92"/>
    <w:rsid w:val="3C4D4F50"/>
    <w:rsid w:val="3C541BBE"/>
    <w:rsid w:val="3C541E0D"/>
    <w:rsid w:val="3C541F51"/>
    <w:rsid w:val="3C577D2E"/>
    <w:rsid w:val="3C585C08"/>
    <w:rsid w:val="3C5964A8"/>
    <w:rsid w:val="3C5C3FC2"/>
    <w:rsid w:val="3C6329C5"/>
    <w:rsid w:val="3C650B22"/>
    <w:rsid w:val="3C683C77"/>
    <w:rsid w:val="3C686A41"/>
    <w:rsid w:val="3C6A162C"/>
    <w:rsid w:val="3C6A3E25"/>
    <w:rsid w:val="3C6B3338"/>
    <w:rsid w:val="3C6B35D0"/>
    <w:rsid w:val="3C6B3628"/>
    <w:rsid w:val="3C6C2C0E"/>
    <w:rsid w:val="3C6C772B"/>
    <w:rsid w:val="3C6D4580"/>
    <w:rsid w:val="3C6E4EC6"/>
    <w:rsid w:val="3C6F5700"/>
    <w:rsid w:val="3C720E5A"/>
    <w:rsid w:val="3C7324DC"/>
    <w:rsid w:val="3C740F4F"/>
    <w:rsid w:val="3C7539B7"/>
    <w:rsid w:val="3C756198"/>
    <w:rsid w:val="3C793F97"/>
    <w:rsid w:val="3C7A703A"/>
    <w:rsid w:val="3C7B3158"/>
    <w:rsid w:val="3C7C5835"/>
    <w:rsid w:val="3C7E77FF"/>
    <w:rsid w:val="3C7F0E81"/>
    <w:rsid w:val="3C7F69BA"/>
    <w:rsid w:val="3C805325"/>
    <w:rsid w:val="3C8223B5"/>
    <w:rsid w:val="3C8367CC"/>
    <w:rsid w:val="3C842140"/>
    <w:rsid w:val="3C842B12"/>
    <w:rsid w:val="3C856409"/>
    <w:rsid w:val="3C862210"/>
    <w:rsid w:val="3C863640"/>
    <w:rsid w:val="3C86517E"/>
    <w:rsid w:val="3C865DF7"/>
    <w:rsid w:val="3C8B7826"/>
    <w:rsid w:val="3C8D4FC7"/>
    <w:rsid w:val="3C8E11C8"/>
    <w:rsid w:val="3C8E74C0"/>
    <w:rsid w:val="3C9361D9"/>
    <w:rsid w:val="3C955537"/>
    <w:rsid w:val="3C9568F7"/>
    <w:rsid w:val="3C982CA7"/>
    <w:rsid w:val="3C9A513B"/>
    <w:rsid w:val="3C9C5234"/>
    <w:rsid w:val="3C9C66B4"/>
    <w:rsid w:val="3CA14805"/>
    <w:rsid w:val="3CA16D0C"/>
    <w:rsid w:val="3CA202DF"/>
    <w:rsid w:val="3CA36517"/>
    <w:rsid w:val="3CA60B04"/>
    <w:rsid w:val="3CA62023"/>
    <w:rsid w:val="3CA809E1"/>
    <w:rsid w:val="3CA97838"/>
    <w:rsid w:val="3CAA6595"/>
    <w:rsid w:val="3CAD1E92"/>
    <w:rsid w:val="3CAE7391"/>
    <w:rsid w:val="3CB123E6"/>
    <w:rsid w:val="3CB15F29"/>
    <w:rsid w:val="3CB533D6"/>
    <w:rsid w:val="3CB7686D"/>
    <w:rsid w:val="3CBA255F"/>
    <w:rsid w:val="3CBA4092"/>
    <w:rsid w:val="3CBB2900"/>
    <w:rsid w:val="3CBC3E83"/>
    <w:rsid w:val="3CBC5CAE"/>
    <w:rsid w:val="3CBC6F89"/>
    <w:rsid w:val="3CC33464"/>
    <w:rsid w:val="3CC45B80"/>
    <w:rsid w:val="3CC626D7"/>
    <w:rsid w:val="3CC82828"/>
    <w:rsid w:val="3CCA2A44"/>
    <w:rsid w:val="3CCA428F"/>
    <w:rsid w:val="3CCB2319"/>
    <w:rsid w:val="3CCC7305"/>
    <w:rsid w:val="3CD00846"/>
    <w:rsid w:val="3CD32E13"/>
    <w:rsid w:val="3CD73725"/>
    <w:rsid w:val="3CD94A35"/>
    <w:rsid w:val="3CDB7754"/>
    <w:rsid w:val="3CE10A05"/>
    <w:rsid w:val="3CE60981"/>
    <w:rsid w:val="3CE753A4"/>
    <w:rsid w:val="3CE9090E"/>
    <w:rsid w:val="3CED228F"/>
    <w:rsid w:val="3CEF4B43"/>
    <w:rsid w:val="3CF33D49"/>
    <w:rsid w:val="3CF4361D"/>
    <w:rsid w:val="3CFE0D79"/>
    <w:rsid w:val="3CFF178B"/>
    <w:rsid w:val="3D023F8C"/>
    <w:rsid w:val="3D057007"/>
    <w:rsid w:val="3D06469E"/>
    <w:rsid w:val="3D0B6BD5"/>
    <w:rsid w:val="3D0C064B"/>
    <w:rsid w:val="3D0F786D"/>
    <w:rsid w:val="3D125759"/>
    <w:rsid w:val="3D1268B1"/>
    <w:rsid w:val="3D141F11"/>
    <w:rsid w:val="3D143AEE"/>
    <w:rsid w:val="3D165E8C"/>
    <w:rsid w:val="3D1837B0"/>
    <w:rsid w:val="3D194358"/>
    <w:rsid w:val="3D1A293F"/>
    <w:rsid w:val="3D1C3055"/>
    <w:rsid w:val="3D1C4922"/>
    <w:rsid w:val="3D1E68EC"/>
    <w:rsid w:val="3D204412"/>
    <w:rsid w:val="3D206791"/>
    <w:rsid w:val="3D211F38"/>
    <w:rsid w:val="3D22018A"/>
    <w:rsid w:val="3D235CB1"/>
    <w:rsid w:val="3D2415AC"/>
    <w:rsid w:val="3D276890"/>
    <w:rsid w:val="3D2C5F0E"/>
    <w:rsid w:val="3D2D341C"/>
    <w:rsid w:val="3D2E4D81"/>
    <w:rsid w:val="3D2F0AF9"/>
    <w:rsid w:val="3D300B58"/>
    <w:rsid w:val="3D324BB7"/>
    <w:rsid w:val="3D332F95"/>
    <w:rsid w:val="3D333619"/>
    <w:rsid w:val="3D37175C"/>
    <w:rsid w:val="3D3777C8"/>
    <w:rsid w:val="3D3A5D6D"/>
    <w:rsid w:val="3D3A778A"/>
    <w:rsid w:val="3D3B749E"/>
    <w:rsid w:val="3D3E7FAC"/>
    <w:rsid w:val="3D3F7442"/>
    <w:rsid w:val="3D422253"/>
    <w:rsid w:val="3D451162"/>
    <w:rsid w:val="3D464256"/>
    <w:rsid w:val="3D4B2926"/>
    <w:rsid w:val="3D4C5207"/>
    <w:rsid w:val="3D4E71D1"/>
    <w:rsid w:val="3D532B6D"/>
    <w:rsid w:val="3D540560"/>
    <w:rsid w:val="3D566086"/>
    <w:rsid w:val="3D5A3DC8"/>
    <w:rsid w:val="3D5B369C"/>
    <w:rsid w:val="3D5C3A0F"/>
    <w:rsid w:val="3D5D52E5"/>
    <w:rsid w:val="3D606F05"/>
    <w:rsid w:val="3D6407A3"/>
    <w:rsid w:val="3D6476A8"/>
    <w:rsid w:val="3D65276D"/>
    <w:rsid w:val="3D6632CE"/>
    <w:rsid w:val="3D6937CD"/>
    <w:rsid w:val="3D69646F"/>
    <w:rsid w:val="3D6A38DF"/>
    <w:rsid w:val="3D714C6E"/>
    <w:rsid w:val="3D72217D"/>
    <w:rsid w:val="3D7310BF"/>
    <w:rsid w:val="3D734E8A"/>
    <w:rsid w:val="3D79028A"/>
    <w:rsid w:val="3D791D75"/>
    <w:rsid w:val="3D7977B7"/>
    <w:rsid w:val="3D7A6218"/>
    <w:rsid w:val="3D7B5AED"/>
    <w:rsid w:val="3D7B7AB5"/>
    <w:rsid w:val="3D7C34EE"/>
    <w:rsid w:val="3D7F382F"/>
    <w:rsid w:val="3D801355"/>
    <w:rsid w:val="3D802027"/>
    <w:rsid w:val="3D816779"/>
    <w:rsid w:val="3D85757B"/>
    <w:rsid w:val="3D873749"/>
    <w:rsid w:val="3D874491"/>
    <w:rsid w:val="3D8B49A9"/>
    <w:rsid w:val="3D8B718C"/>
    <w:rsid w:val="3D8C7CFA"/>
    <w:rsid w:val="3D8D3E1A"/>
    <w:rsid w:val="3D8E3A72"/>
    <w:rsid w:val="3D8F4C75"/>
    <w:rsid w:val="3D915310"/>
    <w:rsid w:val="3D9406C6"/>
    <w:rsid w:val="3D970020"/>
    <w:rsid w:val="3D9C33D4"/>
    <w:rsid w:val="3D9D1F07"/>
    <w:rsid w:val="3D9D3CB5"/>
    <w:rsid w:val="3DA037A5"/>
    <w:rsid w:val="3DA27781"/>
    <w:rsid w:val="3DA6012C"/>
    <w:rsid w:val="3DA75A55"/>
    <w:rsid w:val="3DA77592"/>
    <w:rsid w:val="3DA81B6D"/>
    <w:rsid w:val="3DAB1E38"/>
    <w:rsid w:val="3DAC5CA6"/>
    <w:rsid w:val="3DAC6CE1"/>
    <w:rsid w:val="3DAE3153"/>
    <w:rsid w:val="3DB06CBA"/>
    <w:rsid w:val="3DB459CA"/>
    <w:rsid w:val="3DB52051"/>
    <w:rsid w:val="3DB673CB"/>
    <w:rsid w:val="3DBA6615"/>
    <w:rsid w:val="3DBB413B"/>
    <w:rsid w:val="3DBF00CF"/>
    <w:rsid w:val="3DC24C44"/>
    <w:rsid w:val="3DC6023A"/>
    <w:rsid w:val="3DC63261"/>
    <w:rsid w:val="3DC96858"/>
    <w:rsid w:val="3DCC00F6"/>
    <w:rsid w:val="3DCC606F"/>
    <w:rsid w:val="3DCC6348"/>
    <w:rsid w:val="3DD376D7"/>
    <w:rsid w:val="3DD516A1"/>
    <w:rsid w:val="3DD6576A"/>
    <w:rsid w:val="3DD86A9B"/>
    <w:rsid w:val="3DDA2813"/>
    <w:rsid w:val="3DE019AF"/>
    <w:rsid w:val="3DE03515"/>
    <w:rsid w:val="3DE23776"/>
    <w:rsid w:val="3DE52903"/>
    <w:rsid w:val="3DE63595"/>
    <w:rsid w:val="3DE64192"/>
    <w:rsid w:val="3DE72818"/>
    <w:rsid w:val="3DE90CA8"/>
    <w:rsid w:val="3DEC4562"/>
    <w:rsid w:val="3DEE4511"/>
    <w:rsid w:val="3DF02037"/>
    <w:rsid w:val="3DF021BA"/>
    <w:rsid w:val="3DF064DB"/>
    <w:rsid w:val="3DF16E9D"/>
    <w:rsid w:val="3DF32DF4"/>
    <w:rsid w:val="3DF47BC8"/>
    <w:rsid w:val="3DF5589F"/>
    <w:rsid w:val="3DF7627D"/>
    <w:rsid w:val="3DF777C1"/>
    <w:rsid w:val="3DF77869"/>
    <w:rsid w:val="3DF95DAC"/>
    <w:rsid w:val="3DFA4FA7"/>
    <w:rsid w:val="3DFB326E"/>
    <w:rsid w:val="3DFD1951"/>
    <w:rsid w:val="3DFD4754"/>
    <w:rsid w:val="3DFE1172"/>
    <w:rsid w:val="3DFF04CC"/>
    <w:rsid w:val="3DFF6034"/>
    <w:rsid w:val="3E047890"/>
    <w:rsid w:val="3E103980"/>
    <w:rsid w:val="3E11707D"/>
    <w:rsid w:val="3E1201FF"/>
    <w:rsid w:val="3E120A87"/>
    <w:rsid w:val="3E154F6C"/>
    <w:rsid w:val="3E187D3B"/>
    <w:rsid w:val="3E1A6989"/>
    <w:rsid w:val="3E1A7FF9"/>
    <w:rsid w:val="3E1D0952"/>
    <w:rsid w:val="3E1D6BA4"/>
    <w:rsid w:val="3E23065E"/>
    <w:rsid w:val="3E247F32"/>
    <w:rsid w:val="3E2605BE"/>
    <w:rsid w:val="3E261EFC"/>
    <w:rsid w:val="3E281D66"/>
    <w:rsid w:val="3E2B1CC9"/>
    <w:rsid w:val="3E2B306F"/>
    <w:rsid w:val="3E2B7462"/>
    <w:rsid w:val="3E2D328B"/>
    <w:rsid w:val="3E2F0CFE"/>
    <w:rsid w:val="3E2F6F09"/>
    <w:rsid w:val="3E364197"/>
    <w:rsid w:val="3E377C66"/>
    <w:rsid w:val="3E385855"/>
    <w:rsid w:val="3E3B76FC"/>
    <w:rsid w:val="3E3C34CE"/>
    <w:rsid w:val="3E3E1CCA"/>
    <w:rsid w:val="3E3F2FBE"/>
    <w:rsid w:val="3E4203B8"/>
    <w:rsid w:val="3E424D9F"/>
    <w:rsid w:val="3E444130"/>
    <w:rsid w:val="3E46150A"/>
    <w:rsid w:val="3E4811F1"/>
    <w:rsid w:val="3E481343"/>
    <w:rsid w:val="3E4D33B6"/>
    <w:rsid w:val="3E4F01C5"/>
    <w:rsid w:val="3E501DE2"/>
    <w:rsid w:val="3E5720B6"/>
    <w:rsid w:val="3E573ADE"/>
    <w:rsid w:val="3E5B221B"/>
    <w:rsid w:val="3E5E3444"/>
    <w:rsid w:val="3E611186"/>
    <w:rsid w:val="3E6134D9"/>
    <w:rsid w:val="3E6447D3"/>
    <w:rsid w:val="3E66679D"/>
    <w:rsid w:val="3E6673A8"/>
    <w:rsid w:val="3E667A57"/>
    <w:rsid w:val="3E682515"/>
    <w:rsid w:val="3E693B97"/>
    <w:rsid w:val="3E6D18D9"/>
    <w:rsid w:val="3E6E11AD"/>
    <w:rsid w:val="3E6F60C9"/>
    <w:rsid w:val="3E703177"/>
    <w:rsid w:val="3E706473"/>
    <w:rsid w:val="3E720C9E"/>
    <w:rsid w:val="3E722D1D"/>
    <w:rsid w:val="3E723F89"/>
    <w:rsid w:val="3E734A16"/>
    <w:rsid w:val="3E74194F"/>
    <w:rsid w:val="3E754715"/>
    <w:rsid w:val="3E7A6362"/>
    <w:rsid w:val="3E7B713E"/>
    <w:rsid w:val="3E7F160D"/>
    <w:rsid w:val="3E7F2C79"/>
    <w:rsid w:val="3E824F32"/>
    <w:rsid w:val="3E831FB7"/>
    <w:rsid w:val="3E86735F"/>
    <w:rsid w:val="3E895FE7"/>
    <w:rsid w:val="3E8B1D5F"/>
    <w:rsid w:val="3E8E7304"/>
    <w:rsid w:val="3E900150"/>
    <w:rsid w:val="3E90381A"/>
    <w:rsid w:val="3E9230EE"/>
    <w:rsid w:val="3E923EA5"/>
    <w:rsid w:val="3E944C27"/>
    <w:rsid w:val="3E962C89"/>
    <w:rsid w:val="3E970704"/>
    <w:rsid w:val="3E970CEA"/>
    <w:rsid w:val="3E971F32"/>
    <w:rsid w:val="3E986179"/>
    <w:rsid w:val="3E987A56"/>
    <w:rsid w:val="3E99447C"/>
    <w:rsid w:val="3E9C33B9"/>
    <w:rsid w:val="3E9E213C"/>
    <w:rsid w:val="3E9F1D3A"/>
    <w:rsid w:val="3EA41B2F"/>
    <w:rsid w:val="3EA60A01"/>
    <w:rsid w:val="3EA80B63"/>
    <w:rsid w:val="3EA846BF"/>
    <w:rsid w:val="3EA90437"/>
    <w:rsid w:val="3EA9290C"/>
    <w:rsid w:val="3EAB3319"/>
    <w:rsid w:val="3EAD3381"/>
    <w:rsid w:val="3EAD4D9F"/>
    <w:rsid w:val="3EAE162B"/>
    <w:rsid w:val="3EAF1EF2"/>
    <w:rsid w:val="3EB70DA6"/>
    <w:rsid w:val="3EB76D31"/>
    <w:rsid w:val="3EBA2645"/>
    <w:rsid w:val="3EBD34B2"/>
    <w:rsid w:val="3EBE0387"/>
    <w:rsid w:val="3EBF3856"/>
    <w:rsid w:val="3EC84D62"/>
    <w:rsid w:val="3ECA21BA"/>
    <w:rsid w:val="3ECC295E"/>
    <w:rsid w:val="3ECD30E8"/>
    <w:rsid w:val="3ECE7988"/>
    <w:rsid w:val="3ED03C16"/>
    <w:rsid w:val="3ED454B4"/>
    <w:rsid w:val="3ED656D0"/>
    <w:rsid w:val="3ED71449"/>
    <w:rsid w:val="3EDD3F6D"/>
    <w:rsid w:val="3EDF71CC"/>
    <w:rsid w:val="3EE12A6E"/>
    <w:rsid w:val="3EE45A19"/>
    <w:rsid w:val="3EE60D02"/>
    <w:rsid w:val="3EE6343A"/>
    <w:rsid w:val="3EED47C8"/>
    <w:rsid w:val="3EED76A5"/>
    <w:rsid w:val="3EEE26B9"/>
    <w:rsid w:val="3EEF6792"/>
    <w:rsid w:val="3EF06066"/>
    <w:rsid w:val="3EF137C2"/>
    <w:rsid w:val="3EF204E7"/>
    <w:rsid w:val="3EF26282"/>
    <w:rsid w:val="3EF34CDE"/>
    <w:rsid w:val="3EF63E67"/>
    <w:rsid w:val="3EF67B21"/>
    <w:rsid w:val="3EF773F5"/>
    <w:rsid w:val="3EFB0C93"/>
    <w:rsid w:val="3EFB5260"/>
    <w:rsid w:val="3EFE0783"/>
    <w:rsid w:val="3F0365C7"/>
    <w:rsid w:val="3F041198"/>
    <w:rsid w:val="3F12422F"/>
    <w:rsid w:val="3F125FDD"/>
    <w:rsid w:val="3F160DD8"/>
    <w:rsid w:val="3F161F71"/>
    <w:rsid w:val="3F171845"/>
    <w:rsid w:val="3F181B2A"/>
    <w:rsid w:val="3F1A38CA"/>
    <w:rsid w:val="3F1B10AF"/>
    <w:rsid w:val="3F1D32FF"/>
    <w:rsid w:val="3F1E6D0D"/>
    <w:rsid w:val="3F204B9E"/>
    <w:rsid w:val="3F227DAE"/>
    <w:rsid w:val="3F2301EA"/>
    <w:rsid w:val="3F2350B4"/>
    <w:rsid w:val="3F272DF1"/>
    <w:rsid w:val="3F275F2C"/>
    <w:rsid w:val="3F2A5A1C"/>
    <w:rsid w:val="3F2B1159"/>
    <w:rsid w:val="3F2D2E17"/>
    <w:rsid w:val="3F312907"/>
    <w:rsid w:val="3F3423F7"/>
    <w:rsid w:val="3F3441A5"/>
    <w:rsid w:val="3F3643C1"/>
    <w:rsid w:val="3F3932B2"/>
    <w:rsid w:val="3F3A1267"/>
    <w:rsid w:val="3F3B19D7"/>
    <w:rsid w:val="3F3D6E81"/>
    <w:rsid w:val="3F3E27B9"/>
    <w:rsid w:val="3F410EA5"/>
    <w:rsid w:val="3F422D66"/>
    <w:rsid w:val="3F43232B"/>
    <w:rsid w:val="3F442767"/>
    <w:rsid w:val="3F482E9A"/>
    <w:rsid w:val="3F4A5324"/>
    <w:rsid w:val="3F4D3512"/>
    <w:rsid w:val="3F4F5483"/>
    <w:rsid w:val="3F504B3F"/>
    <w:rsid w:val="3F5076D4"/>
    <w:rsid w:val="3F526E25"/>
    <w:rsid w:val="3F5860E5"/>
    <w:rsid w:val="3F586C61"/>
    <w:rsid w:val="3F5900B0"/>
    <w:rsid w:val="3F5C1352"/>
    <w:rsid w:val="3F5C2084"/>
    <w:rsid w:val="3F5C54AA"/>
    <w:rsid w:val="3F5D7549"/>
    <w:rsid w:val="3F5E7474"/>
    <w:rsid w:val="3F614776"/>
    <w:rsid w:val="3F663E5C"/>
    <w:rsid w:val="3F667183"/>
    <w:rsid w:val="3F686569"/>
    <w:rsid w:val="3F6902F3"/>
    <w:rsid w:val="3F6B169A"/>
    <w:rsid w:val="3F6B7328"/>
    <w:rsid w:val="3F6C7DE3"/>
    <w:rsid w:val="3F6D1149"/>
    <w:rsid w:val="3F6F342F"/>
    <w:rsid w:val="3F6F6993"/>
    <w:rsid w:val="3F707636"/>
    <w:rsid w:val="3F713229"/>
    <w:rsid w:val="3F750D32"/>
    <w:rsid w:val="3F786788"/>
    <w:rsid w:val="3F7B2E16"/>
    <w:rsid w:val="3F7C4554"/>
    <w:rsid w:val="3F7F7B16"/>
    <w:rsid w:val="3F827606"/>
    <w:rsid w:val="3F827A5D"/>
    <w:rsid w:val="3F84512C"/>
    <w:rsid w:val="3F85289A"/>
    <w:rsid w:val="3F85576B"/>
    <w:rsid w:val="3F870779"/>
    <w:rsid w:val="3F887A43"/>
    <w:rsid w:val="3F8B3807"/>
    <w:rsid w:val="3F8B7BCB"/>
    <w:rsid w:val="3F8C0B0F"/>
    <w:rsid w:val="3F8C3FE1"/>
    <w:rsid w:val="3F8F7490"/>
    <w:rsid w:val="3F931DD9"/>
    <w:rsid w:val="3F964694"/>
    <w:rsid w:val="3F966D63"/>
    <w:rsid w:val="3F9B6F7B"/>
    <w:rsid w:val="3F9B7174"/>
    <w:rsid w:val="3F9C0604"/>
    <w:rsid w:val="3F9D515F"/>
    <w:rsid w:val="3F9D61EE"/>
    <w:rsid w:val="3F9F5709"/>
    <w:rsid w:val="3FA0645E"/>
    <w:rsid w:val="3FA267B8"/>
    <w:rsid w:val="3FA43E50"/>
    <w:rsid w:val="3FA55765"/>
    <w:rsid w:val="3FA71126"/>
    <w:rsid w:val="3FA71921"/>
    <w:rsid w:val="3FA806EF"/>
    <w:rsid w:val="3FAC4F31"/>
    <w:rsid w:val="3FAD5DE8"/>
    <w:rsid w:val="3FB157F6"/>
    <w:rsid w:val="3FB31225"/>
    <w:rsid w:val="3FB631DF"/>
    <w:rsid w:val="3FB778B9"/>
    <w:rsid w:val="3FB91D30"/>
    <w:rsid w:val="3FBB578F"/>
    <w:rsid w:val="3FBF43B6"/>
    <w:rsid w:val="3FC03C8B"/>
    <w:rsid w:val="3FC1097F"/>
    <w:rsid w:val="3FC17278"/>
    <w:rsid w:val="3FC25C55"/>
    <w:rsid w:val="3FC4377B"/>
    <w:rsid w:val="3FC94592"/>
    <w:rsid w:val="3FCC22BC"/>
    <w:rsid w:val="3FCD52B6"/>
    <w:rsid w:val="3FD140EA"/>
    <w:rsid w:val="3FD15131"/>
    <w:rsid w:val="3FD17C46"/>
    <w:rsid w:val="3FD64EFF"/>
    <w:rsid w:val="3FD76CD2"/>
    <w:rsid w:val="3FE060DB"/>
    <w:rsid w:val="3FE10873"/>
    <w:rsid w:val="3FE200A5"/>
    <w:rsid w:val="3FE21909"/>
    <w:rsid w:val="3FE6131A"/>
    <w:rsid w:val="3FE91814"/>
    <w:rsid w:val="3FEA5477"/>
    <w:rsid w:val="3FEC2CD2"/>
    <w:rsid w:val="3FEC396F"/>
    <w:rsid w:val="3FEC558C"/>
    <w:rsid w:val="3FF17F6E"/>
    <w:rsid w:val="3FF35E0E"/>
    <w:rsid w:val="3FF37CB5"/>
    <w:rsid w:val="3FF97FC1"/>
    <w:rsid w:val="3FFA193D"/>
    <w:rsid w:val="3FFA703F"/>
    <w:rsid w:val="3FFD4EDF"/>
    <w:rsid w:val="3FFE7A4F"/>
    <w:rsid w:val="4000052B"/>
    <w:rsid w:val="40014D92"/>
    <w:rsid w:val="40041DC9"/>
    <w:rsid w:val="4004557B"/>
    <w:rsid w:val="40072451"/>
    <w:rsid w:val="40073668"/>
    <w:rsid w:val="40091C75"/>
    <w:rsid w:val="400A7A73"/>
    <w:rsid w:val="400E0926"/>
    <w:rsid w:val="400E3A6F"/>
    <w:rsid w:val="400E49F6"/>
    <w:rsid w:val="401144E6"/>
    <w:rsid w:val="4013025E"/>
    <w:rsid w:val="40181C56"/>
    <w:rsid w:val="4019217C"/>
    <w:rsid w:val="401A060A"/>
    <w:rsid w:val="401F6C03"/>
    <w:rsid w:val="40210BCD"/>
    <w:rsid w:val="40215B26"/>
    <w:rsid w:val="40216A50"/>
    <w:rsid w:val="4024246B"/>
    <w:rsid w:val="40254369"/>
    <w:rsid w:val="40267F92"/>
    <w:rsid w:val="402B44C3"/>
    <w:rsid w:val="402C42AF"/>
    <w:rsid w:val="402D0DF6"/>
    <w:rsid w:val="402D7572"/>
    <w:rsid w:val="402E5098"/>
    <w:rsid w:val="403121EB"/>
    <w:rsid w:val="4033445D"/>
    <w:rsid w:val="403711EA"/>
    <w:rsid w:val="403A3A3D"/>
    <w:rsid w:val="403C0D10"/>
    <w:rsid w:val="40411699"/>
    <w:rsid w:val="4041301D"/>
    <w:rsid w:val="4042436F"/>
    <w:rsid w:val="4044739A"/>
    <w:rsid w:val="40511C5E"/>
    <w:rsid w:val="40512B2E"/>
    <w:rsid w:val="405363C6"/>
    <w:rsid w:val="4054703C"/>
    <w:rsid w:val="405729E4"/>
    <w:rsid w:val="405A7836"/>
    <w:rsid w:val="405B1F5D"/>
    <w:rsid w:val="405B296A"/>
    <w:rsid w:val="405C1C05"/>
    <w:rsid w:val="405C6D27"/>
    <w:rsid w:val="40612D9E"/>
    <w:rsid w:val="406250BB"/>
    <w:rsid w:val="40683E84"/>
    <w:rsid w:val="4069269E"/>
    <w:rsid w:val="406A21FA"/>
    <w:rsid w:val="406E1939"/>
    <w:rsid w:val="406E35C7"/>
    <w:rsid w:val="406E7B8B"/>
    <w:rsid w:val="407231D7"/>
    <w:rsid w:val="40731A52"/>
    <w:rsid w:val="40742D5C"/>
    <w:rsid w:val="40756176"/>
    <w:rsid w:val="407707ED"/>
    <w:rsid w:val="40774501"/>
    <w:rsid w:val="407927B7"/>
    <w:rsid w:val="407A71DE"/>
    <w:rsid w:val="407C4056"/>
    <w:rsid w:val="407D3A62"/>
    <w:rsid w:val="407F60FD"/>
    <w:rsid w:val="407F76A2"/>
    <w:rsid w:val="4081166C"/>
    <w:rsid w:val="408432DC"/>
    <w:rsid w:val="40850CB2"/>
    <w:rsid w:val="40860A30"/>
    <w:rsid w:val="408847A8"/>
    <w:rsid w:val="408A2332"/>
    <w:rsid w:val="408E3E1E"/>
    <w:rsid w:val="408F1FDB"/>
    <w:rsid w:val="409009F6"/>
    <w:rsid w:val="4090365D"/>
    <w:rsid w:val="40920B61"/>
    <w:rsid w:val="40972C3D"/>
    <w:rsid w:val="40972CED"/>
    <w:rsid w:val="4098676A"/>
    <w:rsid w:val="409A1A6A"/>
    <w:rsid w:val="409C46F8"/>
    <w:rsid w:val="409C7793"/>
    <w:rsid w:val="409F1AF2"/>
    <w:rsid w:val="409F305B"/>
    <w:rsid w:val="40A22506"/>
    <w:rsid w:val="40A239FF"/>
    <w:rsid w:val="40A315E2"/>
    <w:rsid w:val="40A40AF0"/>
    <w:rsid w:val="40A5417C"/>
    <w:rsid w:val="40A80A9F"/>
    <w:rsid w:val="40A92971"/>
    <w:rsid w:val="40AA0BC3"/>
    <w:rsid w:val="40AA6712"/>
    <w:rsid w:val="40AB5F10"/>
    <w:rsid w:val="40AD2461"/>
    <w:rsid w:val="40B11938"/>
    <w:rsid w:val="40B173DB"/>
    <w:rsid w:val="40B21825"/>
    <w:rsid w:val="40B23D1C"/>
    <w:rsid w:val="40B51B03"/>
    <w:rsid w:val="40B60FC7"/>
    <w:rsid w:val="40B875BE"/>
    <w:rsid w:val="40BC1BEE"/>
    <w:rsid w:val="40C31C84"/>
    <w:rsid w:val="40C57BAE"/>
    <w:rsid w:val="40C72791"/>
    <w:rsid w:val="40CA6906"/>
    <w:rsid w:val="40CB7F65"/>
    <w:rsid w:val="40CE48A0"/>
    <w:rsid w:val="40CF0629"/>
    <w:rsid w:val="40D02AF3"/>
    <w:rsid w:val="40D12C2D"/>
    <w:rsid w:val="40D30C94"/>
    <w:rsid w:val="40D4197F"/>
    <w:rsid w:val="40DC2329"/>
    <w:rsid w:val="40DE77C3"/>
    <w:rsid w:val="40DF31F0"/>
    <w:rsid w:val="40E35E83"/>
    <w:rsid w:val="40E37C31"/>
    <w:rsid w:val="40E612A7"/>
    <w:rsid w:val="40E678F4"/>
    <w:rsid w:val="40E83C9B"/>
    <w:rsid w:val="40E85247"/>
    <w:rsid w:val="40E907ED"/>
    <w:rsid w:val="40EB11DB"/>
    <w:rsid w:val="40EC7823"/>
    <w:rsid w:val="40ED1018"/>
    <w:rsid w:val="40EF2A79"/>
    <w:rsid w:val="40EF3B7F"/>
    <w:rsid w:val="40F14690"/>
    <w:rsid w:val="40F260C6"/>
    <w:rsid w:val="40F277D2"/>
    <w:rsid w:val="40F32CD8"/>
    <w:rsid w:val="40F352AA"/>
    <w:rsid w:val="40F36BFF"/>
    <w:rsid w:val="40F40A87"/>
    <w:rsid w:val="40F94DDB"/>
    <w:rsid w:val="40FA31CC"/>
    <w:rsid w:val="40FD2008"/>
    <w:rsid w:val="40FE4A6B"/>
    <w:rsid w:val="4100432A"/>
    <w:rsid w:val="41004C87"/>
    <w:rsid w:val="41022238"/>
    <w:rsid w:val="41031F5A"/>
    <w:rsid w:val="41076015"/>
    <w:rsid w:val="410E3FFA"/>
    <w:rsid w:val="41107DE5"/>
    <w:rsid w:val="41114F25"/>
    <w:rsid w:val="41120516"/>
    <w:rsid w:val="41133CAF"/>
    <w:rsid w:val="411424E0"/>
    <w:rsid w:val="411F7E6C"/>
    <w:rsid w:val="41222902"/>
    <w:rsid w:val="41236C02"/>
    <w:rsid w:val="41251574"/>
    <w:rsid w:val="412520B5"/>
    <w:rsid w:val="41265D6F"/>
    <w:rsid w:val="41275C8E"/>
    <w:rsid w:val="412C1CD5"/>
    <w:rsid w:val="412C5169"/>
    <w:rsid w:val="41322966"/>
    <w:rsid w:val="41361594"/>
    <w:rsid w:val="41410DFB"/>
    <w:rsid w:val="41411671"/>
    <w:rsid w:val="414138D2"/>
    <w:rsid w:val="41443B0A"/>
    <w:rsid w:val="414716F1"/>
    <w:rsid w:val="41474059"/>
    <w:rsid w:val="4149029A"/>
    <w:rsid w:val="414A0622"/>
    <w:rsid w:val="414B00C8"/>
    <w:rsid w:val="414C3A28"/>
    <w:rsid w:val="414D3D39"/>
    <w:rsid w:val="414E65FF"/>
    <w:rsid w:val="414E768F"/>
    <w:rsid w:val="414F3047"/>
    <w:rsid w:val="414F4028"/>
    <w:rsid w:val="4150713F"/>
    <w:rsid w:val="41525EBB"/>
    <w:rsid w:val="41550197"/>
    <w:rsid w:val="415648A7"/>
    <w:rsid w:val="41566BC5"/>
    <w:rsid w:val="415E7BFF"/>
    <w:rsid w:val="41620E35"/>
    <w:rsid w:val="41621EB6"/>
    <w:rsid w:val="41634113"/>
    <w:rsid w:val="41650F67"/>
    <w:rsid w:val="41672795"/>
    <w:rsid w:val="41695456"/>
    <w:rsid w:val="416A109C"/>
    <w:rsid w:val="416A3A66"/>
    <w:rsid w:val="417161DB"/>
    <w:rsid w:val="417411D1"/>
    <w:rsid w:val="417472CD"/>
    <w:rsid w:val="41780CC1"/>
    <w:rsid w:val="417901AA"/>
    <w:rsid w:val="41792010"/>
    <w:rsid w:val="41795582"/>
    <w:rsid w:val="417B45A2"/>
    <w:rsid w:val="417B60BB"/>
    <w:rsid w:val="417D1127"/>
    <w:rsid w:val="417F1B15"/>
    <w:rsid w:val="418036D2"/>
    <w:rsid w:val="41813DE8"/>
    <w:rsid w:val="41831414"/>
    <w:rsid w:val="41867134"/>
    <w:rsid w:val="4188599D"/>
    <w:rsid w:val="418A4550"/>
    <w:rsid w:val="418B7876"/>
    <w:rsid w:val="41924A76"/>
    <w:rsid w:val="41940A73"/>
    <w:rsid w:val="41981844"/>
    <w:rsid w:val="41984EBF"/>
    <w:rsid w:val="419B3797"/>
    <w:rsid w:val="419E52FD"/>
    <w:rsid w:val="419E624E"/>
    <w:rsid w:val="41A2048E"/>
    <w:rsid w:val="41A21103"/>
    <w:rsid w:val="41A2189A"/>
    <w:rsid w:val="41A33AF4"/>
    <w:rsid w:val="41A3415D"/>
    <w:rsid w:val="41A35612"/>
    <w:rsid w:val="41A4267C"/>
    <w:rsid w:val="41A43864"/>
    <w:rsid w:val="41A527D2"/>
    <w:rsid w:val="41A90E7A"/>
    <w:rsid w:val="41A96AA7"/>
    <w:rsid w:val="41AB4DED"/>
    <w:rsid w:val="41AB6BF8"/>
    <w:rsid w:val="41AC1FA1"/>
    <w:rsid w:val="41AC6BFD"/>
    <w:rsid w:val="41AD023F"/>
    <w:rsid w:val="41AD2AF3"/>
    <w:rsid w:val="41AF401A"/>
    <w:rsid w:val="41B01BE8"/>
    <w:rsid w:val="41B521D6"/>
    <w:rsid w:val="41B80A98"/>
    <w:rsid w:val="41B954FB"/>
    <w:rsid w:val="41BA1ED3"/>
    <w:rsid w:val="41BD66D4"/>
    <w:rsid w:val="41BE244C"/>
    <w:rsid w:val="41BE41FA"/>
    <w:rsid w:val="41C10754"/>
    <w:rsid w:val="41C470D5"/>
    <w:rsid w:val="41C47870"/>
    <w:rsid w:val="41C921BB"/>
    <w:rsid w:val="41CC723D"/>
    <w:rsid w:val="41CD097A"/>
    <w:rsid w:val="41CE268F"/>
    <w:rsid w:val="41CF37F5"/>
    <w:rsid w:val="41CF4659"/>
    <w:rsid w:val="41D1217F"/>
    <w:rsid w:val="41D261BD"/>
    <w:rsid w:val="41D51801"/>
    <w:rsid w:val="41D722E9"/>
    <w:rsid w:val="41D852BC"/>
    <w:rsid w:val="41D9553B"/>
    <w:rsid w:val="41DC7E7C"/>
    <w:rsid w:val="41DD13BD"/>
    <w:rsid w:val="41DD5436"/>
    <w:rsid w:val="41DE05FE"/>
    <w:rsid w:val="41E129E1"/>
    <w:rsid w:val="41E16F5A"/>
    <w:rsid w:val="41E225DE"/>
    <w:rsid w:val="41E26B81"/>
    <w:rsid w:val="41E53E7C"/>
    <w:rsid w:val="41E5640E"/>
    <w:rsid w:val="41E579D9"/>
    <w:rsid w:val="41E6598A"/>
    <w:rsid w:val="41E70D4E"/>
    <w:rsid w:val="41E915B7"/>
    <w:rsid w:val="41E9571B"/>
    <w:rsid w:val="41EC520B"/>
    <w:rsid w:val="41ED600E"/>
    <w:rsid w:val="41EE0F83"/>
    <w:rsid w:val="41EE47A2"/>
    <w:rsid w:val="41F235E8"/>
    <w:rsid w:val="41F320F5"/>
    <w:rsid w:val="41F83BB0"/>
    <w:rsid w:val="41F97BB5"/>
    <w:rsid w:val="41FA08E5"/>
    <w:rsid w:val="41FA5106"/>
    <w:rsid w:val="41FB1D75"/>
    <w:rsid w:val="41FD1F8A"/>
    <w:rsid w:val="420057D5"/>
    <w:rsid w:val="42026ACB"/>
    <w:rsid w:val="42033B0C"/>
    <w:rsid w:val="420473BE"/>
    <w:rsid w:val="42072DCC"/>
    <w:rsid w:val="420822F7"/>
    <w:rsid w:val="42084E57"/>
    <w:rsid w:val="420A743F"/>
    <w:rsid w:val="420B35BA"/>
    <w:rsid w:val="420B5361"/>
    <w:rsid w:val="420E33D3"/>
    <w:rsid w:val="420F2CA7"/>
    <w:rsid w:val="42127427"/>
    <w:rsid w:val="421351F9"/>
    <w:rsid w:val="42160E91"/>
    <w:rsid w:val="421870E8"/>
    <w:rsid w:val="421B7820"/>
    <w:rsid w:val="421B789E"/>
    <w:rsid w:val="421C79AB"/>
    <w:rsid w:val="421F113C"/>
    <w:rsid w:val="422221AD"/>
    <w:rsid w:val="42255FAE"/>
    <w:rsid w:val="42263205"/>
    <w:rsid w:val="422844C0"/>
    <w:rsid w:val="422876EA"/>
    <w:rsid w:val="42294DF3"/>
    <w:rsid w:val="422A647D"/>
    <w:rsid w:val="422B7713"/>
    <w:rsid w:val="422C1366"/>
    <w:rsid w:val="423170C2"/>
    <w:rsid w:val="42366486"/>
    <w:rsid w:val="423A6D1A"/>
    <w:rsid w:val="42424E2B"/>
    <w:rsid w:val="42426BD9"/>
    <w:rsid w:val="42434A20"/>
    <w:rsid w:val="424459FA"/>
    <w:rsid w:val="4246491B"/>
    <w:rsid w:val="42480A33"/>
    <w:rsid w:val="42483D4F"/>
    <w:rsid w:val="42492C9C"/>
    <w:rsid w:val="4249440B"/>
    <w:rsid w:val="424B0183"/>
    <w:rsid w:val="424D1FAE"/>
    <w:rsid w:val="424D3A49"/>
    <w:rsid w:val="424D4F9D"/>
    <w:rsid w:val="424F4E6C"/>
    <w:rsid w:val="424F6B0E"/>
    <w:rsid w:val="42500A1C"/>
    <w:rsid w:val="42521512"/>
    <w:rsid w:val="42533EEF"/>
    <w:rsid w:val="4253528A"/>
    <w:rsid w:val="42581301"/>
    <w:rsid w:val="425A3F23"/>
    <w:rsid w:val="425A6618"/>
    <w:rsid w:val="425C413F"/>
    <w:rsid w:val="425F68B8"/>
    <w:rsid w:val="425F77F3"/>
    <w:rsid w:val="42633A88"/>
    <w:rsid w:val="42641245"/>
    <w:rsid w:val="42660B19"/>
    <w:rsid w:val="42674891"/>
    <w:rsid w:val="42683214"/>
    <w:rsid w:val="4269060A"/>
    <w:rsid w:val="426D5897"/>
    <w:rsid w:val="426D634C"/>
    <w:rsid w:val="426D6FB2"/>
    <w:rsid w:val="426F49B7"/>
    <w:rsid w:val="427044E0"/>
    <w:rsid w:val="42725710"/>
    <w:rsid w:val="42734FE4"/>
    <w:rsid w:val="427516A4"/>
    <w:rsid w:val="427633FA"/>
    <w:rsid w:val="42777E2B"/>
    <w:rsid w:val="42786A9F"/>
    <w:rsid w:val="42790EFC"/>
    <w:rsid w:val="42795A71"/>
    <w:rsid w:val="427A76F5"/>
    <w:rsid w:val="427B3B7B"/>
    <w:rsid w:val="427C033D"/>
    <w:rsid w:val="427E48A2"/>
    <w:rsid w:val="427F3924"/>
    <w:rsid w:val="42826DD7"/>
    <w:rsid w:val="428606F1"/>
    <w:rsid w:val="4286740D"/>
    <w:rsid w:val="4287437F"/>
    <w:rsid w:val="42884F34"/>
    <w:rsid w:val="428C0B42"/>
    <w:rsid w:val="428C42F8"/>
    <w:rsid w:val="428E647A"/>
    <w:rsid w:val="428F2687"/>
    <w:rsid w:val="4292195C"/>
    <w:rsid w:val="42943BEA"/>
    <w:rsid w:val="42945242"/>
    <w:rsid w:val="42981109"/>
    <w:rsid w:val="429A07C3"/>
    <w:rsid w:val="429A39F6"/>
    <w:rsid w:val="429C0C25"/>
    <w:rsid w:val="429F6E44"/>
    <w:rsid w:val="42A31D6D"/>
    <w:rsid w:val="42A33B1C"/>
    <w:rsid w:val="42A948C7"/>
    <w:rsid w:val="42AC04E8"/>
    <w:rsid w:val="42AC48D8"/>
    <w:rsid w:val="42AD2648"/>
    <w:rsid w:val="42AE32C6"/>
    <w:rsid w:val="42B21FB1"/>
    <w:rsid w:val="42B2733B"/>
    <w:rsid w:val="42B51912"/>
    <w:rsid w:val="42B775C7"/>
    <w:rsid w:val="42B8752D"/>
    <w:rsid w:val="42B9333F"/>
    <w:rsid w:val="42BA458C"/>
    <w:rsid w:val="42BE0565"/>
    <w:rsid w:val="42C039BD"/>
    <w:rsid w:val="42C12014"/>
    <w:rsid w:val="42C13FA2"/>
    <w:rsid w:val="42C341BE"/>
    <w:rsid w:val="42C65A5C"/>
    <w:rsid w:val="42C83582"/>
    <w:rsid w:val="42CB3152"/>
    <w:rsid w:val="42CC1290"/>
    <w:rsid w:val="42CD0B98"/>
    <w:rsid w:val="42CD6DEA"/>
    <w:rsid w:val="42CE66BF"/>
    <w:rsid w:val="42CF1434"/>
    <w:rsid w:val="42D069A7"/>
    <w:rsid w:val="42D24401"/>
    <w:rsid w:val="42D261AF"/>
    <w:rsid w:val="42D31514"/>
    <w:rsid w:val="42D355FF"/>
    <w:rsid w:val="42D53DAF"/>
    <w:rsid w:val="42D55C9F"/>
    <w:rsid w:val="42D60EDF"/>
    <w:rsid w:val="42D73420"/>
    <w:rsid w:val="42D75573"/>
    <w:rsid w:val="42D9753D"/>
    <w:rsid w:val="42DA7EFB"/>
    <w:rsid w:val="42E10B89"/>
    <w:rsid w:val="42E23830"/>
    <w:rsid w:val="42E40F93"/>
    <w:rsid w:val="42E43B34"/>
    <w:rsid w:val="42E70332"/>
    <w:rsid w:val="42E94EA1"/>
    <w:rsid w:val="42EA346B"/>
    <w:rsid w:val="42EB54C2"/>
    <w:rsid w:val="42EC3109"/>
    <w:rsid w:val="42F205FF"/>
    <w:rsid w:val="42F26851"/>
    <w:rsid w:val="42F35C5E"/>
    <w:rsid w:val="42F44377"/>
    <w:rsid w:val="42F47B44"/>
    <w:rsid w:val="42F53ADA"/>
    <w:rsid w:val="42F57BFB"/>
    <w:rsid w:val="42F61468"/>
    <w:rsid w:val="42F61598"/>
    <w:rsid w:val="42FF4ACA"/>
    <w:rsid w:val="4303280C"/>
    <w:rsid w:val="43052AF8"/>
    <w:rsid w:val="430838B2"/>
    <w:rsid w:val="430976F7"/>
    <w:rsid w:val="430A3B9B"/>
    <w:rsid w:val="430D450A"/>
    <w:rsid w:val="43103916"/>
    <w:rsid w:val="43127BD6"/>
    <w:rsid w:val="43140207"/>
    <w:rsid w:val="43162488"/>
    <w:rsid w:val="43167E43"/>
    <w:rsid w:val="431E1012"/>
    <w:rsid w:val="431E52CB"/>
    <w:rsid w:val="431E7646"/>
    <w:rsid w:val="431E7922"/>
    <w:rsid w:val="431F06B7"/>
    <w:rsid w:val="431F6F1A"/>
    <w:rsid w:val="432409C1"/>
    <w:rsid w:val="43241F5A"/>
    <w:rsid w:val="43284414"/>
    <w:rsid w:val="432879E8"/>
    <w:rsid w:val="432B2B89"/>
    <w:rsid w:val="432C269E"/>
    <w:rsid w:val="432D7889"/>
    <w:rsid w:val="432E724C"/>
    <w:rsid w:val="4331618E"/>
    <w:rsid w:val="43326C4D"/>
    <w:rsid w:val="433354C7"/>
    <w:rsid w:val="433429C6"/>
    <w:rsid w:val="43342E02"/>
    <w:rsid w:val="43384D58"/>
    <w:rsid w:val="43386137"/>
    <w:rsid w:val="4338799D"/>
    <w:rsid w:val="43387D8A"/>
    <w:rsid w:val="43392EE9"/>
    <w:rsid w:val="433A7BE0"/>
    <w:rsid w:val="433B5D9C"/>
    <w:rsid w:val="433C5205"/>
    <w:rsid w:val="433C7ACC"/>
    <w:rsid w:val="433D6A1A"/>
    <w:rsid w:val="433F1693"/>
    <w:rsid w:val="433F54EA"/>
    <w:rsid w:val="434019E2"/>
    <w:rsid w:val="43420014"/>
    <w:rsid w:val="4346376A"/>
    <w:rsid w:val="434C12DB"/>
    <w:rsid w:val="434C44CE"/>
    <w:rsid w:val="434F5A51"/>
    <w:rsid w:val="4350776E"/>
    <w:rsid w:val="435272F0"/>
    <w:rsid w:val="43550B61"/>
    <w:rsid w:val="4356216B"/>
    <w:rsid w:val="4359242C"/>
    <w:rsid w:val="435A7DD9"/>
    <w:rsid w:val="435A7F52"/>
    <w:rsid w:val="435B59AA"/>
    <w:rsid w:val="435E3EE6"/>
    <w:rsid w:val="435E7A42"/>
    <w:rsid w:val="435F279F"/>
    <w:rsid w:val="4360359D"/>
    <w:rsid w:val="43611D9C"/>
    <w:rsid w:val="43615785"/>
    <w:rsid w:val="43622373"/>
    <w:rsid w:val="43632B3F"/>
    <w:rsid w:val="4365448B"/>
    <w:rsid w:val="43666A6A"/>
    <w:rsid w:val="436808C1"/>
    <w:rsid w:val="436A00C3"/>
    <w:rsid w:val="436F146E"/>
    <w:rsid w:val="436F4CB1"/>
    <w:rsid w:val="437270F3"/>
    <w:rsid w:val="43771B01"/>
    <w:rsid w:val="437B4B83"/>
    <w:rsid w:val="437C06CE"/>
    <w:rsid w:val="437F1D8F"/>
    <w:rsid w:val="438254F7"/>
    <w:rsid w:val="43830114"/>
    <w:rsid w:val="4383394D"/>
    <w:rsid w:val="43884ABF"/>
    <w:rsid w:val="438A4CDB"/>
    <w:rsid w:val="438B1197"/>
    <w:rsid w:val="438D0328"/>
    <w:rsid w:val="438D4B2D"/>
    <w:rsid w:val="438D5FA0"/>
    <w:rsid w:val="438F595A"/>
    <w:rsid w:val="43904487"/>
    <w:rsid w:val="4391369E"/>
    <w:rsid w:val="439223D0"/>
    <w:rsid w:val="43994FCC"/>
    <w:rsid w:val="439A7CE8"/>
    <w:rsid w:val="439B0D3D"/>
    <w:rsid w:val="439B0DDB"/>
    <w:rsid w:val="439B3F9B"/>
    <w:rsid w:val="439E6C28"/>
    <w:rsid w:val="439F5E7B"/>
    <w:rsid w:val="43A12D8E"/>
    <w:rsid w:val="43A153A0"/>
    <w:rsid w:val="43A41F82"/>
    <w:rsid w:val="43A63197"/>
    <w:rsid w:val="43A86F10"/>
    <w:rsid w:val="43B104BA"/>
    <w:rsid w:val="43B14016"/>
    <w:rsid w:val="43B1633C"/>
    <w:rsid w:val="43B2027F"/>
    <w:rsid w:val="43BA7072"/>
    <w:rsid w:val="43BB0535"/>
    <w:rsid w:val="43BC6A47"/>
    <w:rsid w:val="43BF2BD7"/>
    <w:rsid w:val="43C207D8"/>
    <w:rsid w:val="43CC2BFE"/>
    <w:rsid w:val="43CD6962"/>
    <w:rsid w:val="43D40DBC"/>
    <w:rsid w:val="43D85A47"/>
    <w:rsid w:val="43D877F5"/>
    <w:rsid w:val="43D92880"/>
    <w:rsid w:val="43D928BB"/>
    <w:rsid w:val="43D9531B"/>
    <w:rsid w:val="43DB1FD4"/>
    <w:rsid w:val="43DB6B7B"/>
    <w:rsid w:val="43DB7BD2"/>
    <w:rsid w:val="43DF4A9B"/>
    <w:rsid w:val="43E07893"/>
    <w:rsid w:val="43E07AFA"/>
    <w:rsid w:val="43E17353"/>
    <w:rsid w:val="43E32EF2"/>
    <w:rsid w:val="43E72937"/>
    <w:rsid w:val="43E81820"/>
    <w:rsid w:val="43E8437E"/>
    <w:rsid w:val="43E9584D"/>
    <w:rsid w:val="43EE050A"/>
    <w:rsid w:val="43EE2E8F"/>
    <w:rsid w:val="43EF2D90"/>
    <w:rsid w:val="43F3462F"/>
    <w:rsid w:val="43F403A7"/>
    <w:rsid w:val="43F565F9"/>
    <w:rsid w:val="43FA274B"/>
    <w:rsid w:val="43FC488F"/>
    <w:rsid w:val="43FE2FD4"/>
    <w:rsid w:val="43FE547B"/>
    <w:rsid w:val="44035CCB"/>
    <w:rsid w:val="44042F65"/>
    <w:rsid w:val="44057E40"/>
    <w:rsid w:val="440E76BA"/>
    <w:rsid w:val="440F005E"/>
    <w:rsid w:val="44102588"/>
    <w:rsid w:val="44112D07"/>
    <w:rsid w:val="44130FB7"/>
    <w:rsid w:val="441724D7"/>
    <w:rsid w:val="44197128"/>
    <w:rsid w:val="441A1710"/>
    <w:rsid w:val="441A605F"/>
    <w:rsid w:val="441A7E0D"/>
    <w:rsid w:val="441B0C88"/>
    <w:rsid w:val="441B74E4"/>
    <w:rsid w:val="441C7085"/>
    <w:rsid w:val="441E4BDC"/>
    <w:rsid w:val="441E71D2"/>
    <w:rsid w:val="442411F9"/>
    <w:rsid w:val="4424783F"/>
    <w:rsid w:val="4427252A"/>
    <w:rsid w:val="4429328E"/>
    <w:rsid w:val="442B1BAA"/>
    <w:rsid w:val="442C7B41"/>
    <w:rsid w:val="442F18BF"/>
    <w:rsid w:val="44304C12"/>
    <w:rsid w:val="443133A9"/>
    <w:rsid w:val="4436451B"/>
    <w:rsid w:val="44366A11"/>
    <w:rsid w:val="4438014F"/>
    <w:rsid w:val="44380293"/>
    <w:rsid w:val="443C4228"/>
    <w:rsid w:val="443D60F0"/>
    <w:rsid w:val="443E1986"/>
    <w:rsid w:val="44425279"/>
    <w:rsid w:val="44426CAB"/>
    <w:rsid w:val="444303A9"/>
    <w:rsid w:val="4443784A"/>
    <w:rsid w:val="44466E54"/>
    <w:rsid w:val="44472EDA"/>
    <w:rsid w:val="444C3D3F"/>
    <w:rsid w:val="444C4E5B"/>
    <w:rsid w:val="444E5F52"/>
    <w:rsid w:val="4453331F"/>
    <w:rsid w:val="44550186"/>
    <w:rsid w:val="4456166A"/>
    <w:rsid w:val="44562E10"/>
    <w:rsid w:val="445826E4"/>
    <w:rsid w:val="445A2A35"/>
    <w:rsid w:val="445C09D8"/>
    <w:rsid w:val="445E6CA4"/>
    <w:rsid w:val="44615424"/>
    <w:rsid w:val="44623109"/>
    <w:rsid w:val="4464055E"/>
    <w:rsid w:val="4466626A"/>
    <w:rsid w:val="4469669F"/>
    <w:rsid w:val="446B5E6B"/>
    <w:rsid w:val="446D651A"/>
    <w:rsid w:val="446F1EAD"/>
    <w:rsid w:val="44775260"/>
    <w:rsid w:val="44782D86"/>
    <w:rsid w:val="44786B45"/>
    <w:rsid w:val="44790F60"/>
    <w:rsid w:val="447C53EE"/>
    <w:rsid w:val="447F4114"/>
    <w:rsid w:val="44817E8C"/>
    <w:rsid w:val="44821996"/>
    <w:rsid w:val="4486788D"/>
    <w:rsid w:val="44872FC9"/>
    <w:rsid w:val="44882D9B"/>
    <w:rsid w:val="44883190"/>
    <w:rsid w:val="448C2903"/>
    <w:rsid w:val="448C466B"/>
    <w:rsid w:val="448C5AFF"/>
    <w:rsid w:val="448C6831"/>
    <w:rsid w:val="448F4563"/>
    <w:rsid w:val="44906321"/>
    <w:rsid w:val="44910D58"/>
    <w:rsid w:val="44913E48"/>
    <w:rsid w:val="449146DD"/>
    <w:rsid w:val="44916187"/>
    <w:rsid w:val="4493196E"/>
    <w:rsid w:val="44953938"/>
    <w:rsid w:val="44957494"/>
    <w:rsid w:val="4496320C"/>
    <w:rsid w:val="44963321"/>
    <w:rsid w:val="44966287"/>
    <w:rsid w:val="4497591B"/>
    <w:rsid w:val="44986F84"/>
    <w:rsid w:val="449974D6"/>
    <w:rsid w:val="449A3971"/>
    <w:rsid w:val="449A4F3E"/>
    <w:rsid w:val="449A71A0"/>
    <w:rsid w:val="449C35E2"/>
    <w:rsid w:val="449D0A3E"/>
    <w:rsid w:val="449F6565"/>
    <w:rsid w:val="44A3057F"/>
    <w:rsid w:val="44A818BD"/>
    <w:rsid w:val="44A92FC5"/>
    <w:rsid w:val="44AA5AB5"/>
    <w:rsid w:val="44AC595F"/>
    <w:rsid w:val="44AD0C81"/>
    <w:rsid w:val="44AE71F8"/>
    <w:rsid w:val="44B26298"/>
    <w:rsid w:val="44B32413"/>
    <w:rsid w:val="44B429B0"/>
    <w:rsid w:val="44B75376"/>
    <w:rsid w:val="44B774EB"/>
    <w:rsid w:val="44B809E3"/>
    <w:rsid w:val="44B87626"/>
    <w:rsid w:val="44B943FA"/>
    <w:rsid w:val="44B96554"/>
    <w:rsid w:val="44BA08DA"/>
    <w:rsid w:val="44BA7F63"/>
    <w:rsid w:val="44BB29C9"/>
    <w:rsid w:val="44BC2883"/>
    <w:rsid w:val="44BE52F3"/>
    <w:rsid w:val="44C0240C"/>
    <w:rsid w:val="44C154AA"/>
    <w:rsid w:val="44C36444"/>
    <w:rsid w:val="44C4421D"/>
    <w:rsid w:val="44C60A40"/>
    <w:rsid w:val="44C71617"/>
    <w:rsid w:val="44C935E1"/>
    <w:rsid w:val="44C9538F"/>
    <w:rsid w:val="44CE0BF8"/>
    <w:rsid w:val="44CF08C7"/>
    <w:rsid w:val="44D0671E"/>
    <w:rsid w:val="44D25347"/>
    <w:rsid w:val="44D34460"/>
    <w:rsid w:val="44D37FBC"/>
    <w:rsid w:val="44D50904"/>
    <w:rsid w:val="44D83825"/>
    <w:rsid w:val="44D849B1"/>
    <w:rsid w:val="44DC1567"/>
    <w:rsid w:val="44DD44BB"/>
    <w:rsid w:val="44E07E8F"/>
    <w:rsid w:val="44E1092B"/>
    <w:rsid w:val="44E33521"/>
    <w:rsid w:val="44E45144"/>
    <w:rsid w:val="44E46C23"/>
    <w:rsid w:val="44EB7D4B"/>
    <w:rsid w:val="44EC71E8"/>
    <w:rsid w:val="44EE3048"/>
    <w:rsid w:val="44F22B38"/>
    <w:rsid w:val="44F50743"/>
    <w:rsid w:val="44F53486"/>
    <w:rsid w:val="44F62D7A"/>
    <w:rsid w:val="44F730C8"/>
    <w:rsid w:val="44F8455F"/>
    <w:rsid w:val="44FA32B4"/>
    <w:rsid w:val="44FC0160"/>
    <w:rsid w:val="44FD328B"/>
    <w:rsid w:val="45040ED5"/>
    <w:rsid w:val="450C277A"/>
    <w:rsid w:val="450E4647"/>
    <w:rsid w:val="45124B0D"/>
    <w:rsid w:val="45124F88"/>
    <w:rsid w:val="45150D9A"/>
    <w:rsid w:val="4517259F"/>
    <w:rsid w:val="45181E73"/>
    <w:rsid w:val="451A115F"/>
    <w:rsid w:val="451C17AD"/>
    <w:rsid w:val="451E1B7F"/>
    <w:rsid w:val="451F38DA"/>
    <w:rsid w:val="4520040D"/>
    <w:rsid w:val="45237196"/>
    <w:rsid w:val="45240818"/>
    <w:rsid w:val="45246A6A"/>
    <w:rsid w:val="45280308"/>
    <w:rsid w:val="452A0524"/>
    <w:rsid w:val="452A5142"/>
    <w:rsid w:val="452D7765"/>
    <w:rsid w:val="453077F4"/>
    <w:rsid w:val="4531619A"/>
    <w:rsid w:val="45323D49"/>
    <w:rsid w:val="45355F4D"/>
    <w:rsid w:val="45361337"/>
    <w:rsid w:val="4537679D"/>
    <w:rsid w:val="45396998"/>
    <w:rsid w:val="453C0257"/>
    <w:rsid w:val="453C4469"/>
    <w:rsid w:val="453D48AA"/>
    <w:rsid w:val="453D4F37"/>
    <w:rsid w:val="453E18DA"/>
    <w:rsid w:val="453E51C6"/>
    <w:rsid w:val="453F38A4"/>
    <w:rsid w:val="453F3C4E"/>
    <w:rsid w:val="453F5652"/>
    <w:rsid w:val="45417AA0"/>
    <w:rsid w:val="45423F04"/>
    <w:rsid w:val="454278DA"/>
    <w:rsid w:val="45430D6A"/>
    <w:rsid w:val="454347B2"/>
    <w:rsid w:val="45440EBA"/>
    <w:rsid w:val="4545710C"/>
    <w:rsid w:val="45467F62"/>
    <w:rsid w:val="45541875"/>
    <w:rsid w:val="45554E5A"/>
    <w:rsid w:val="45570BED"/>
    <w:rsid w:val="45596713"/>
    <w:rsid w:val="455A248C"/>
    <w:rsid w:val="455B5D37"/>
    <w:rsid w:val="455C3910"/>
    <w:rsid w:val="455F5D55"/>
    <w:rsid w:val="45605CF4"/>
    <w:rsid w:val="45644E54"/>
    <w:rsid w:val="45675CA0"/>
    <w:rsid w:val="456A1083"/>
    <w:rsid w:val="456A2608"/>
    <w:rsid w:val="456B4365"/>
    <w:rsid w:val="456F23DB"/>
    <w:rsid w:val="457572C5"/>
    <w:rsid w:val="45765517"/>
    <w:rsid w:val="4576699E"/>
    <w:rsid w:val="45770E90"/>
    <w:rsid w:val="457810EA"/>
    <w:rsid w:val="457933AD"/>
    <w:rsid w:val="45796DB6"/>
    <w:rsid w:val="457B3B4C"/>
    <w:rsid w:val="457E5332"/>
    <w:rsid w:val="457F003D"/>
    <w:rsid w:val="458145DA"/>
    <w:rsid w:val="45827133"/>
    <w:rsid w:val="45842F6A"/>
    <w:rsid w:val="45877724"/>
    <w:rsid w:val="4588349D"/>
    <w:rsid w:val="458C1A14"/>
    <w:rsid w:val="458D0988"/>
    <w:rsid w:val="45963876"/>
    <w:rsid w:val="45964076"/>
    <w:rsid w:val="4597153B"/>
    <w:rsid w:val="459A2ECC"/>
    <w:rsid w:val="459C7A87"/>
    <w:rsid w:val="45A34199"/>
    <w:rsid w:val="45A5204C"/>
    <w:rsid w:val="45AC0035"/>
    <w:rsid w:val="45AD1268"/>
    <w:rsid w:val="45B21D97"/>
    <w:rsid w:val="45B421B9"/>
    <w:rsid w:val="45B459CE"/>
    <w:rsid w:val="45B55914"/>
    <w:rsid w:val="45B778DE"/>
    <w:rsid w:val="45BC54BB"/>
    <w:rsid w:val="45BE046A"/>
    <w:rsid w:val="45BE34E3"/>
    <w:rsid w:val="45BE6EBE"/>
    <w:rsid w:val="45C02C36"/>
    <w:rsid w:val="45C1250B"/>
    <w:rsid w:val="45C142B9"/>
    <w:rsid w:val="45C36283"/>
    <w:rsid w:val="45CA5863"/>
    <w:rsid w:val="45CC33C2"/>
    <w:rsid w:val="45CD7101"/>
    <w:rsid w:val="45CE2C78"/>
    <w:rsid w:val="45CF2E79"/>
    <w:rsid w:val="45CF4C28"/>
    <w:rsid w:val="45CF7E80"/>
    <w:rsid w:val="45D1274E"/>
    <w:rsid w:val="45D368FE"/>
    <w:rsid w:val="45D65FB6"/>
    <w:rsid w:val="45D71D2E"/>
    <w:rsid w:val="45D97854"/>
    <w:rsid w:val="45DB5579"/>
    <w:rsid w:val="45DD492F"/>
    <w:rsid w:val="45DE64FB"/>
    <w:rsid w:val="45E00BE3"/>
    <w:rsid w:val="45E00F65"/>
    <w:rsid w:val="45E237EC"/>
    <w:rsid w:val="45E457FA"/>
    <w:rsid w:val="45E613B2"/>
    <w:rsid w:val="45E80805"/>
    <w:rsid w:val="45E858D0"/>
    <w:rsid w:val="45E93DFF"/>
    <w:rsid w:val="45EC57D9"/>
    <w:rsid w:val="45F11042"/>
    <w:rsid w:val="45F1232C"/>
    <w:rsid w:val="45F3574E"/>
    <w:rsid w:val="45F679AF"/>
    <w:rsid w:val="45F91CA4"/>
    <w:rsid w:val="45FD025E"/>
    <w:rsid w:val="45FD79E7"/>
    <w:rsid w:val="4603636C"/>
    <w:rsid w:val="46051016"/>
    <w:rsid w:val="46054AED"/>
    <w:rsid w:val="460D74FE"/>
    <w:rsid w:val="46115240"/>
    <w:rsid w:val="461406BE"/>
    <w:rsid w:val="4614088C"/>
    <w:rsid w:val="4618037D"/>
    <w:rsid w:val="461807D7"/>
    <w:rsid w:val="46182787"/>
    <w:rsid w:val="46192347"/>
    <w:rsid w:val="461A4D3A"/>
    <w:rsid w:val="461E4B14"/>
    <w:rsid w:val="4620055F"/>
    <w:rsid w:val="46223350"/>
    <w:rsid w:val="46230966"/>
    <w:rsid w:val="46243C8E"/>
    <w:rsid w:val="462553F1"/>
    <w:rsid w:val="46267EDC"/>
    <w:rsid w:val="46295A03"/>
    <w:rsid w:val="462A456B"/>
    <w:rsid w:val="462B129A"/>
    <w:rsid w:val="462C3E28"/>
    <w:rsid w:val="462E3E7B"/>
    <w:rsid w:val="462E7BA0"/>
    <w:rsid w:val="463113D5"/>
    <w:rsid w:val="46323D4A"/>
    <w:rsid w:val="463769DC"/>
    <w:rsid w:val="46377F79"/>
    <w:rsid w:val="463D6035"/>
    <w:rsid w:val="463E737E"/>
    <w:rsid w:val="46404AD9"/>
    <w:rsid w:val="46430DB2"/>
    <w:rsid w:val="46462F83"/>
    <w:rsid w:val="46464484"/>
    <w:rsid w:val="464A2500"/>
    <w:rsid w:val="464A5CFD"/>
    <w:rsid w:val="464C2F23"/>
    <w:rsid w:val="464D1C38"/>
    <w:rsid w:val="464E0242"/>
    <w:rsid w:val="464F5033"/>
    <w:rsid w:val="464F57E4"/>
    <w:rsid w:val="464F7C90"/>
    <w:rsid w:val="4652461A"/>
    <w:rsid w:val="465619C6"/>
    <w:rsid w:val="46567018"/>
    <w:rsid w:val="46595220"/>
    <w:rsid w:val="465B295F"/>
    <w:rsid w:val="465C2A22"/>
    <w:rsid w:val="465D3F9B"/>
    <w:rsid w:val="46654C28"/>
    <w:rsid w:val="466871EB"/>
    <w:rsid w:val="46693933"/>
    <w:rsid w:val="466F127C"/>
    <w:rsid w:val="467248DA"/>
    <w:rsid w:val="467521DF"/>
    <w:rsid w:val="46767402"/>
    <w:rsid w:val="467D073D"/>
    <w:rsid w:val="467F21AA"/>
    <w:rsid w:val="46805F22"/>
    <w:rsid w:val="468123C6"/>
    <w:rsid w:val="4685435B"/>
    <w:rsid w:val="46880BBC"/>
    <w:rsid w:val="4689127A"/>
    <w:rsid w:val="46900FBA"/>
    <w:rsid w:val="469043B7"/>
    <w:rsid w:val="46907FF6"/>
    <w:rsid w:val="46911EDD"/>
    <w:rsid w:val="46935C55"/>
    <w:rsid w:val="46963A2E"/>
    <w:rsid w:val="46965D99"/>
    <w:rsid w:val="469C37C0"/>
    <w:rsid w:val="469C3FEF"/>
    <w:rsid w:val="469D4D26"/>
    <w:rsid w:val="469E0050"/>
    <w:rsid w:val="46A02970"/>
    <w:rsid w:val="46A05B8A"/>
    <w:rsid w:val="46A169DD"/>
    <w:rsid w:val="46A5119F"/>
    <w:rsid w:val="46A6389B"/>
    <w:rsid w:val="46A80BCA"/>
    <w:rsid w:val="46AA452D"/>
    <w:rsid w:val="46AC31BB"/>
    <w:rsid w:val="46AE27B4"/>
    <w:rsid w:val="46AE2908"/>
    <w:rsid w:val="46AE5E98"/>
    <w:rsid w:val="46AE6F33"/>
    <w:rsid w:val="46AF05B5"/>
    <w:rsid w:val="46B20AD6"/>
    <w:rsid w:val="46B3289C"/>
    <w:rsid w:val="46B514AD"/>
    <w:rsid w:val="46B77BE3"/>
    <w:rsid w:val="46BE123E"/>
    <w:rsid w:val="46BF0C42"/>
    <w:rsid w:val="46C029FB"/>
    <w:rsid w:val="46C30EE8"/>
    <w:rsid w:val="46C4266C"/>
    <w:rsid w:val="46C45D93"/>
    <w:rsid w:val="46C465EB"/>
    <w:rsid w:val="46C60007"/>
    <w:rsid w:val="46C6111E"/>
    <w:rsid w:val="46C70FE3"/>
    <w:rsid w:val="46C95F38"/>
    <w:rsid w:val="46CB1893"/>
    <w:rsid w:val="46CC662B"/>
    <w:rsid w:val="46CD00CF"/>
    <w:rsid w:val="46CD198D"/>
    <w:rsid w:val="46CE59EE"/>
    <w:rsid w:val="46CF2A9A"/>
    <w:rsid w:val="46D544C0"/>
    <w:rsid w:val="46D54510"/>
    <w:rsid w:val="46D86895"/>
    <w:rsid w:val="46DA56D2"/>
    <w:rsid w:val="46DA686A"/>
    <w:rsid w:val="46DE4FE0"/>
    <w:rsid w:val="46E110B6"/>
    <w:rsid w:val="46E666CD"/>
    <w:rsid w:val="46E7130E"/>
    <w:rsid w:val="46E97F6B"/>
    <w:rsid w:val="46EB347B"/>
    <w:rsid w:val="46EC132E"/>
    <w:rsid w:val="46F07B2C"/>
    <w:rsid w:val="46F26061"/>
    <w:rsid w:val="46F31B5E"/>
    <w:rsid w:val="46F4765C"/>
    <w:rsid w:val="46F51556"/>
    <w:rsid w:val="46F752D4"/>
    <w:rsid w:val="46F9684D"/>
    <w:rsid w:val="46FA2240"/>
    <w:rsid w:val="46FA3F26"/>
    <w:rsid w:val="46FB034D"/>
    <w:rsid w:val="46FB623B"/>
    <w:rsid w:val="46FC59CC"/>
    <w:rsid w:val="46FC7C9E"/>
    <w:rsid w:val="46FE02F8"/>
    <w:rsid w:val="47000D52"/>
    <w:rsid w:val="47065D63"/>
    <w:rsid w:val="47094169"/>
    <w:rsid w:val="470E02B0"/>
    <w:rsid w:val="470E352E"/>
    <w:rsid w:val="4710374A"/>
    <w:rsid w:val="47116C31"/>
    <w:rsid w:val="47166351"/>
    <w:rsid w:val="471824D6"/>
    <w:rsid w:val="471A0124"/>
    <w:rsid w:val="471A45C8"/>
    <w:rsid w:val="471C41FF"/>
    <w:rsid w:val="471D19C3"/>
    <w:rsid w:val="472015A9"/>
    <w:rsid w:val="47242D51"/>
    <w:rsid w:val="47254513"/>
    <w:rsid w:val="47263DAF"/>
    <w:rsid w:val="47282841"/>
    <w:rsid w:val="472B40E0"/>
    <w:rsid w:val="472D55C2"/>
    <w:rsid w:val="472E72A2"/>
    <w:rsid w:val="472F6895"/>
    <w:rsid w:val="47336E76"/>
    <w:rsid w:val="4734036E"/>
    <w:rsid w:val="47352751"/>
    <w:rsid w:val="47372A84"/>
    <w:rsid w:val="4738011B"/>
    <w:rsid w:val="473867FC"/>
    <w:rsid w:val="473A4323"/>
    <w:rsid w:val="47413903"/>
    <w:rsid w:val="47431AC0"/>
    <w:rsid w:val="47451645"/>
    <w:rsid w:val="47486A40"/>
    <w:rsid w:val="474C1D5B"/>
    <w:rsid w:val="47505EDD"/>
    <w:rsid w:val="47555600"/>
    <w:rsid w:val="47571D30"/>
    <w:rsid w:val="47581FE8"/>
    <w:rsid w:val="475B6DD9"/>
    <w:rsid w:val="475C24EB"/>
    <w:rsid w:val="475E2A51"/>
    <w:rsid w:val="475E44B5"/>
    <w:rsid w:val="47600177"/>
    <w:rsid w:val="47601E9E"/>
    <w:rsid w:val="47606FC3"/>
    <w:rsid w:val="47613705"/>
    <w:rsid w:val="476475F1"/>
    <w:rsid w:val="47650EE8"/>
    <w:rsid w:val="47653A95"/>
    <w:rsid w:val="47673CAC"/>
    <w:rsid w:val="476A2E5A"/>
    <w:rsid w:val="476E7D71"/>
    <w:rsid w:val="476F66C2"/>
    <w:rsid w:val="47747B1C"/>
    <w:rsid w:val="47765DDA"/>
    <w:rsid w:val="47782FCC"/>
    <w:rsid w:val="477C3392"/>
    <w:rsid w:val="477F442B"/>
    <w:rsid w:val="47801D13"/>
    <w:rsid w:val="4781627B"/>
    <w:rsid w:val="478236BD"/>
    <w:rsid w:val="47825C22"/>
    <w:rsid w:val="47847D2F"/>
    <w:rsid w:val="47855EE6"/>
    <w:rsid w:val="47867568"/>
    <w:rsid w:val="478903BB"/>
    <w:rsid w:val="478B0F43"/>
    <w:rsid w:val="478C7274"/>
    <w:rsid w:val="478D69C3"/>
    <w:rsid w:val="478F466E"/>
    <w:rsid w:val="47902E10"/>
    <w:rsid w:val="47906638"/>
    <w:rsid w:val="4792415F"/>
    <w:rsid w:val="47930250"/>
    <w:rsid w:val="479444B6"/>
    <w:rsid w:val="47953C4F"/>
    <w:rsid w:val="479559FD"/>
    <w:rsid w:val="479B1265"/>
    <w:rsid w:val="479C6A6B"/>
    <w:rsid w:val="479D6B22"/>
    <w:rsid w:val="479E417C"/>
    <w:rsid w:val="479E6FA7"/>
    <w:rsid w:val="479E76ED"/>
    <w:rsid w:val="47A0687C"/>
    <w:rsid w:val="47A14704"/>
    <w:rsid w:val="47A30E15"/>
    <w:rsid w:val="47A63131"/>
    <w:rsid w:val="47AA0E1C"/>
    <w:rsid w:val="47AA594C"/>
    <w:rsid w:val="47AC5725"/>
    <w:rsid w:val="47B406DC"/>
    <w:rsid w:val="47B57A38"/>
    <w:rsid w:val="47B916EB"/>
    <w:rsid w:val="47BA5463"/>
    <w:rsid w:val="47BF20A8"/>
    <w:rsid w:val="47C03E21"/>
    <w:rsid w:val="47C159B7"/>
    <w:rsid w:val="47C36A0E"/>
    <w:rsid w:val="47C953AE"/>
    <w:rsid w:val="47CA16E7"/>
    <w:rsid w:val="47CA56A6"/>
    <w:rsid w:val="47CC503A"/>
    <w:rsid w:val="47D26C51"/>
    <w:rsid w:val="47D40B4C"/>
    <w:rsid w:val="47D41223"/>
    <w:rsid w:val="47D77DC3"/>
    <w:rsid w:val="47D91B84"/>
    <w:rsid w:val="47DE55F6"/>
    <w:rsid w:val="47DF247D"/>
    <w:rsid w:val="47E21BF4"/>
    <w:rsid w:val="47E924FF"/>
    <w:rsid w:val="47EC7D13"/>
    <w:rsid w:val="47ED75E7"/>
    <w:rsid w:val="47EE1AA6"/>
    <w:rsid w:val="47F00E85"/>
    <w:rsid w:val="47F05FF3"/>
    <w:rsid w:val="47F81D88"/>
    <w:rsid w:val="47FB39F8"/>
    <w:rsid w:val="48017A71"/>
    <w:rsid w:val="48056A48"/>
    <w:rsid w:val="48090F70"/>
    <w:rsid w:val="480D710A"/>
    <w:rsid w:val="4810162F"/>
    <w:rsid w:val="481135AE"/>
    <w:rsid w:val="48131A71"/>
    <w:rsid w:val="48142DC6"/>
    <w:rsid w:val="48160602"/>
    <w:rsid w:val="481C4D7D"/>
    <w:rsid w:val="481E308C"/>
    <w:rsid w:val="481E5F6E"/>
    <w:rsid w:val="48207910"/>
    <w:rsid w:val="482202A1"/>
    <w:rsid w:val="48223734"/>
    <w:rsid w:val="482254E2"/>
    <w:rsid w:val="48243A3C"/>
    <w:rsid w:val="482E032B"/>
    <w:rsid w:val="48311BC9"/>
    <w:rsid w:val="4832149E"/>
    <w:rsid w:val="48335942"/>
    <w:rsid w:val="483416BA"/>
    <w:rsid w:val="483A1E4F"/>
    <w:rsid w:val="483A32C8"/>
    <w:rsid w:val="483B0352"/>
    <w:rsid w:val="483B0836"/>
    <w:rsid w:val="483F4329"/>
    <w:rsid w:val="48403BBB"/>
    <w:rsid w:val="484266DA"/>
    <w:rsid w:val="4844121F"/>
    <w:rsid w:val="48454F0F"/>
    <w:rsid w:val="48472745"/>
    <w:rsid w:val="48487B3C"/>
    <w:rsid w:val="484B1A0D"/>
    <w:rsid w:val="484C049B"/>
    <w:rsid w:val="484C4DFF"/>
    <w:rsid w:val="484D502E"/>
    <w:rsid w:val="484E277B"/>
    <w:rsid w:val="48507E7F"/>
    <w:rsid w:val="48537497"/>
    <w:rsid w:val="485A0874"/>
    <w:rsid w:val="485B29EC"/>
    <w:rsid w:val="485E3715"/>
    <w:rsid w:val="4860600B"/>
    <w:rsid w:val="486430C3"/>
    <w:rsid w:val="48653621"/>
    <w:rsid w:val="486A0269"/>
    <w:rsid w:val="486A5E8E"/>
    <w:rsid w:val="486B66A9"/>
    <w:rsid w:val="486C2C02"/>
    <w:rsid w:val="486E0728"/>
    <w:rsid w:val="486F53C0"/>
    <w:rsid w:val="48706549"/>
    <w:rsid w:val="48723AE3"/>
    <w:rsid w:val="487321E2"/>
    <w:rsid w:val="48735221"/>
    <w:rsid w:val="48741AB6"/>
    <w:rsid w:val="487628BC"/>
    <w:rsid w:val="48774226"/>
    <w:rsid w:val="487815A6"/>
    <w:rsid w:val="48785BFB"/>
    <w:rsid w:val="487877F8"/>
    <w:rsid w:val="487B1097"/>
    <w:rsid w:val="487D0C1F"/>
    <w:rsid w:val="487D3F41"/>
    <w:rsid w:val="487E2EFD"/>
    <w:rsid w:val="487E491C"/>
    <w:rsid w:val="487F52F6"/>
    <w:rsid w:val="488063CB"/>
    <w:rsid w:val="488520C4"/>
    <w:rsid w:val="488717E9"/>
    <w:rsid w:val="48885504"/>
    <w:rsid w:val="4889543F"/>
    <w:rsid w:val="488D4AAC"/>
    <w:rsid w:val="488E5609"/>
    <w:rsid w:val="48924B48"/>
    <w:rsid w:val="48934632"/>
    <w:rsid w:val="489740E3"/>
    <w:rsid w:val="48987CCA"/>
    <w:rsid w:val="489B7043"/>
    <w:rsid w:val="48A205AA"/>
    <w:rsid w:val="48A24875"/>
    <w:rsid w:val="48A50654"/>
    <w:rsid w:val="48A52D41"/>
    <w:rsid w:val="48A57EC2"/>
    <w:rsid w:val="48A759E8"/>
    <w:rsid w:val="48AB3FC1"/>
    <w:rsid w:val="48AE6D76"/>
    <w:rsid w:val="48B62D10"/>
    <w:rsid w:val="48B704BD"/>
    <w:rsid w:val="48BA396D"/>
    <w:rsid w:val="48BC5937"/>
    <w:rsid w:val="48BD520B"/>
    <w:rsid w:val="48BE4A6C"/>
    <w:rsid w:val="48C31DB3"/>
    <w:rsid w:val="48C42D49"/>
    <w:rsid w:val="48C742DC"/>
    <w:rsid w:val="48C96949"/>
    <w:rsid w:val="48CA1757"/>
    <w:rsid w:val="48CA4CE9"/>
    <w:rsid w:val="48CB4E19"/>
    <w:rsid w:val="48CC4820"/>
    <w:rsid w:val="48CE11C6"/>
    <w:rsid w:val="48CF0775"/>
    <w:rsid w:val="48CF2312"/>
    <w:rsid w:val="48CF3887"/>
    <w:rsid w:val="48D04F3E"/>
    <w:rsid w:val="48D12A65"/>
    <w:rsid w:val="48D2339E"/>
    <w:rsid w:val="48D42AEB"/>
    <w:rsid w:val="48D552C8"/>
    <w:rsid w:val="48D90D7D"/>
    <w:rsid w:val="48D9333D"/>
    <w:rsid w:val="48D97C39"/>
    <w:rsid w:val="48DA3857"/>
    <w:rsid w:val="48DB1376"/>
    <w:rsid w:val="48DB6941"/>
    <w:rsid w:val="48DD02C3"/>
    <w:rsid w:val="48DD58AD"/>
    <w:rsid w:val="48E1714C"/>
    <w:rsid w:val="48E571AC"/>
    <w:rsid w:val="48E721AE"/>
    <w:rsid w:val="48E809A4"/>
    <w:rsid w:val="48E850D8"/>
    <w:rsid w:val="48EA3B26"/>
    <w:rsid w:val="48EB621C"/>
    <w:rsid w:val="48EC55EE"/>
    <w:rsid w:val="48ED6EE3"/>
    <w:rsid w:val="48EF1E44"/>
    <w:rsid w:val="48EF7956"/>
    <w:rsid w:val="48F54724"/>
    <w:rsid w:val="48F563DF"/>
    <w:rsid w:val="48F618EF"/>
    <w:rsid w:val="48F644C0"/>
    <w:rsid w:val="48F65D82"/>
    <w:rsid w:val="48F778B5"/>
    <w:rsid w:val="48FA020D"/>
    <w:rsid w:val="48FB74D5"/>
    <w:rsid w:val="48FD2B21"/>
    <w:rsid w:val="49023F16"/>
    <w:rsid w:val="49026EB0"/>
    <w:rsid w:val="49035C1C"/>
    <w:rsid w:val="49042E3A"/>
    <w:rsid w:val="4905074B"/>
    <w:rsid w:val="49054987"/>
    <w:rsid w:val="49060960"/>
    <w:rsid w:val="49060C39"/>
    <w:rsid w:val="49061623"/>
    <w:rsid w:val="49086163"/>
    <w:rsid w:val="490966A2"/>
    <w:rsid w:val="490B241B"/>
    <w:rsid w:val="490E5A67"/>
    <w:rsid w:val="4910358D"/>
    <w:rsid w:val="4916491B"/>
    <w:rsid w:val="491737F8"/>
    <w:rsid w:val="49173D1D"/>
    <w:rsid w:val="4917465A"/>
    <w:rsid w:val="491A5E9D"/>
    <w:rsid w:val="491B2179"/>
    <w:rsid w:val="491D3EFC"/>
    <w:rsid w:val="491E0224"/>
    <w:rsid w:val="49213ACE"/>
    <w:rsid w:val="4921579A"/>
    <w:rsid w:val="492359B6"/>
    <w:rsid w:val="49240FFA"/>
    <w:rsid w:val="4924528A"/>
    <w:rsid w:val="49262DB0"/>
    <w:rsid w:val="492939CC"/>
    <w:rsid w:val="492B0FBF"/>
    <w:rsid w:val="492B1D1F"/>
    <w:rsid w:val="492C7085"/>
    <w:rsid w:val="492D05E3"/>
    <w:rsid w:val="492D5A1F"/>
    <w:rsid w:val="49325BF9"/>
    <w:rsid w:val="49343ADA"/>
    <w:rsid w:val="49346725"/>
    <w:rsid w:val="49382AE4"/>
    <w:rsid w:val="493952FF"/>
    <w:rsid w:val="493B2C4E"/>
    <w:rsid w:val="493C0826"/>
    <w:rsid w:val="493C688D"/>
    <w:rsid w:val="493C6A78"/>
    <w:rsid w:val="493E021A"/>
    <w:rsid w:val="493F1574"/>
    <w:rsid w:val="494178AD"/>
    <w:rsid w:val="49452BA0"/>
    <w:rsid w:val="49465201"/>
    <w:rsid w:val="49470F79"/>
    <w:rsid w:val="49476D31"/>
    <w:rsid w:val="494A36C3"/>
    <w:rsid w:val="494B0A69"/>
    <w:rsid w:val="494C0793"/>
    <w:rsid w:val="494E5765"/>
    <w:rsid w:val="49532C07"/>
    <w:rsid w:val="49535CBF"/>
    <w:rsid w:val="49547044"/>
    <w:rsid w:val="4957480F"/>
    <w:rsid w:val="495913D8"/>
    <w:rsid w:val="495A31B3"/>
    <w:rsid w:val="495C4A24"/>
    <w:rsid w:val="495C6A49"/>
    <w:rsid w:val="495D53AD"/>
    <w:rsid w:val="495E1242"/>
    <w:rsid w:val="495F2766"/>
    <w:rsid w:val="495F570C"/>
    <w:rsid w:val="495F741D"/>
    <w:rsid w:val="496438D9"/>
    <w:rsid w:val="49643ED9"/>
    <w:rsid w:val="49655F9F"/>
    <w:rsid w:val="49663FA8"/>
    <w:rsid w:val="496658A3"/>
    <w:rsid w:val="49666531"/>
    <w:rsid w:val="496833C9"/>
    <w:rsid w:val="49695393"/>
    <w:rsid w:val="49696660"/>
    <w:rsid w:val="496A2DDB"/>
    <w:rsid w:val="496B2EB9"/>
    <w:rsid w:val="496E23B4"/>
    <w:rsid w:val="497003A2"/>
    <w:rsid w:val="49710515"/>
    <w:rsid w:val="497241A8"/>
    <w:rsid w:val="49725893"/>
    <w:rsid w:val="49731D6E"/>
    <w:rsid w:val="497576BC"/>
    <w:rsid w:val="497E3790"/>
    <w:rsid w:val="497F2E77"/>
    <w:rsid w:val="49804EB2"/>
    <w:rsid w:val="49821348"/>
    <w:rsid w:val="49821F37"/>
    <w:rsid w:val="49826689"/>
    <w:rsid w:val="4983035C"/>
    <w:rsid w:val="49845D8B"/>
    <w:rsid w:val="49846628"/>
    <w:rsid w:val="49853A7C"/>
    <w:rsid w:val="498576BF"/>
    <w:rsid w:val="498814C5"/>
    <w:rsid w:val="498C23FF"/>
    <w:rsid w:val="498F60E8"/>
    <w:rsid w:val="49900B72"/>
    <w:rsid w:val="49906437"/>
    <w:rsid w:val="49916E11"/>
    <w:rsid w:val="4994148D"/>
    <w:rsid w:val="49956188"/>
    <w:rsid w:val="49957F36"/>
    <w:rsid w:val="499A379E"/>
    <w:rsid w:val="499C0CBA"/>
    <w:rsid w:val="499E503D"/>
    <w:rsid w:val="49A259EF"/>
    <w:rsid w:val="49A32653"/>
    <w:rsid w:val="49A3420A"/>
    <w:rsid w:val="49A90533"/>
    <w:rsid w:val="49AA06D1"/>
    <w:rsid w:val="49AC05F5"/>
    <w:rsid w:val="49AD2737"/>
    <w:rsid w:val="49AD43B4"/>
    <w:rsid w:val="49AE2DA6"/>
    <w:rsid w:val="49AE42D7"/>
    <w:rsid w:val="49AF2B26"/>
    <w:rsid w:val="49B03EC5"/>
    <w:rsid w:val="49B22896"/>
    <w:rsid w:val="49B477D5"/>
    <w:rsid w:val="49BD5860"/>
    <w:rsid w:val="49BE3EF1"/>
    <w:rsid w:val="49BE48FF"/>
    <w:rsid w:val="49BF6D61"/>
    <w:rsid w:val="49C10760"/>
    <w:rsid w:val="49C10D2B"/>
    <w:rsid w:val="49C113FF"/>
    <w:rsid w:val="49C12AD9"/>
    <w:rsid w:val="49C26F36"/>
    <w:rsid w:val="49C37A5B"/>
    <w:rsid w:val="49C83ABC"/>
    <w:rsid w:val="49CA4084"/>
    <w:rsid w:val="49D071C0"/>
    <w:rsid w:val="49D14E84"/>
    <w:rsid w:val="49D34515"/>
    <w:rsid w:val="49D83A04"/>
    <w:rsid w:val="49D96075"/>
    <w:rsid w:val="49DA4070"/>
    <w:rsid w:val="49E0196C"/>
    <w:rsid w:val="49E46123"/>
    <w:rsid w:val="49EC22F3"/>
    <w:rsid w:val="49EC3FFA"/>
    <w:rsid w:val="49EF7C48"/>
    <w:rsid w:val="49F107DC"/>
    <w:rsid w:val="49F25388"/>
    <w:rsid w:val="49F27774"/>
    <w:rsid w:val="49F31551"/>
    <w:rsid w:val="49F432E6"/>
    <w:rsid w:val="49F556AA"/>
    <w:rsid w:val="49F9610D"/>
    <w:rsid w:val="49FB3008"/>
    <w:rsid w:val="49FB31BE"/>
    <w:rsid w:val="49FB423D"/>
    <w:rsid w:val="49FD6BAA"/>
    <w:rsid w:val="4A0008D3"/>
    <w:rsid w:val="4A031344"/>
    <w:rsid w:val="4A04706C"/>
    <w:rsid w:val="4A065361"/>
    <w:rsid w:val="4A0728F3"/>
    <w:rsid w:val="4A0B1FA6"/>
    <w:rsid w:val="4A0B78D0"/>
    <w:rsid w:val="4A0D21C2"/>
    <w:rsid w:val="4A0D3F70"/>
    <w:rsid w:val="4A0E66EB"/>
    <w:rsid w:val="4A0F3823"/>
    <w:rsid w:val="4A0F64E6"/>
    <w:rsid w:val="4A0F7CE8"/>
    <w:rsid w:val="4A117F6C"/>
    <w:rsid w:val="4A120366"/>
    <w:rsid w:val="4A15042C"/>
    <w:rsid w:val="4A191BB4"/>
    <w:rsid w:val="4A192915"/>
    <w:rsid w:val="4A1D2868"/>
    <w:rsid w:val="4A1E3088"/>
    <w:rsid w:val="4A1F5030"/>
    <w:rsid w:val="4A217C4B"/>
    <w:rsid w:val="4A282B58"/>
    <w:rsid w:val="4A286FFC"/>
    <w:rsid w:val="4A2A74E3"/>
    <w:rsid w:val="4A2B42F6"/>
    <w:rsid w:val="4A2E48B0"/>
    <w:rsid w:val="4A2F6066"/>
    <w:rsid w:val="4A327B01"/>
    <w:rsid w:val="4A3634C7"/>
    <w:rsid w:val="4A380B23"/>
    <w:rsid w:val="4A3C6604"/>
    <w:rsid w:val="4A3E4206"/>
    <w:rsid w:val="4A403EE4"/>
    <w:rsid w:val="4A421E6C"/>
    <w:rsid w:val="4A435BE4"/>
    <w:rsid w:val="4A467655"/>
    <w:rsid w:val="4A4831FA"/>
    <w:rsid w:val="4A4B3F64"/>
    <w:rsid w:val="4A4C2CF7"/>
    <w:rsid w:val="4A4C4A99"/>
    <w:rsid w:val="4A4D0811"/>
    <w:rsid w:val="4A581C9D"/>
    <w:rsid w:val="4A583605"/>
    <w:rsid w:val="4A592141"/>
    <w:rsid w:val="4A5B1180"/>
    <w:rsid w:val="4A5D7178"/>
    <w:rsid w:val="4A604A63"/>
    <w:rsid w:val="4A617494"/>
    <w:rsid w:val="4A6476D1"/>
    <w:rsid w:val="4A6718D3"/>
    <w:rsid w:val="4A6B75B6"/>
    <w:rsid w:val="4A6D4A0F"/>
    <w:rsid w:val="4A6F69D9"/>
    <w:rsid w:val="4A714C75"/>
    <w:rsid w:val="4A724208"/>
    <w:rsid w:val="4A735A25"/>
    <w:rsid w:val="4A742241"/>
    <w:rsid w:val="4A7428FB"/>
    <w:rsid w:val="4A745D9D"/>
    <w:rsid w:val="4A784300"/>
    <w:rsid w:val="4A7A1270"/>
    <w:rsid w:val="4A7A13F6"/>
    <w:rsid w:val="4A7B31CD"/>
    <w:rsid w:val="4A7B712C"/>
    <w:rsid w:val="4A7F4E6E"/>
    <w:rsid w:val="4A7F66F1"/>
    <w:rsid w:val="4A817509"/>
    <w:rsid w:val="4A8204BA"/>
    <w:rsid w:val="4A857FAB"/>
    <w:rsid w:val="4A8723E4"/>
    <w:rsid w:val="4A882BBB"/>
    <w:rsid w:val="4A883CCD"/>
    <w:rsid w:val="4A8B0324"/>
    <w:rsid w:val="4A8B5F7D"/>
    <w:rsid w:val="4A8C5062"/>
    <w:rsid w:val="4A8C70C9"/>
    <w:rsid w:val="4A8D6256"/>
    <w:rsid w:val="4A8D7C62"/>
    <w:rsid w:val="4A8E6E5F"/>
    <w:rsid w:val="4A8F2BD7"/>
    <w:rsid w:val="4A9138C5"/>
    <w:rsid w:val="4A924C57"/>
    <w:rsid w:val="4A9326C8"/>
    <w:rsid w:val="4A960A49"/>
    <w:rsid w:val="4A962857"/>
    <w:rsid w:val="4A963F66"/>
    <w:rsid w:val="4A9804CE"/>
    <w:rsid w:val="4A981A8C"/>
    <w:rsid w:val="4A9B05A9"/>
    <w:rsid w:val="4A9B77CE"/>
    <w:rsid w:val="4A9E50FD"/>
    <w:rsid w:val="4AA31C82"/>
    <w:rsid w:val="4AA3746A"/>
    <w:rsid w:val="4AA43E69"/>
    <w:rsid w:val="4AA6409B"/>
    <w:rsid w:val="4AAA2983"/>
    <w:rsid w:val="4AAA5D75"/>
    <w:rsid w:val="4AAA60D5"/>
    <w:rsid w:val="4AAE7AFD"/>
    <w:rsid w:val="4AAF2268"/>
    <w:rsid w:val="4AB12B4E"/>
    <w:rsid w:val="4AB56533"/>
    <w:rsid w:val="4AB60164"/>
    <w:rsid w:val="4AB80380"/>
    <w:rsid w:val="4AB97539"/>
    <w:rsid w:val="4ABA5FDF"/>
    <w:rsid w:val="4ABB1C1E"/>
    <w:rsid w:val="4ABD14F2"/>
    <w:rsid w:val="4ABE2A8F"/>
    <w:rsid w:val="4ABF59B7"/>
    <w:rsid w:val="4AC11ECE"/>
    <w:rsid w:val="4AC26B09"/>
    <w:rsid w:val="4AC665C2"/>
    <w:rsid w:val="4AC72371"/>
    <w:rsid w:val="4AC72AD7"/>
    <w:rsid w:val="4AC74505"/>
    <w:rsid w:val="4ACA0780"/>
    <w:rsid w:val="4ACA1D18"/>
    <w:rsid w:val="4ACA1E61"/>
    <w:rsid w:val="4ACA7D7A"/>
    <w:rsid w:val="4ACC7DDB"/>
    <w:rsid w:val="4ACF7499"/>
    <w:rsid w:val="4AD10481"/>
    <w:rsid w:val="4AD2498A"/>
    <w:rsid w:val="4AD54A8E"/>
    <w:rsid w:val="4AD5594C"/>
    <w:rsid w:val="4AD72235"/>
    <w:rsid w:val="4AD93E52"/>
    <w:rsid w:val="4ADC10E3"/>
    <w:rsid w:val="4ADD66D9"/>
    <w:rsid w:val="4ADE4594"/>
    <w:rsid w:val="4ADF4F9C"/>
    <w:rsid w:val="4ADF53D0"/>
    <w:rsid w:val="4ADF6F8E"/>
    <w:rsid w:val="4AE271AB"/>
    <w:rsid w:val="4AE35423"/>
    <w:rsid w:val="4AE64EED"/>
    <w:rsid w:val="4AE66C9B"/>
    <w:rsid w:val="4AE83401"/>
    <w:rsid w:val="4AEB2284"/>
    <w:rsid w:val="4AEE7367"/>
    <w:rsid w:val="4AEE78FE"/>
    <w:rsid w:val="4AEF3676"/>
    <w:rsid w:val="4AF0290B"/>
    <w:rsid w:val="4AF13892"/>
    <w:rsid w:val="4AF46894"/>
    <w:rsid w:val="4AF550ED"/>
    <w:rsid w:val="4AF60EA8"/>
    <w:rsid w:val="4AF61B6A"/>
    <w:rsid w:val="4AF64A04"/>
    <w:rsid w:val="4AF75215"/>
    <w:rsid w:val="4AF81276"/>
    <w:rsid w:val="4AF8594A"/>
    <w:rsid w:val="4AFB5BD2"/>
    <w:rsid w:val="4AFC26D1"/>
    <w:rsid w:val="4B0230A8"/>
    <w:rsid w:val="4B045373"/>
    <w:rsid w:val="4B050A17"/>
    <w:rsid w:val="4B052E99"/>
    <w:rsid w:val="4B0542B3"/>
    <w:rsid w:val="4B0A11CE"/>
    <w:rsid w:val="4B0A47E5"/>
    <w:rsid w:val="4B0B3E76"/>
    <w:rsid w:val="4B0C5FD6"/>
    <w:rsid w:val="4B0E61F2"/>
    <w:rsid w:val="4B0F594C"/>
    <w:rsid w:val="4B0F6E97"/>
    <w:rsid w:val="4B101F6A"/>
    <w:rsid w:val="4B11183E"/>
    <w:rsid w:val="4B115A3A"/>
    <w:rsid w:val="4B142F47"/>
    <w:rsid w:val="4B187071"/>
    <w:rsid w:val="4B1A4B97"/>
    <w:rsid w:val="4B1C090F"/>
    <w:rsid w:val="4B1C363A"/>
    <w:rsid w:val="4B205CD2"/>
    <w:rsid w:val="4B215F25"/>
    <w:rsid w:val="4B217E16"/>
    <w:rsid w:val="4B232DA2"/>
    <w:rsid w:val="4B241572"/>
    <w:rsid w:val="4B262808"/>
    <w:rsid w:val="4B2772B4"/>
    <w:rsid w:val="4B285784"/>
    <w:rsid w:val="4B2B6C3E"/>
    <w:rsid w:val="4B2E0642"/>
    <w:rsid w:val="4B2F43E5"/>
    <w:rsid w:val="4B3043BA"/>
    <w:rsid w:val="4B306168"/>
    <w:rsid w:val="4B321807"/>
    <w:rsid w:val="4B321EE0"/>
    <w:rsid w:val="4B35552D"/>
    <w:rsid w:val="4B35576D"/>
    <w:rsid w:val="4B375C2E"/>
    <w:rsid w:val="4B38326F"/>
    <w:rsid w:val="4B383FED"/>
    <w:rsid w:val="4B3D2633"/>
    <w:rsid w:val="4B3D424A"/>
    <w:rsid w:val="4B3D4F44"/>
    <w:rsid w:val="4B3E36B9"/>
    <w:rsid w:val="4B3F45FD"/>
    <w:rsid w:val="4B410375"/>
    <w:rsid w:val="4B4439C2"/>
    <w:rsid w:val="4B460B4B"/>
    <w:rsid w:val="4B46512A"/>
    <w:rsid w:val="4B466544"/>
    <w:rsid w:val="4B4734B2"/>
    <w:rsid w:val="4B49722A"/>
    <w:rsid w:val="4B4B4017"/>
    <w:rsid w:val="4B4B4D50"/>
    <w:rsid w:val="4B4B4D7A"/>
    <w:rsid w:val="4B517E8D"/>
    <w:rsid w:val="4B5459A0"/>
    <w:rsid w:val="4B55797D"/>
    <w:rsid w:val="4B5736F5"/>
    <w:rsid w:val="4B5A4890"/>
    <w:rsid w:val="4B5D43C3"/>
    <w:rsid w:val="4B5D5079"/>
    <w:rsid w:val="4B5F25AA"/>
    <w:rsid w:val="4B6020DB"/>
    <w:rsid w:val="4B606CD6"/>
    <w:rsid w:val="4B693428"/>
    <w:rsid w:val="4B6A4C38"/>
    <w:rsid w:val="4B6B71A0"/>
    <w:rsid w:val="4B6D116B"/>
    <w:rsid w:val="4B7063B8"/>
    <w:rsid w:val="4B725159"/>
    <w:rsid w:val="4B751DCD"/>
    <w:rsid w:val="4B7604A4"/>
    <w:rsid w:val="4B78366B"/>
    <w:rsid w:val="4B784F16"/>
    <w:rsid w:val="4B796544"/>
    <w:rsid w:val="4B7C5C51"/>
    <w:rsid w:val="4B7D0C82"/>
    <w:rsid w:val="4B7D226C"/>
    <w:rsid w:val="4B817745"/>
    <w:rsid w:val="4B817EFD"/>
    <w:rsid w:val="4B820492"/>
    <w:rsid w:val="4B8517C9"/>
    <w:rsid w:val="4B874136"/>
    <w:rsid w:val="4B8819D4"/>
    <w:rsid w:val="4B885FA4"/>
    <w:rsid w:val="4B8A1D1C"/>
    <w:rsid w:val="4B8D35BB"/>
    <w:rsid w:val="4B8E70BC"/>
    <w:rsid w:val="4B900655"/>
    <w:rsid w:val="4B910A04"/>
    <w:rsid w:val="4B912189"/>
    <w:rsid w:val="4B92129D"/>
    <w:rsid w:val="4B936336"/>
    <w:rsid w:val="4B956967"/>
    <w:rsid w:val="4B9621C0"/>
    <w:rsid w:val="4B98310F"/>
    <w:rsid w:val="4B983D0E"/>
    <w:rsid w:val="4B9844F7"/>
    <w:rsid w:val="4B985ABC"/>
    <w:rsid w:val="4B9868B7"/>
    <w:rsid w:val="4B995EC1"/>
    <w:rsid w:val="4B9A7A86"/>
    <w:rsid w:val="4B9F58B7"/>
    <w:rsid w:val="4BA01D01"/>
    <w:rsid w:val="4BA10E14"/>
    <w:rsid w:val="4BA33FD7"/>
    <w:rsid w:val="4BA37EF3"/>
    <w:rsid w:val="4BA52911"/>
    <w:rsid w:val="4BA729C7"/>
    <w:rsid w:val="4BA80A71"/>
    <w:rsid w:val="4BA8188C"/>
    <w:rsid w:val="4BA83353"/>
    <w:rsid w:val="4BA95F1B"/>
    <w:rsid w:val="4BAE6383"/>
    <w:rsid w:val="4BB01057"/>
    <w:rsid w:val="4BB67EC9"/>
    <w:rsid w:val="4BB7397C"/>
    <w:rsid w:val="4BB943B0"/>
    <w:rsid w:val="4BBC5C4E"/>
    <w:rsid w:val="4BC05088"/>
    <w:rsid w:val="4BC31A99"/>
    <w:rsid w:val="4BC915C7"/>
    <w:rsid w:val="4BCC3193"/>
    <w:rsid w:val="4BCC491D"/>
    <w:rsid w:val="4BCC585A"/>
    <w:rsid w:val="4BCE41B0"/>
    <w:rsid w:val="4BCE7FB9"/>
    <w:rsid w:val="4BCF5981"/>
    <w:rsid w:val="4BD034A7"/>
    <w:rsid w:val="4BD27220"/>
    <w:rsid w:val="4BD85ABE"/>
    <w:rsid w:val="4BD86D14"/>
    <w:rsid w:val="4BD91F73"/>
    <w:rsid w:val="4BDD19BC"/>
    <w:rsid w:val="4BDE0179"/>
    <w:rsid w:val="4BDE3E16"/>
    <w:rsid w:val="4BE04305"/>
    <w:rsid w:val="4BE11211"/>
    <w:rsid w:val="4BE45919"/>
    <w:rsid w:val="4BE64A79"/>
    <w:rsid w:val="4BE753D1"/>
    <w:rsid w:val="4BEA7622"/>
    <w:rsid w:val="4BEC77C6"/>
    <w:rsid w:val="4BEE56E3"/>
    <w:rsid w:val="4BF03B4A"/>
    <w:rsid w:val="4BF2154C"/>
    <w:rsid w:val="4BF215A6"/>
    <w:rsid w:val="4BF309D3"/>
    <w:rsid w:val="4BF76C86"/>
    <w:rsid w:val="4BF841D3"/>
    <w:rsid w:val="4BF900B2"/>
    <w:rsid w:val="4BFD18C8"/>
    <w:rsid w:val="4BFE4B66"/>
    <w:rsid w:val="4BFE6267"/>
    <w:rsid w:val="4C01598E"/>
    <w:rsid w:val="4C036058"/>
    <w:rsid w:val="4C0373D9"/>
    <w:rsid w:val="4C0441F7"/>
    <w:rsid w:val="4C075A54"/>
    <w:rsid w:val="4C081CA4"/>
    <w:rsid w:val="4C093A8A"/>
    <w:rsid w:val="4C0A0997"/>
    <w:rsid w:val="4C0F6E78"/>
    <w:rsid w:val="4C1623EB"/>
    <w:rsid w:val="4C194E4E"/>
    <w:rsid w:val="4C1E7CDB"/>
    <w:rsid w:val="4C1F5029"/>
    <w:rsid w:val="4C223262"/>
    <w:rsid w:val="4C237FED"/>
    <w:rsid w:val="4C242D73"/>
    <w:rsid w:val="4C243F0A"/>
    <w:rsid w:val="4C25440C"/>
    <w:rsid w:val="4C2630C7"/>
    <w:rsid w:val="4C27788D"/>
    <w:rsid w:val="4C290139"/>
    <w:rsid w:val="4C2B34A4"/>
    <w:rsid w:val="4C2F6420"/>
    <w:rsid w:val="4C307344"/>
    <w:rsid w:val="4C326C8E"/>
    <w:rsid w:val="4C354463"/>
    <w:rsid w:val="4C360942"/>
    <w:rsid w:val="4C365A00"/>
    <w:rsid w:val="4C3B162A"/>
    <w:rsid w:val="4C3E48B5"/>
    <w:rsid w:val="4C3E6205"/>
    <w:rsid w:val="4C3F5E28"/>
    <w:rsid w:val="4C4179C2"/>
    <w:rsid w:val="4C473013"/>
    <w:rsid w:val="4C4C6440"/>
    <w:rsid w:val="4C4C7539"/>
    <w:rsid w:val="4C4F35BC"/>
    <w:rsid w:val="4C4F6AC2"/>
    <w:rsid w:val="4C5314CC"/>
    <w:rsid w:val="4C53424A"/>
    <w:rsid w:val="4C5479B0"/>
    <w:rsid w:val="4C556EE6"/>
    <w:rsid w:val="4C56217A"/>
    <w:rsid w:val="4C5862A3"/>
    <w:rsid w:val="4C587B46"/>
    <w:rsid w:val="4C59524B"/>
    <w:rsid w:val="4C5B7215"/>
    <w:rsid w:val="4C5D6A3D"/>
    <w:rsid w:val="4C6034DF"/>
    <w:rsid w:val="4C603B11"/>
    <w:rsid w:val="4C60482B"/>
    <w:rsid w:val="4C6053BE"/>
    <w:rsid w:val="4C634BA7"/>
    <w:rsid w:val="4C641089"/>
    <w:rsid w:val="4C665ECB"/>
    <w:rsid w:val="4C675BBA"/>
    <w:rsid w:val="4C6B49CF"/>
    <w:rsid w:val="4C6D6F48"/>
    <w:rsid w:val="4C6F0F12"/>
    <w:rsid w:val="4C70464E"/>
    <w:rsid w:val="4C704EB3"/>
    <w:rsid w:val="4C70587D"/>
    <w:rsid w:val="4C713A3D"/>
    <w:rsid w:val="4C714C8A"/>
    <w:rsid w:val="4C716A38"/>
    <w:rsid w:val="4C7178EC"/>
    <w:rsid w:val="4C75760F"/>
    <w:rsid w:val="4C781D6C"/>
    <w:rsid w:val="4C7C7FD0"/>
    <w:rsid w:val="4C7E5B37"/>
    <w:rsid w:val="4C7F2D46"/>
    <w:rsid w:val="4C8524E4"/>
    <w:rsid w:val="4C855898"/>
    <w:rsid w:val="4C871DB8"/>
    <w:rsid w:val="4C88556D"/>
    <w:rsid w:val="4C89165D"/>
    <w:rsid w:val="4C891FD4"/>
    <w:rsid w:val="4C8958D2"/>
    <w:rsid w:val="4C9362EB"/>
    <w:rsid w:val="4C9431EA"/>
    <w:rsid w:val="4C971A72"/>
    <w:rsid w:val="4C994A2C"/>
    <w:rsid w:val="4C9A4AB5"/>
    <w:rsid w:val="4C9E5360"/>
    <w:rsid w:val="4CA4286F"/>
    <w:rsid w:val="4CA45413"/>
    <w:rsid w:val="4CA47AE0"/>
    <w:rsid w:val="4CA54934"/>
    <w:rsid w:val="4CA63FAC"/>
    <w:rsid w:val="4CA74208"/>
    <w:rsid w:val="4CA80FE3"/>
    <w:rsid w:val="4CA8697D"/>
    <w:rsid w:val="4CAA019C"/>
    <w:rsid w:val="4CAC0DF4"/>
    <w:rsid w:val="4CAD20F3"/>
    <w:rsid w:val="4CAE37E9"/>
    <w:rsid w:val="4CB24246"/>
    <w:rsid w:val="4CB36478"/>
    <w:rsid w:val="4CB44B77"/>
    <w:rsid w:val="4CB47370"/>
    <w:rsid w:val="4CB6269D"/>
    <w:rsid w:val="4CB77DA6"/>
    <w:rsid w:val="4CBB224D"/>
    <w:rsid w:val="4CBE1552"/>
    <w:rsid w:val="4CC0351C"/>
    <w:rsid w:val="4CC21042"/>
    <w:rsid w:val="4CC23180"/>
    <w:rsid w:val="4CC33C64"/>
    <w:rsid w:val="4CC42316"/>
    <w:rsid w:val="4CC50B32"/>
    <w:rsid w:val="4CC52286"/>
    <w:rsid w:val="4CC55378"/>
    <w:rsid w:val="4CC72AFC"/>
    <w:rsid w:val="4CC83045"/>
    <w:rsid w:val="4CC93786"/>
    <w:rsid w:val="4CCA0E09"/>
    <w:rsid w:val="4CCA439B"/>
    <w:rsid w:val="4CCE6E08"/>
    <w:rsid w:val="4CCE736A"/>
    <w:rsid w:val="4CCF19B1"/>
    <w:rsid w:val="4CD3324F"/>
    <w:rsid w:val="4CD362CA"/>
    <w:rsid w:val="4CD9638C"/>
    <w:rsid w:val="4CDB2544"/>
    <w:rsid w:val="4CDD5E7C"/>
    <w:rsid w:val="4CDE39A2"/>
    <w:rsid w:val="4CE01D90"/>
    <w:rsid w:val="4CE0596C"/>
    <w:rsid w:val="4CE07F1F"/>
    <w:rsid w:val="4CE1714D"/>
    <w:rsid w:val="4CE17311"/>
    <w:rsid w:val="4CE32979"/>
    <w:rsid w:val="4CE72828"/>
    <w:rsid w:val="4CEE5539"/>
    <w:rsid w:val="4CEE62DB"/>
    <w:rsid w:val="4CEF1611"/>
    <w:rsid w:val="4CEF74A5"/>
    <w:rsid w:val="4CF02490"/>
    <w:rsid w:val="4CF12C3C"/>
    <w:rsid w:val="4CF338F1"/>
    <w:rsid w:val="4CF4388E"/>
    <w:rsid w:val="4CF5766A"/>
    <w:rsid w:val="4CF722FD"/>
    <w:rsid w:val="4CF84A64"/>
    <w:rsid w:val="4CF91A9B"/>
    <w:rsid w:val="4CFA3536"/>
    <w:rsid w:val="4CFB4554"/>
    <w:rsid w:val="4CFD651E"/>
    <w:rsid w:val="4CFE5DF2"/>
    <w:rsid w:val="4D045794"/>
    <w:rsid w:val="4D0B5FEA"/>
    <w:rsid w:val="4D0C2EA5"/>
    <w:rsid w:val="4D0D7E13"/>
    <w:rsid w:val="4D0E2D62"/>
    <w:rsid w:val="4D0E652F"/>
    <w:rsid w:val="4D110FBB"/>
    <w:rsid w:val="4D163416"/>
    <w:rsid w:val="4D185106"/>
    <w:rsid w:val="4D192A7C"/>
    <w:rsid w:val="4D1A2C2C"/>
    <w:rsid w:val="4D2044CD"/>
    <w:rsid w:val="4D231481"/>
    <w:rsid w:val="4D236632"/>
    <w:rsid w:val="4D267451"/>
    <w:rsid w:val="4D271DD5"/>
    <w:rsid w:val="4D274534"/>
    <w:rsid w:val="4D2770F7"/>
    <w:rsid w:val="4D2829FD"/>
    <w:rsid w:val="4D2C4D36"/>
    <w:rsid w:val="4D2D4BAA"/>
    <w:rsid w:val="4D2D62EB"/>
    <w:rsid w:val="4D2F41FE"/>
    <w:rsid w:val="4D31441A"/>
    <w:rsid w:val="4D317F76"/>
    <w:rsid w:val="4D336C1A"/>
    <w:rsid w:val="4D341814"/>
    <w:rsid w:val="4D357A66"/>
    <w:rsid w:val="4D382631"/>
    <w:rsid w:val="4D3A0517"/>
    <w:rsid w:val="4D3A32CE"/>
    <w:rsid w:val="4D3A50CF"/>
    <w:rsid w:val="4D3C5DDD"/>
    <w:rsid w:val="4D40004E"/>
    <w:rsid w:val="4D405120"/>
    <w:rsid w:val="4D40640B"/>
    <w:rsid w:val="4D4529C5"/>
    <w:rsid w:val="4D4544B2"/>
    <w:rsid w:val="4D491731"/>
    <w:rsid w:val="4D4A3E41"/>
    <w:rsid w:val="4D4B570A"/>
    <w:rsid w:val="4D550108"/>
    <w:rsid w:val="4D571D1E"/>
    <w:rsid w:val="4D57223F"/>
    <w:rsid w:val="4D57542E"/>
    <w:rsid w:val="4D594AFE"/>
    <w:rsid w:val="4D5A127B"/>
    <w:rsid w:val="4D5D10BD"/>
    <w:rsid w:val="4D5D520F"/>
    <w:rsid w:val="4D6016B7"/>
    <w:rsid w:val="4D61085B"/>
    <w:rsid w:val="4D6245D3"/>
    <w:rsid w:val="4D644442"/>
    <w:rsid w:val="4D6455F8"/>
    <w:rsid w:val="4D6646B1"/>
    <w:rsid w:val="4D665E71"/>
    <w:rsid w:val="4D67545C"/>
    <w:rsid w:val="4D682209"/>
    <w:rsid w:val="4D6C5536"/>
    <w:rsid w:val="4D704352"/>
    <w:rsid w:val="4D754306"/>
    <w:rsid w:val="4D767F72"/>
    <w:rsid w:val="4D786E58"/>
    <w:rsid w:val="4D795AE7"/>
    <w:rsid w:val="4D7A2EA3"/>
    <w:rsid w:val="4D7B7211"/>
    <w:rsid w:val="4D7C3CED"/>
    <w:rsid w:val="4D7C5695"/>
    <w:rsid w:val="4D7D194D"/>
    <w:rsid w:val="4D7E6E1B"/>
    <w:rsid w:val="4D7F0CE1"/>
    <w:rsid w:val="4D7F5185"/>
    <w:rsid w:val="4D82166B"/>
    <w:rsid w:val="4D834C75"/>
    <w:rsid w:val="4D8409ED"/>
    <w:rsid w:val="4D847A60"/>
    <w:rsid w:val="4D88228C"/>
    <w:rsid w:val="4D9549A9"/>
    <w:rsid w:val="4D9C7AE5"/>
    <w:rsid w:val="4D9D385D"/>
    <w:rsid w:val="4D9F3131"/>
    <w:rsid w:val="4D9F6104"/>
    <w:rsid w:val="4DA00CDA"/>
    <w:rsid w:val="4DA04F2A"/>
    <w:rsid w:val="4DA10F2C"/>
    <w:rsid w:val="4DA3306D"/>
    <w:rsid w:val="4DA56C09"/>
    <w:rsid w:val="4DA93FB0"/>
    <w:rsid w:val="4DAD1CF2"/>
    <w:rsid w:val="4DAD3AA0"/>
    <w:rsid w:val="4DAE49FC"/>
    <w:rsid w:val="4DAF0AEB"/>
    <w:rsid w:val="4DAF41A0"/>
    <w:rsid w:val="4DB01A5E"/>
    <w:rsid w:val="4DB03871"/>
    <w:rsid w:val="4DB12E65"/>
    <w:rsid w:val="4DB46A0C"/>
    <w:rsid w:val="4DB50BA7"/>
    <w:rsid w:val="4DB766CD"/>
    <w:rsid w:val="4DB85903"/>
    <w:rsid w:val="4DBB1AD3"/>
    <w:rsid w:val="4DBD3AD3"/>
    <w:rsid w:val="4DBD63E3"/>
    <w:rsid w:val="4DBF5582"/>
    <w:rsid w:val="4DC10EB2"/>
    <w:rsid w:val="4DC1357D"/>
    <w:rsid w:val="4DC1579E"/>
    <w:rsid w:val="4DC31516"/>
    <w:rsid w:val="4DC42B98"/>
    <w:rsid w:val="4DCB6644"/>
    <w:rsid w:val="4DD35C44"/>
    <w:rsid w:val="4DD41ED2"/>
    <w:rsid w:val="4DD43DBB"/>
    <w:rsid w:val="4DD54B7C"/>
    <w:rsid w:val="4DD633E1"/>
    <w:rsid w:val="4DD70125"/>
    <w:rsid w:val="4DD728CB"/>
    <w:rsid w:val="4DD75353"/>
    <w:rsid w:val="4DD84EE0"/>
    <w:rsid w:val="4DD9016A"/>
    <w:rsid w:val="4DD9648A"/>
    <w:rsid w:val="4DDA060D"/>
    <w:rsid w:val="4DDB0F60"/>
    <w:rsid w:val="4DDE4787"/>
    <w:rsid w:val="4DE137EE"/>
    <w:rsid w:val="4DE3416A"/>
    <w:rsid w:val="4DE36EBF"/>
    <w:rsid w:val="4DE4148C"/>
    <w:rsid w:val="4DE7646C"/>
    <w:rsid w:val="4DE77E30"/>
    <w:rsid w:val="4DE869A1"/>
    <w:rsid w:val="4DE90850"/>
    <w:rsid w:val="4DE941F9"/>
    <w:rsid w:val="4DEA4CF4"/>
    <w:rsid w:val="4DEB6CBA"/>
    <w:rsid w:val="4DED20EF"/>
    <w:rsid w:val="4DEE6C6B"/>
    <w:rsid w:val="4DF1707F"/>
    <w:rsid w:val="4DF17DD3"/>
    <w:rsid w:val="4DF204A6"/>
    <w:rsid w:val="4DF25C03"/>
    <w:rsid w:val="4DF530D3"/>
    <w:rsid w:val="4DF9095E"/>
    <w:rsid w:val="4DF94F37"/>
    <w:rsid w:val="4DFA0CB0"/>
    <w:rsid w:val="4DFA6321"/>
    <w:rsid w:val="4DFE254E"/>
    <w:rsid w:val="4E037EE6"/>
    <w:rsid w:val="4E067654"/>
    <w:rsid w:val="4E0B07C7"/>
    <w:rsid w:val="4E0B2A9E"/>
    <w:rsid w:val="4E0B6448"/>
    <w:rsid w:val="4E0B6A19"/>
    <w:rsid w:val="4E0E6A31"/>
    <w:rsid w:val="4E10402F"/>
    <w:rsid w:val="4E107BBD"/>
    <w:rsid w:val="4E112952"/>
    <w:rsid w:val="4E162199"/>
    <w:rsid w:val="4E1A60A2"/>
    <w:rsid w:val="4E1B1C73"/>
    <w:rsid w:val="4E1C00A4"/>
    <w:rsid w:val="4E222E26"/>
    <w:rsid w:val="4E233D62"/>
    <w:rsid w:val="4E255D2C"/>
    <w:rsid w:val="4E256AC3"/>
    <w:rsid w:val="4E281379"/>
    <w:rsid w:val="4E28581D"/>
    <w:rsid w:val="4E2B2885"/>
    <w:rsid w:val="4E2B5342"/>
    <w:rsid w:val="4E2B70BB"/>
    <w:rsid w:val="4E2F59DC"/>
    <w:rsid w:val="4E3427C1"/>
    <w:rsid w:val="4E355844"/>
    <w:rsid w:val="4E3E0D43"/>
    <w:rsid w:val="4E3E0D57"/>
    <w:rsid w:val="4E3F594B"/>
    <w:rsid w:val="4E406B13"/>
    <w:rsid w:val="4E4168DE"/>
    <w:rsid w:val="4E423CF6"/>
    <w:rsid w:val="4E4306F0"/>
    <w:rsid w:val="4E437F61"/>
    <w:rsid w:val="4E451F2B"/>
    <w:rsid w:val="4E483E2C"/>
    <w:rsid w:val="4E4A2A5E"/>
    <w:rsid w:val="4E5377DA"/>
    <w:rsid w:val="4E55147F"/>
    <w:rsid w:val="4E575244"/>
    <w:rsid w:val="4E577EB0"/>
    <w:rsid w:val="4E5959D6"/>
    <w:rsid w:val="4E596CB2"/>
    <w:rsid w:val="4E5F42F3"/>
    <w:rsid w:val="4E616639"/>
    <w:rsid w:val="4E617544"/>
    <w:rsid w:val="4E650709"/>
    <w:rsid w:val="4E6879C7"/>
    <w:rsid w:val="4E697980"/>
    <w:rsid w:val="4E6C5F3F"/>
    <w:rsid w:val="4E6E699C"/>
    <w:rsid w:val="4E6F0D56"/>
    <w:rsid w:val="4E7312E2"/>
    <w:rsid w:val="4E782E22"/>
    <w:rsid w:val="4E7919E9"/>
    <w:rsid w:val="4E7A12A5"/>
    <w:rsid w:val="4E7C672B"/>
    <w:rsid w:val="4E7E71EB"/>
    <w:rsid w:val="4E7F1CC2"/>
    <w:rsid w:val="4E80129F"/>
    <w:rsid w:val="4E837333"/>
    <w:rsid w:val="4E8430BC"/>
    <w:rsid w:val="4E870795"/>
    <w:rsid w:val="4E8862BB"/>
    <w:rsid w:val="4E8C7B5A"/>
    <w:rsid w:val="4E8D28FA"/>
    <w:rsid w:val="4E8D5680"/>
    <w:rsid w:val="4E9538C3"/>
    <w:rsid w:val="4E956C6A"/>
    <w:rsid w:val="4E963862"/>
    <w:rsid w:val="4E973E54"/>
    <w:rsid w:val="4E977924"/>
    <w:rsid w:val="4E9843F7"/>
    <w:rsid w:val="4E9904C8"/>
    <w:rsid w:val="4E995D7C"/>
    <w:rsid w:val="4E9B5FEF"/>
    <w:rsid w:val="4E9C1394"/>
    <w:rsid w:val="4E9E4DCF"/>
    <w:rsid w:val="4EA34EE2"/>
    <w:rsid w:val="4EA4053F"/>
    <w:rsid w:val="4EA47356"/>
    <w:rsid w:val="4EA50C1B"/>
    <w:rsid w:val="4EA529C9"/>
    <w:rsid w:val="4EA57CFD"/>
    <w:rsid w:val="4EA604F0"/>
    <w:rsid w:val="4EA76741"/>
    <w:rsid w:val="4EA85D29"/>
    <w:rsid w:val="4EA948AD"/>
    <w:rsid w:val="4EAB7FFC"/>
    <w:rsid w:val="4EAD47F6"/>
    <w:rsid w:val="4EAF0372"/>
    <w:rsid w:val="4EB1100B"/>
    <w:rsid w:val="4EB5120D"/>
    <w:rsid w:val="4EB630BF"/>
    <w:rsid w:val="4EB8094F"/>
    <w:rsid w:val="4EBB3F02"/>
    <w:rsid w:val="4EBC506D"/>
    <w:rsid w:val="4EBE1CDD"/>
    <w:rsid w:val="4EBE7BC4"/>
    <w:rsid w:val="4EBF1FDE"/>
    <w:rsid w:val="4EC07803"/>
    <w:rsid w:val="4EC117D6"/>
    <w:rsid w:val="4EC14021"/>
    <w:rsid w:val="4EC217CD"/>
    <w:rsid w:val="4EC372F3"/>
    <w:rsid w:val="4EC42650"/>
    <w:rsid w:val="4EC66A03"/>
    <w:rsid w:val="4EC81BA7"/>
    <w:rsid w:val="4EC92207"/>
    <w:rsid w:val="4ECB2D04"/>
    <w:rsid w:val="4ECC05C8"/>
    <w:rsid w:val="4ECC13F9"/>
    <w:rsid w:val="4ECC1F41"/>
    <w:rsid w:val="4ECC264C"/>
    <w:rsid w:val="4ECD3D05"/>
    <w:rsid w:val="4ED23006"/>
    <w:rsid w:val="4ED33865"/>
    <w:rsid w:val="4ED5452D"/>
    <w:rsid w:val="4ED70257"/>
    <w:rsid w:val="4ED82D9F"/>
    <w:rsid w:val="4ED84B4D"/>
    <w:rsid w:val="4ED94208"/>
    <w:rsid w:val="4EDD2163"/>
    <w:rsid w:val="4EE0169B"/>
    <w:rsid w:val="4EEA322C"/>
    <w:rsid w:val="4EEC23A6"/>
    <w:rsid w:val="4EF07680"/>
    <w:rsid w:val="4EF07DFA"/>
    <w:rsid w:val="4EF22C74"/>
    <w:rsid w:val="4EF23735"/>
    <w:rsid w:val="4EF237E6"/>
    <w:rsid w:val="4EF34B7E"/>
    <w:rsid w:val="4EF61477"/>
    <w:rsid w:val="4EFB083B"/>
    <w:rsid w:val="4EFB4CDF"/>
    <w:rsid w:val="4EFD6AD1"/>
    <w:rsid w:val="4EFF3268"/>
    <w:rsid w:val="4F0022F6"/>
    <w:rsid w:val="4F005546"/>
    <w:rsid w:val="4F035942"/>
    <w:rsid w:val="4F040362"/>
    <w:rsid w:val="4F0566F3"/>
    <w:rsid w:val="4F063ED2"/>
    <w:rsid w:val="4F087D42"/>
    <w:rsid w:val="4F0C2A48"/>
    <w:rsid w:val="4F132029"/>
    <w:rsid w:val="4F13675C"/>
    <w:rsid w:val="4F1418FD"/>
    <w:rsid w:val="4F147B4F"/>
    <w:rsid w:val="4F165675"/>
    <w:rsid w:val="4F166E11"/>
    <w:rsid w:val="4F177D26"/>
    <w:rsid w:val="4F190D64"/>
    <w:rsid w:val="4F1B712F"/>
    <w:rsid w:val="4F1F4AB3"/>
    <w:rsid w:val="4F204746"/>
    <w:rsid w:val="4F20671C"/>
    <w:rsid w:val="4F22226C"/>
    <w:rsid w:val="4F226DC8"/>
    <w:rsid w:val="4F227A85"/>
    <w:rsid w:val="4F275AD4"/>
    <w:rsid w:val="4F2E0C11"/>
    <w:rsid w:val="4F2F6737"/>
    <w:rsid w:val="4F331A18"/>
    <w:rsid w:val="4F351261"/>
    <w:rsid w:val="4F367AC5"/>
    <w:rsid w:val="4F3D7FBF"/>
    <w:rsid w:val="4F3E4639"/>
    <w:rsid w:val="4F405D22"/>
    <w:rsid w:val="4F406680"/>
    <w:rsid w:val="4F422894"/>
    <w:rsid w:val="4F447101"/>
    <w:rsid w:val="4F451DDD"/>
    <w:rsid w:val="4F452028"/>
    <w:rsid w:val="4F461B54"/>
    <w:rsid w:val="4F475607"/>
    <w:rsid w:val="4F4937FD"/>
    <w:rsid w:val="4F4977F9"/>
    <w:rsid w:val="4F4A531F"/>
    <w:rsid w:val="4F4B1139"/>
    <w:rsid w:val="4F4B3CC6"/>
    <w:rsid w:val="4F4B6F82"/>
    <w:rsid w:val="4F4C0E16"/>
    <w:rsid w:val="4F4D08E4"/>
    <w:rsid w:val="4F4E005F"/>
    <w:rsid w:val="4F5148FF"/>
    <w:rsid w:val="4F53618A"/>
    <w:rsid w:val="4F555EC1"/>
    <w:rsid w:val="4F585878"/>
    <w:rsid w:val="4F59216A"/>
    <w:rsid w:val="4F5A0E97"/>
    <w:rsid w:val="4F5A1A06"/>
    <w:rsid w:val="4F5C4B1D"/>
    <w:rsid w:val="4F5F701C"/>
    <w:rsid w:val="4F5F74D0"/>
    <w:rsid w:val="4F615A4A"/>
    <w:rsid w:val="4F644633"/>
    <w:rsid w:val="4F6463E1"/>
    <w:rsid w:val="4F650512"/>
    <w:rsid w:val="4F6665FD"/>
    <w:rsid w:val="4F681AF1"/>
    <w:rsid w:val="4F684367"/>
    <w:rsid w:val="4F686F20"/>
    <w:rsid w:val="4F693ACA"/>
    <w:rsid w:val="4F6B0EDA"/>
    <w:rsid w:val="4F6D03B3"/>
    <w:rsid w:val="4F6E54B1"/>
    <w:rsid w:val="4F702CB0"/>
    <w:rsid w:val="4F7839EB"/>
    <w:rsid w:val="4F7A3F06"/>
    <w:rsid w:val="4F7C65F8"/>
    <w:rsid w:val="4F7D1D9E"/>
    <w:rsid w:val="4F7E7026"/>
    <w:rsid w:val="4F814367"/>
    <w:rsid w:val="4F840831"/>
    <w:rsid w:val="4F855BBA"/>
    <w:rsid w:val="4F876573"/>
    <w:rsid w:val="4F895C51"/>
    <w:rsid w:val="4F8A4760"/>
    <w:rsid w:val="4F8B1BBF"/>
    <w:rsid w:val="4F905428"/>
    <w:rsid w:val="4F92170C"/>
    <w:rsid w:val="4F954768"/>
    <w:rsid w:val="4F957BA3"/>
    <w:rsid w:val="4F992FC4"/>
    <w:rsid w:val="4F9A62A6"/>
    <w:rsid w:val="4F9B703B"/>
    <w:rsid w:val="4F9D1D6A"/>
    <w:rsid w:val="4F9F2CF5"/>
    <w:rsid w:val="4FA03814"/>
    <w:rsid w:val="4FA107F2"/>
    <w:rsid w:val="4FA20F1F"/>
    <w:rsid w:val="4FA2515B"/>
    <w:rsid w:val="4FA33BE5"/>
    <w:rsid w:val="4FA45FB8"/>
    <w:rsid w:val="4FA964E9"/>
    <w:rsid w:val="4FAB646B"/>
    <w:rsid w:val="4FAC5905"/>
    <w:rsid w:val="4FAE3B00"/>
    <w:rsid w:val="4FB31116"/>
    <w:rsid w:val="4FB455DD"/>
    <w:rsid w:val="4FB530E0"/>
    <w:rsid w:val="4FB7572D"/>
    <w:rsid w:val="4FBA2FBC"/>
    <w:rsid w:val="4FBA3755"/>
    <w:rsid w:val="4FBD1F95"/>
    <w:rsid w:val="4FBE2337"/>
    <w:rsid w:val="4FBE79FF"/>
    <w:rsid w:val="4FC21359"/>
    <w:rsid w:val="4FC26BC4"/>
    <w:rsid w:val="4FC33100"/>
    <w:rsid w:val="4FC57CA3"/>
    <w:rsid w:val="4FC61429"/>
    <w:rsid w:val="4FC81820"/>
    <w:rsid w:val="4FC92959"/>
    <w:rsid w:val="4FCA510C"/>
    <w:rsid w:val="4FCB4CA8"/>
    <w:rsid w:val="4FCD667C"/>
    <w:rsid w:val="4FCE41A2"/>
    <w:rsid w:val="4FCE7D9E"/>
    <w:rsid w:val="4FCE7FB4"/>
    <w:rsid w:val="4FCF212F"/>
    <w:rsid w:val="4FD01CC8"/>
    <w:rsid w:val="4FD44B11"/>
    <w:rsid w:val="4FD55530"/>
    <w:rsid w:val="4FDB026C"/>
    <w:rsid w:val="4FDC68BF"/>
    <w:rsid w:val="4FDD44E4"/>
    <w:rsid w:val="4FDF1F0B"/>
    <w:rsid w:val="4FE15C83"/>
    <w:rsid w:val="4FE53500"/>
    <w:rsid w:val="4FE87012"/>
    <w:rsid w:val="4FE87176"/>
    <w:rsid w:val="4FEA13C6"/>
    <w:rsid w:val="4FEB7ED1"/>
    <w:rsid w:val="4FEC12BB"/>
    <w:rsid w:val="4FEE65F2"/>
    <w:rsid w:val="4FF21FBB"/>
    <w:rsid w:val="4FF42366"/>
    <w:rsid w:val="4FF42B9C"/>
    <w:rsid w:val="4FF439E5"/>
    <w:rsid w:val="4FF47C20"/>
    <w:rsid w:val="4FF529BA"/>
    <w:rsid w:val="4FF652DA"/>
    <w:rsid w:val="4FF736F9"/>
    <w:rsid w:val="4FF742E8"/>
    <w:rsid w:val="4FF84D7B"/>
    <w:rsid w:val="4FF963FF"/>
    <w:rsid w:val="50010670"/>
    <w:rsid w:val="50011AFC"/>
    <w:rsid w:val="50016554"/>
    <w:rsid w:val="5002017E"/>
    <w:rsid w:val="50020304"/>
    <w:rsid w:val="50035120"/>
    <w:rsid w:val="50035C64"/>
    <w:rsid w:val="5004761C"/>
    <w:rsid w:val="5005393F"/>
    <w:rsid w:val="5006393C"/>
    <w:rsid w:val="500831FC"/>
    <w:rsid w:val="5009684A"/>
    <w:rsid w:val="500A5F84"/>
    <w:rsid w:val="500C3891"/>
    <w:rsid w:val="500D4CCA"/>
    <w:rsid w:val="501222E0"/>
    <w:rsid w:val="50186232"/>
    <w:rsid w:val="501A5E16"/>
    <w:rsid w:val="501D04CF"/>
    <w:rsid w:val="501E7CD7"/>
    <w:rsid w:val="501F0BAA"/>
    <w:rsid w:val="501F1883"/>
    <w:rsid w:val="50242014"/>
    <w:rsid w:val="50243DC2"/>
    <w:rsid w:val="50265D8C"/>
    <w:rsid w:val="50271E5A"/>
    <w:rsid w:val="502A5642"/>
    <w:rsid w:val="502B5150"/>
    <w:rsid w:val="502D1A4F"/>
    <w:rsid w:val="5030546B"/>
    <w:rsid w:val="50324731"/>
    <w:rsid w:val="50330A02"/>
    <w:rsid w:val="503334F8"/>
    <w:rsid w:val="50334002"/>
    <w:rsid w:val="50342257"/>
    <w:rsid w:val="50357D7D"/>
    <w:rsid w:val="503865C2"/>
    <w:rsid w:val="503C223E"/>
    <w:rsid w:val="503C735D"/>
    <w:rsid w:val="503F0BFC"/>
    <w:rsid w:val="5049176B"/>
    <w:rsid w:val="504B134F"/>
    <w:rsid w:val="504D0CA5"/>
    <w:rsid w:val="504E330C"/>
    <w:rsid w:val="504E7436"/>
    <w:rsid w:val="504F0E3F"/>
    <w:rsid w:val="504F1B5D"/>
    <w:rsid w:val="504F54ED"/>
    <w:rsid w:val="504F7091"/>
    <w:rsid w:val="50523C9A"/>
    <w:rsid w:val="50540526"/>
    <w:rsid w:val="505465F1"/>
    <w:rsid w:val="50560B51"/>
    <w:rsid w:val="50570D86"/>
    <w:rsid w:val="50597F0F"/>
    <w:rsid w:val="50615016"/>
    <w:rsid w:val="50630D8E"/>
    <w:rsid w:val="50632B3C"/>
    <w:rsid w:val="506568B4"/>
    <w:rsid w:val="50667978"/>
    <w:rsid w:val="50670FCE"/>
    <w:rsid w:val="506757C9"/>
    <w:rsid w:val="5069597D"/>
    <w:rsid w:val="50697A27"/>
    <w:rsid w:val="506D077B"/>
    <w:rsid w:val="506F0F47"/>
    <w:rsid w:val="506F63E4"/>
    <w:rsid w:val="50731C44"/>
    <w:rsid w:val="50736514"/>
    <w:rsid w:val="50761340"/>
    <w:rsid w:val="50762272"/>
    <w:rsid w:val="50770FD1"/>
    <w:rsid w:val="50792360"/>
    <w:rsid w:val="507978FB"/>
    <w:rsid w:val="507B2A86"/>
    <w:rsid w:val="507B7E86"/>
    <w:rsid w:val="507C1E50"/>
    <w:rsid w:val="507E34D2"/>
    <w:rsid w:val="50827466"/>
    <w:rsid w:val="50836D3A"/>
    <w:rsid w:val="5087673B"/>
    <w:rsid w:val="508B3E41"/>
    <w:rsid w:val="508B51DE"/>
    <w:rsid w:val="508C26B5"/>
    <w:rsid w:val="508F1B83"/>
    <w:rsid w:val="508F782C"/>
    <w:rsid w:val="509133CF"/>
    <w:rsid w:val="509216C9"/>
    <w:rsid w:val="509251CF"/>
    <w:rsid w:val="50937738"/>
    <w:rsid w:val="50946A56"/>
    <w:rsid w:val="50947199"/>
    <w:rsid w:val="50972065"/>
    <w:rsid w:val="50992F99"/>
    <w:rsid w:val="50994EE8"/>
    <w:rsid w:val="50995EDC"/>
    <w:rsid w:val="509C604E"/>
    <w:rsid w:val="50A00F4B"/>
    <w:rsid w:val="50A12196"/>
    <w:rsid w:val="50A301BF"/>
    <w:rsid w:val="50A5584E"/>
    <w:rsid w:val="50A76ECD"/>
    <w:rsid w:val="50A90A48"/>
    <w:rsid w:val="50A9586A"/>
    <w:rsid w:val="50AA7C6B"/>
    <w:rsid w:val="50AF1034"/>
    <w:rsid w:val="50B110BA"/>
    <w:rsid w:val="50B13A11"/>
    <w:rsid w:val="50B145A9"/>
    <w:rsid w:val="50B60EBE"/>
    <w:rsid w:val="50B74101"/>
    <w:rsid w:val="50B769E4"/>
    <w:rsid w:val="50BB2978"/>
    <w:rsid w:val="50BB7A74"/>
    <w:rsid w:val="50BC3FFA"/>
    <w:rsid w:val="50BD0B5D"/>
    <w:rsid w:val="50BF357C"/>
    <w:rsid w:val="50C43019"/>
    <w:rsid w:val="50CC697A"/>
    <w:rsid w:val="50CF3D2E"/>
    <w:rsid w:val="50D531EC"/>
    <w:rsid w:val="50D67A0A"/>
    <w:rsid w:val="50D86F9C"/>
    <w:rsid w:val="50D92DFE"/>
    <w:rsid w:val="50DB5511"/>
    <w:rsid w:val="50DC6683"/>
    <w:rsid w:val="50DD1D25"/>
    <w:rsid w:val="50DF1E02"/>
    <w:rsid w:val="50E03FB6"/>
    <w:rsid w:val="50E1523E"/>
    <w:rsid w:val="50E64171"/>
    <w:rsid w:val="50E84DEF"/>
    <w:rsid w:val="50EA5EA6"/>
    <w:rsid w:val="50EB7E6D"/>
    <w:rsid w:val="50ED0658"/>
    <w:rsid w:val="50ED094E"/>
    <w:rsid w:val="50EF6094"/>
    <w:rsid w:val="50F13EE0"/>
    <w:rsid w:val="50F1639A"/>
    <w:rsid w:val="50F33BA4"/>
    <w:rsid w:val="50F639B0"/>
    <w:rsid w:val="50F73284"/>
    <w:rsid w:val="50F87728"/>
    <w:rsid w:val="50FB0FC7"/>
    <w:rsid w:val="510250DA"/>
    <w:rsid w:val="51052624"/>
    <w:rsid w:val="51082D12"/>
    <w:rsid w:val="510C6D30"/>
    <w:rsid w:val="510F2A0C"/>
    <w:rsid w:val="510F4A72"/>
    <w:rsid w:val="51134562"/>
    <w:rsid w:val="51134CE1"/>
    <w:rsid w:val="51154BFB"/>
    <w:rsid w:val="511625FC"/>
    <w:rsid w:val="51176AC6"/>
    <w:rsid w:val="51184F8B"/>
    <w:rsid w:val="5119769F"/>
    <w:rsid w:val="511A58F1"/>
    <w:rsid w:val="511C62D0"/>
    <w:rsid w:val="511D0F3D"/>
    <w:rsid w:val="51221DE9"/>
    <w:rsid w:val="51225DEE"/>
    <w:rsid w:val="512336EF"/>
    <w:rsid w:val="51255BEA"/>
    <w:rsid w:val="51275918"/>
    <w:rsid w:val="512F1E1F"/>
    <w:rsid w:val="512F294A"/>
    <w:rsid w:val="512F3EF9"/>
    <w:rsid w:val="512F7CF0"/>
    <w:rsid w:val="51361FFF"/>
    <w:rsid w:val="51380460"/>
    <w:rsid w:val="51386829"/>
    <w:rsid w:val="5139564B"/>
    <w:rsid w:val="513A18F3"/>
    <w:rsid w:val="513B0F0A"/>
    <w:rsid w:val="513B13C3"/>
    <w:rsid w:val="513D221D"/>
    <w:rsid w:val="51402E7D"/>
    <w:rsid w:val="5146601D"/>
    <w:rsid w:val="51472C15"/>
    <w:rsid w:val="514A408D"/>
    <w:rsid w:val="514C3EA9"/>
    <w:rsid w:val="514C49FC"/>
    <w:rsid w:val="514C6741"/>
    <w:rsid w:val="514E0864"/>
    <w:rsid w:val="514F4E6E"/>
    <w:rsid w:val="5151508A"/>
    <w:rsid w:val="5153580B"/>
    <w:rsid w:val="5153670D"/>
    <w:rsid w:val="51537E33"/>
    <w:rsid w:val="5155020A"/>
    <w:rsid w:val="51556929"/>
    <w:rsid w:val="51570FF3"/>
    <w:rsid w:val="51584538"/>
    <w:rsid w:val="51586419"/>
    <w:rsid w:val="51595086"/>
    <w:rsid w:val="515A3F3F"/>
    <w:rsid w:val="515A5923"/>
    <w:rsid w:val="515C2DD9"/>
    <w:rsid w:val="515F62D3"/>
    <w:rsid w:val="516232F9"/>
    <w:rsid w:val="51625545"/>
    <w:rsid w:val="51626918"/>
    <w:rsid w:val="5167665C"/>
    <w:rsid w:val="516B5D29"/>
    <w:rsid w:val="516E62F9"/>
    <w:rsid w:val="516F21B0"/>
    <w:rsid w:val="517012C9"/>
    <w:rsid w:val="51702986"/>
    <w:rsid w:val="5172503A"/>
    <w:rsid w:val="517368AD"/>
    <w:rsid w:val="51756E5D"/>
    <w:rsid w:val="517639BB"/>
    <w:rsid w:val="517A08C8"/>
    <w:rsid w:val="517B639D"/>
    <w:rsid w:val="517C0EAD"/>
    <w:rsid w:val="517C5B1F"/>
    <w:rsid w:val="517D2E0A"/>
    <w:rsid w:val="51825244"/>
    <w:rsid w:val="518278CF"/>
    <w:rsid w:val="5187285A"/>
    <w:rsid w:val="51875A23"/>
    <w:rsid w:val="51887260"/>
    <w:rsid w:val="518A32C1"/>
    <w:rsid w:val="518A40F8"/>
    <w:rsid w:val="518B19A9"/>
    <w:rsid w:val="518E3BE9"/>
    <w:rsid w:val="51905BB3"/>
    <w:rsid w:val="51907133"/>
    <w:rsid w:val="519108A5"/>
    <w:rsid w:val="519555A0"/>
    <w:rsid w:val="51956DF0"/>
    <w:rsid w:val="51960CEF"/>
    <w:rsid w:val="51990D05"/>
    <w:rsid w:val="519A0DF5"/>
    <w:rsid w:val="519A6E4B"/>
    <w:rsid w:val="519C236E"/>
    <w:rsid w:val="519D0BD2"/>
    <w:rsid w:val="51A0548F"/>
    <w:rsid w:val="51A054E7"/>
    <w:rsid w:val="51A27694"/>
    <w:rsid w:val="51A52CE0"/>
    <w:rsid w:val="51A753BA"/>
    <w:rsid w:val="51A76123"/>
    <w:rsid w:val="51AB3D3B"/>
    <w:rsid w:val="51AB479B"/>
    <w:rsid w:val="51AB50F9"/>
    <w:rsid w:val="51AD364F"/>
    <w:rsid w:val="51AD5BE2"/>
    <w:rsid w:val="51B24EFA"/>
    <w:rsid w:val="51B26AC0"/>
    <w:rsid w:val="51B3364F"/>
    <w:rsid w:val="51B50826"/>
    <w:rsid w:val="51B66C9C"/>
    <w:rsid w:val="51B92570"/>
    <w:rsid w:val="51BC0756"/>
    <w:rsid w:val="51BC132E"/>
    <w:rsid w:val="51BC3A87"/>
    <w:rsid w:val="51C27D36"/>
    <w:rsid w:val="51C518B1"/>
    <w:rsid w:val="51C60CCD"/>
    <w:rsid w:val="51C63383"/>
    <w:rsid w:val="51CA417C"/>
    <w:rsid w:val="51CB0999"/>
    <w:rsid w:val="51CC64BF"/>
    <w:rsid w:val="51CE7A41"/>
    <w:rsid w:val="51D007D0"/>
    <w:rsid w:val="51D13AD5"/>
    <w:rsid w:val="51D23371"/>
    <w:rsid w:val="51D32F47"/>
    <w:rsid w:val="51D50DD6"/>
    <w:rsid w:val="51DB6702"/>
    <w:rsid w:val="51DD4378"/>
    <w:rsid w:val="51DD5BE3"/>
    <w:rsid w:val="51E101BC"/>
    <w:rsid w:val="51E11AEF"/>
    <w:rsid w:val="51E157E3"/>
    <w:rsid w:val="51E41A5B"/>
    <w:rsid w:val="51E60623"/>
    <w:rsid w:val="51E63A25"/>
    <w:rsid w:val="51E71B9C"/>
    <w:rsid w:val="51E82AF5"/>
    <w:rsid w:val="51E873FF"/>
    <w:rsid w:val="51E97071"/>
    <w:rsid w:val="51EE0B2B"/>
    <w:rsid w:val="51EE333E"/>
    <w:rsid w:val="51EF0FDE"/>
    <w:rsid w:val="51EF7B88"/>
    <w:rsid w:val="51F06651"/>
    <w:rsid w:val="51F06CD1"/>
    <w:rsid w:val="51F2795F"/>
    <w:rsid w:val="51F61E88"/>
    <w:rsid w:val="51F64E66"/>
    <w:rsid w:val="51F71C5E"/>
    <w:rsid w:val="51F80C00"/>
    <w:rsid w:val="51F840C2"/>
    <w:rsid w:val="51FC6DA4"/>
    <w:rsid w:val="520143BB"/>
    <w:rsid w:val="52027F76"/>
    <w:rsid w:val="52034C48"/>
    <w:rsid w:val="52036385"/>
    <w:rsid w:val="5204425C"/>
    <w:rsid w:val="5204764B"/>
    <w:rsid w:val="52081B54"/>
    <w:rsid w:val="520B348B"/>
    <w:rsid w:val="520E2E26"/>
    <w:rsid w:val="521045FE"/>
    <w:rsid w:val="52125164"/>
    <w:rsid w:val="52127220"/>
    <w:rsid w:val="52140592"/>
    <w:rsid w:val="52146C98"/>
    <w:rsid w:val="521560B8"/>
    <w:rsid w:val="52160010"/>
    <w:rsid w:val="521603F6"/>
    <w:rsid w:val="52186B91"/>
    <w:rsid w:val="521A4AD1"/>
    <w:rsid w:val="521A5985"/>
    <w:rsid w:val="521C1A24"/>
    <w:rsid w:val="521C7995"/>
    <w:rsid w:val="521D4F6D"/>
    <w:rsid w:val="521D6D1B"/>
    <w:rsid w:val="521F31D6"/>
    <w:rsid w:val="52201EBE"/>
    <w:rsid w:val="5221674A"/>
    <w:rsid w:val="52227D85"/>
    <w:rsid w:val="5224454D"/>
    <w:rsid w:val="52263573"/>
    <w:rsid w:val="522A03DB"/>
    <w:rsid w:val="522B58DB"/>
    <w:rsid w:val="522B768A"/>
    <w:rsid w:val="522C1726"/>
    <w:rsid w:val="522E404A"/>
    <w:rsid w:val="523209F0"/>
    <w:rsid w:val="52362E00"/>
    <w:rsid w:val="523636A7"/>
    <w:rsid w:val="5237325D"/>
    <w:rsid w:val="52397FF8"/>
    <w:rsid w:val="523A0EA1"/>
    <w:rsid w:val="523A3451"/>
    <w:rsid w:val="523A5390"/>
    <w:rsid w:val="523B1BD6"/>
    <w:rsid w:val="523C3645"/>
    <w:rsid w:val="523D0094"/>
    <w:rsid w:val="523E5BC1"/>
    <w:rsid w:val="523F1387"/>
    <w:rsid w:val="52410C5B"/>
    <w:rsid w:val="52422169"/>
    <w:rsid w:val="5246559A"/>
    <w:rsid w:val="52497B10"/>
    <w:rsid w:val="524A2826"/>
    <w:rsid w:val="524A4A92"/>
    <w:rsid w:val="524C6749"/>
    <w:rsid w:val="524D7600"/>
    <w:rsid w:val="52505342"/>
    <w:rsid w:val="5253273C"/>
    <w:rsid w:val="52534CE5"/>
    <w:rsid w:val="52546BE0"/>
    <w:rsid w:val="52556A4B"/>
    <w:rsid w:val="52565B49"/>
    <w:rsid w:val="525E35BB"/>
    <w:rsid w:val="52623FC3"/>
    <w:rsid w:val="52632320"/>
    <w:rsid w:val="5263418F"/>
    <w:rsid w:val="526479F4"/>
    <w:rsid w:val="5265216E"/>
    <w:rsid w:val="5265391D"/>
    <w:rsid w:val="52660640"/>
    <w:rsid w:val="52674B02"/>
    <w:rsid w:val="526A01B2"/>
    <w:rsid w:val="526C1D2F"/>
    <w:rsid w:val="526F0D33"/>
    <w:rsid w:val="526F57C8"/>
    <w:rsid w:val="52703653"/>
    <w:rsid w:val="52727F85"/>
    <w:rsid w:val="52742DDF"/>
    <w:rsid w:val="5274629A"/>
    <w:rsid w:val="52770B21"/>
    <w:rsid w:val="527B11CD"/>
    <w:rsid w:val="527E0410"/>
    <w:rsid w:val="527E3C5D"/>
    <w:rsid w:val="5282603C"/>
    <w:rsid w:val="52826E4F"/>
    <w:rsid w:val="528374C6"/>
    <w:rsid w:val="52850F60"/>
    <w:rsid w:val="52866F81"/>
    <w:rsid w:val="5287044A"/>
    <w:rsid w:val="52871549"/>
    <w:rsid w:val="528943B0"/>
    <w:rsid w:val="528A2602"/>
    <w:rsid w:val="528F1931"/>
    <w:rsid w:val="52902C3D"/>
    <w:rsid w:val="529045B2"/>
    <w:rsid w:val="5291229E"/>
    <w:rsid w:val="529214B7"/>
    <w:rsid w:val="52972C9C"/>
    <w:rsid w:val="52972D88"/>
    <w:rsid w:val="52976ACD"/>
    <w:rsid w:val="52992845"/>
    <w:rsid w:val="529A036B"/>
    <w:rsid w:val="529A383C"/>
    <w:rsid w:val="529E039B"/>
    <w:rsid w:val="529E60AD"/>
    <w:rsid w:val="529F2C8A"/>
    <w:rsid w:val="529F2E40"/>
    <w:rsid w:val="529F5B1C"/>
    <w:rsid w:val="529F7052"/>
    <w:rsid w:val="52A03BD4"/>
    <w:rsid w:val="52A1495F"/>
    <w:rsid w:val="52A21FBF"/>
    <w:rsid w:val="52A262D4"/>
    <w:rsid w:val="52A37C23"/>
    <w:rsid w:val="52A5743C"/>
    <w:rsid w:val="52A822B5"/>
    <w:rsid w:val="52AB2578"/>
    <w:rsid w:val="52AC1B74"/>
    <w:rsid w:val="52AF02BB"/>
    <w:rsid w:val="52B401C5"/>
    <w:rsid w:val="52B551A5"/>
    <w:rsid w:val="52B73E07"/>
    <w:rsid w:val="52B753C1"/>
    <w:rsid w:val="52B7608C"/>
    <w:rsid w:val="52B81E12"/>
    <w:rsid w:val="52BA75FF"/>
    <w:rsid w:val="52BB204D"/>
    <w:rsid w:val="52BC29D7"/>
    <w:rsid w:val="52BE04FE"/>
    <w:rsid w:val="52C06024"/>
    <w:rsid w:val="52C15887"/>
    <w:rsid w:val="52C1636B"/>
    <w:rsid w:val="52C222A5"/>
    <w:rsid w:val="52C36A6C"/>
    <w:rsid w:val="52C378C2"/>
    <w:rsid w:val="52C42167"/>
    <w:rsid w:val="52C678C7"/>
    <w:rsid w:val="52C8312A"/>
    <w:rsid w:val="52CA29FF"/>
    <w:rsid w:val="52CE1FB4"/>
    <w:rsid w:val="52CF2DA2"/>
    <w:rsid w:val="52D15D94"/>
    <w:rsid w:val="52D1775A"/>
    <w:rsid w:val="52D2129F"/>
    <w:rsid w:val="52D615E9"/>
    <w:rsid w:val="52D7511B"/>
    <w:rsid w:val="52D9328A"/>
    <w:rsid w:val="52DC0984"/>
    <w:rsid w:val="52DE1C23"/>
    <w:rsid w:val="52E02222"/>
    <w:rsid w:val="52E332B3"/>
    <w:rsid w:val="52E361B6"/>
    <w:rsid w:val="52E617B5"/>
    <w:rsid w:val="52E61B8D"/>
    <w:rsid w:val="52E62CD8"/>
    <w:rsid w:val="52E678FD"/>
    <w:rsid w:val="52E70525"/>
    <w:rsid w:val="52E74EC7"/>
    <w:rsid w:val="52E86626"/>
    <w:rsid w:val="52E87329"/>
    <w:rsid w:val="52E977E7"/>
    <w:rsid w:val="52EA0C85"/>
    <w:rsid w:val="52EA1199"/>
    <w:rsid w:val="52EE0C20"/>
    <w:rsid w:val="52EE1C4E"/>
    <w:rsid w:val="52EF6909"/>
    <w:rsid w:val="52F04997"/>
    <w:rsid w:val="52F16A71"/>
    <w:rsid w:val="52F361D0"/>
    <w:rsid w:val="52F92BFA"/>
    <w:rsid w:val="52FB1BFC"/>
    <w:rsid w:val="52FB3500"/>
    <w:rsid w:val="52FB59B8"/>
    <w:rsid w:val="52FF2582"/>
    <w:rsid w:val="53087C98"/>
    <w:rsid w:val="530B5CD4"/>
    <w:rsid w:val="530F2B07"/>
    <w:rsid w:val="53101A23"/>
    <w:rsid w:val="53101D87"/>
    <w:rsid w:val="53106871"/>
    <w:rsid w:val="5311062D"/>
    <w:rsid w:val="531159A5"/>
    <w:rsid w:val="53165C44"/>
    <w:rsid w:val="53191BA9"/>
    <w:rsid w:val="53193986"/>
    <w:rsid w:val="531A366F"/>
    <w:rsid w:val="531C7F7E"/>
    <w:rsid w:val="53220A8C"/>
    <w:rsid w:val="532258DD"/>
    <w:rsid w:val="53230361"/>
    <w:rsid w:val="53234805"/>
    <w:rsid w:val="5326466C"/>
    <w:rsid w:val="53272FC0"/>
    <w:rsid w:val="532742F5"/>
    <w:rsid w:val="532857A5"/>
    <w:rsid w:val="532A0CDB"/>
    <w:rsid w:val="532A5172"/>
    <w:rsid w:val="532C53C6"/>
    <w:rsid w:val="532C6DCC"/>
    <w:rsid w:val="533113DD"/>
    <w:rsid w:val="533125AA"/>
    <w:rsid w:val="53347FB0"/>
    <w:rsid w:val="5338205E"/>
    <w:rsid w:val="53385317"/>
    <w:rsid w:val="533B19FC"/>
    <w:rsid w:val="533B2CB2"/>
    <w:rsid w:val="533E37CE"/>
    <w:rsid w:val="533F1F43"/>
    <w:rsid w:val="533F7D5C"/>
    <w:rsid w:val="534529CD"/>
    <w:rsid w:val="534670EA"/>
    <w:rsid w:val="53473A1B"/>
    <w:rsid w:val="53487DC7"/>
    <w:rsid w:val="534C7AEF"/>
    <w:rsid w:val="534D1C19"/>
    <w:rsid w:val="534D3933"/>
    <w:rsid w:val="534F1156"/>
    <w:rsid w:val="53503344"/>
    <w:rsid w:val="53513120"/>
    <w:rsid w:val="53514250"/>
    <w:rsid w:val="53567F17"/>
    <w:rsid w:val="53585A2C"/>
    <w:rsid w:val="53590226"/>
    <w:rsid w:val="535A647D"/>
    <w:rsid w:val="535E75EB"/>
    <w:rsid w:val="535F3A8F"/>
    <w:rsid w:val="536226E2"/>
    <w:rsid w:val="536270DB"/>
    <w:rsid w:val="53627934"/>
    <w:rsid w:val="536410A5"/>
    <w:rsid w:val="536535D1"/>
    <w:rsid w:val="536746F1"/>
    <w:rsid w:val="53676A60"/>
    <w:rsid w:val="5369498A"/>
    <w:rsid w:val="536961B3"/>
    <w:rsid w:val="536D0D7A"/>
    <w:rsid w:val="536E5081"/>
    <w:rsid w:val="536F016D"/>
    <w:rsid w:val="536F71A0"/>
    <w:rsid w:val="536F7A4A"/>
    <w:rsid w:val="537137C2"/>
    <w:rsid w:val="53777366"/>
    <w:rsid w:val="537868DB"/>
    <w:rsid w:val="537868FE"/>
    <w:rsid w:val="537A2677"/>
    <w:rsid w:val="53821C2D"/>
    <w:rsid w:val="538232D9"/>
    <w:rsid w:val="53865EB2"/>
    <w:rsid w:val="538A6632"/>
    <w:rsid w:val="538C5F06"/>
    <w:rsid w:val="538F1D7F"/>
    <w:rsid w:val="5391176E"/>
    <w:rsid w:val="53922362"/>
    <w:rsid w:val="539354E6"/>
    <w:rsid w:val="53950B60"/>
    <w:rsid w:val="53966D85"/>
    <w:rsid w:val="5398497A"/>
    <w:rsid w:val="539A4AC7"/>
    <w:rsid w:val="539D0113"/>
    <w:rsid w:val="539D6365"/>
    <w:rsid w:val="539F74A6"/>
    <w:rsid w:val="53A13825"/>
    <w:rsid w:val="53A21BCD"/>
    <w:rsid w:val="53A25729"/>
    <w:rsid w:val="53A35D07"/>
    <w:rsid w:val="53A83B6F"/>
    <w:rsid w:val="53AA4EC8"/>
    <w:rsid w:val="53AF678D"/>
    <w:rsid w:val="53B013F4"/>
    <w:rsid w:val="53B073CD"/>
    <w:rsid w:val="53B146EE"/>
    <w:rsid w:val="53B7245B"/>
    <w:rsid w:val="53BD2563"/>
    <w:rsid w:val="53BE1E57"/>
    <w:rsid w:val="53C05963"/>
    <w:rsid w:val="53C27B7A"/>
    <w:rsid w:val="53C358B3"/>
    <w:rsid w:val="53C51418"/>
    <w:rsid w:val="53C65075"/>
    <w:rsid w:val="53C77F57"/>
    <w:rsid w:val="53CA4C80"/>
    <w:rsid w:val="53CB62C5"/>
    <w:rsid w:val="53CC09F8"/>
    <w:rsid w:val="53D004C1"/>
    <w:rsid w:val="53D05F7C"/>
    <w:rsid w:val="53D11CA9"/>
    <w:rsid w:val="53D33B35"/>
    <w:rsid w:val="53D37FD9"/>
    <w:rsid w:val="53D578AD"/>
    <w:rsid w:val="53D72519"/>
    <w:rsid w:val="53D900DF"/>
    <w:rsid w:val="53DA4EC3"/>
    <w:rsid w:val="53DF5F6C"/>
    <w:rsid w:val="53DF64A4"/>
    <w:rsid w:val="53E04DBD"/>
    <w:rsid w:val="53E051BF"/>
    <w:rsid w:val="53E30B72"/>
    <w:rsid w:val="53E330FC"/>
    <w:rsid w:val="53E82F40"/>
    <w:rsid w:val="53E84E1B"/>
    <w:rsid w:val="53EA1462"/>
    <w:rsid w:val="53EC2678"/>
    <w:rsid w:val="53EC2E48"/>
    <w:rsid w:val="53F02939"/>
    <w:rsid w:val="53F17904"/>
    <w:rsid w:val="53F22187"/>
    <w:rsid w:val="53F35AE4"/>
    <w:rsid w:val="53F47096"/>
    <w:rsid w:val="53F6144D"/>
    <w:rsid w:val="53F65A75"/>
    <w:rsid w:val="53F86A2E"/>
    <w:rsid w:val="53F97408"/>
    <w:rsid w:val="53FA7313"/>
    <w:rsid w:val="53FE57C8"/>
    <w:rsid w:val="53FF6F56"/>
    <w:rsid w:val="540438A7"/>
    <w:rsid w:val="54054DA3"/>
    <w:rsid w:val="5406215C"/>
    <w:rsid w:val="5407318C"/>
    <w:rsid w:val="540746A4"/>
    <w:rsid w:val="540A4CC2"/>
    <w:rsid w:val="540C7047"/>
    <w:rsid w:val="54104D89"/>
    <w:rsid w:val="54117B9F"/>
    <w:rsid w:val="54124769"/>
    <w:rsid w:val="54132D19"/>
    <w:rsid w:val="54151939"/>
    <w:rsid w:val="5417546D"/>
    <w:rsid w:val="54181F99"/>
    <w:rsid w:val="541C0D51"/>
    <w:rsid w:val="541C5466"/>
    <w:rsid w:val="541D2076"/>
    <w:rsid w:val="541D69AC"/>
    <w:rsid w:val="54205F91"/>
    <w:rsid w:val="542645AC"/>
    <w:rsid w:val="542C3BE2"/>
    <w:rsid w:val="542E16B3"/>
    <w:rsid w:val="542F0FA2"/>
    <w:rsid w:val="54313AB1"/>
    <w:rsid w:val="54324CFF"/>
    <w:rsid w:val="54345897"/>
    <w:rsid w:val="54384218"/>
    <w:rsid w:val="543B42DA"/>
    <w:rsid w:val="543C36E3"/>
    <w:rsid w:val="543D17CB"/>
    <w:rsid w:val="543E035A"/>
    <w:rsid w:val="543E18F6"/>
    <w:rsid w:val="544023D9"/>
    <w:rsid w:val="5441014C"/>
    <w:rsid w:val="54412A09"/>
    <w:rsid w:val="54424BAE"/>
    <w:rsid w:val="544405ED"/>
    <w:rsid w:val="544607AB"/>
    <w:rsid w:val="544667B3"/>
    <w:rsid w:val="5446696E"/>
    <w:rsid w:val="54484523"/>
    <w:rsid w:val="54492049"/>
    <w:rsid w:val="544C6787"/>
    <w:rsid w:val="54501629"/>
    <w:rsid w:val="54515FE7"/>
    <w:rsid w:val="545304B1"/>
    <w:rsid w:val="545314EB"/>
    <w:rsid w:val="54556C40"/>
    <w:rsid w:val="545804DE"/>
    <w:rsid w:val="54586345"/>
    <w:rsid w:val="54602B84"/>
    <w:rsid w:val="54637848"/>
    <w:rsid w:val="54640491"/>
    <w:rsid w:val="546427E8"/>
    <w:rsid w:val="546450D5"/>
    <w:rsid w:val="54662920"/>
    <w:rsid w:val="546B6463"/>
    <w:rsid w:val="546B6E57"/>
    <w:rsid w:val="546D7169"/>
    <w:rsid w:val="54720301"/>
    <w:rsid w:val="547249FC"/>
    <w:rsid w:val="54732BCC"/>
    <w:rsid w:val="54763B1F"/>
    <w:rsid w:val="54772376"/>
    <w:rsid w:val="54774E08"/>
    <w:rsid w:val="54790B80"/>
    <w:rsid w:val="54805F39"/>
    <w:rsid w:val="54826D7E"/>
    <w:rsid w:val="548412D3"/>
    <w:rsid w:val="548E3F00"/>
    <w:rsid w:val="54900FF4"/>
    <w:rsid w:val="54905ECA"/>
    <w:rsid w:val="5490662A"/>
    <w:rsid w:val="549332C4"/>
    <w:rsid w:val="54942813"/>
    <w:rsid w:val="5496707D"/>
    <w:rsid w:val="549A5EE9"/>
    <w:rsid w:val="549B6C4C"/>
    <w:rsid w:val="549C74BE"/>
    <w:rsid w:val="549F0C18"/>
    <w:rsid w:val="549F0CE9"/>
    <w:rsid w:val="54A01A9A"/>
    <w:rsid w:val="54A11E85"/>
    <w:rsid w:val="54A3167A"/>
    <w:rsid w:val="54A43297"/>
    <w:rsid w:val="54A906CA"/>
    <w:rsid w:val="54A91133"/>
    <w:rsid w:val="54AD082A"/>
    <w:rsid w:val="54AE3D80"/>
    <w:rsid w:val="54AF45A2"/>
    <w:rsid w:val="54B020C8"/>
    <w:rsid w:val="54B35714"/>
    <w:rsid w:val="54B52D8E"/>
    <w:rsid w:val="54B756AE"/>
    <w:rsid w:val="54BA4CF5"/>
    <w:rsid w:val="54BA6AA3"/>
    <w:rsid w:val="54BC02E9"/>
    <w:rsid w:val="54C0055D"/>
    <w:rsid w:val="54C33BA9"/>
    <w:rsid w:val="54C85664"/>
    <w:rsid w:val="54CA1526"/>
    <w:rsid w:val="54D06254"/>
    <w:rsid w:val="54D1276A"/>
    <w:rsid w:val="54D564A0"/>
    <w:rsid w:val="54DB2ADA"/>
    <w:rsid w:val="54DB5397"/>
    <w:rsid w:val="54DD161B"/>
    <w:rsid w:val="54DD7575"/>
    <w:rsid w:val="54DE2CFD"/>
    <w:rsid w:val="54E0190C"/>
    <w:rsid w:val="54E149C6"/>
    <w:rsid w:val="54E16725"/>
    <w:rsid w:val="54E65AEA"/>
    <w:rsid w:val="54E7207A"/>
    <w:rsid w:val="54E7304B"/>
    <w:rsid w:val="54EB3100"/>
    <w:rsid w:val="54EC5A2D"/>
    <w:rsid w:val="54ED50CA"/>
    <w:rsid w:val="54EE410C"/>
    <w:rsid w:val="54EF407C"/>
    <w:rsid w:val="54F202E2"/>
    <w:rsid w:val="54F32D6C"/>
    <w:rsid w:val="54F36B90"/>
    <w:rsid w:val="54F40207"/>
    <w:rsid w:val="54F41FB5"/>
    <w:rsid w:val="54F509F0"/>
    <w:rsid w:val="54F61F69"/>
    <w:rsid w:val="54F94888"/>
    <w:rsid w:val="54F95460"/>
    <w:rsid w:val="54FA6644"/>
    <w:rsid w:val="54FA6A32"/>
    <w:rsid w:val="54FC5522"/>
    <w:rsid w:val="54FC6507"/>
    <w:rsid w:val="54FD5E03"/>
    <w:rsid w:val="54FF0217"/>
    <w:rsid w:val="5504377C"/>
    <w:rsid w:val="5507618C"/>
    <w:rsid w:val="55091542"/>
    <w:rsid w:val="550B2446"/>
    <w:rsid w:val="550B4D5E"/>
    <w:rsid w:val="550C37A2"/>
    <w:rsid w:val="550C7E08"/>
    <w:rsid w:val="550D751A"/>
    <w:rsid w:val="55124B31"/>
    <w:rsid w:val="551D71B5"/>
    <w:rsid w:val="551E5398"/>
    <w:rsid w:val="552306CD"/>
    <w:rsid w:val="55232D59"/>
    <w:rsid w:val="55234733"/>
    <w:rsid w:val="552503C0"/>
    <w:rsid w:val="55277EAD"/>
    <w:rsid w:val="552828E6"/>
    <w:rsid w:val="552A1E7A"/>
    <w:rsid w:val="552C5BF2"/>
    <w:rsid w:val="552D350A"/>
    <w:rsid w:val="552E2913"/>
    <w:rsid w:val="552F235D"/>
    <w:rsid w:val="552F7491"/>
    <w:rsid w:val="55320D2F"/>
    <w:rsid w:val="55326187"/>
    <w:rsid w:val="55344AB0"/>
    <w:rsid w:val="553736DA"/>
    <w:rsid w:val="55382D71"/>
    <w:rsid w:val="553D7E00"/>
    <w:rsid w:val="553F2B22"/>
    <w:rsid w:val="55413C56"/>
    <w:rsid w:val="55425416"/>
    <w:rsid w:val="55466588"/>
    <w:rsid w:val="55480552"/>
    <w:rsid w:val="55486AED"/>
    <w:rsid w:val="554B1D58"/>
    <w:rsid w:val="554B1FA0"/>
    <w:rsid w:val="554D7917"/>
    <w:rsid w:val="555132EC"/>
    <w:rsid w:val="55551801"/>
    <w:rsid w:val="55564A1D"/>
    <w:rsid w:val="555658CD"/>
    <w:rsid w:val="55582AEC"/>
    <w:rsid w:val="55592765"/>
    <w:rsid w:val="555A0DDC"/>
    <w:rsid w:val="555E54FD"/>
    <w:rsid w:val="555F6C5D"/>
    <w:rsid w:val="556171CA"/>
    <w:rsid w:val="55652EB2"/>
    <w:rsid w:val="5566328E"/>
    <w:rsid w:val="5569493C"/>
    <w:rsid w:val="556D11D3"/>
    <w:rsid w:val="556E2056"/>
    <w:rsid w:val="556F4202"/>
    <w:rsid w:val="557377AF"/>
    <w:rsid w:val="5574172C"/>
    <w:rsid w:val="55767857"/>
    <w:rsid w:val="55775BE1"/>
    <w:rsid w:val="557853A1"/>
    <w:rsid w:val="557B116B"/>
    <w:rsid w:val="557C66F9"/>
    <w:rsid w:val="557D4F00"/>
    <w:rsid w:val="55807CEC"/>
    <w:rsid w:val="55821210"/>
    <w:rsid w:val="55821CB6"/>
    <w:rsid w:val="55853555"/>
    <w:rsid w:val="55855303"/>
    <w:rsid w:val="55865DC4"/>
    <w:rsid w:val="5588094F"/>
    <w:rsid w:val="558A2919"/>
    <w:rsid w:val="558D1BF8"/>
    <w:rsid w:val="558E5D25"/>
    <w:rsid w:val="55904A6E"/>
    <w:rsid w:val="55913C7C"/>
    <w:rsid w:val="55923D62"/>
    <w:rsid w:val="5592481B"/>
    <w:rsid w:val="559277A3"/>
    <w:rsid w:val="55955AEF"/>
    <w:rsid w:val="5598523A"/>
    <w:rsid w:val="55996103"/>
    <w:rsid w:val="559A5736"/>
    <w:rsid w:val="559B3CFD"/>
    <w:rsid w:val="55A03EEB"/>
    <w:rsid w:val="55A06976"/>
    <w:rsid w:val="55A106D3"/>
    <w:rsid w:val="55A25CD9"/>
    <w:rsid w:val="55AA2FBB"/>
    <w:rsid w:val="55AA4D69"/>
    <w:rsid w:val="55AB1511"/>
    <w:rsid w:val="55AC4B7D"/>
    <w:rsid w:val="55AF05D2"/>
    <w:rsid w:val="55AF4167"/>
    <w:rsid w:val="55B003E1"/>
    <w:rsid w:val="55B02DDD"/>
    <w:rsid w:val="55B47996"/>
    <w:rsid w:val="55B74331"/>
    <w:rsid w:val="55B9058D"/>
    <w:rsid w:val="55B9695A"/>
    <w:rsid w:val="55BA7DEA"/>
    <w:rsid w:val="55BB0D24"/>
    <w:rsid w:val="55BB2AD2"/>
    <w:rsid w:val="55BB2B19"/>
    <w:rsid w:val="55BE2CD2"/>
    <w:rsid w:val="55C41CA5"/>
    <w:rsid w:val="55C54977"/>
    <w:rsid w:val="55C645F4"/>
    <w:rsid w:val="55C67DF5"/>
    <w:rsid w:val="55C70CAD"/>
    <w:rsid w:val="55C85C7B"/>
    <w:rsid w:val="55CB540B"/>
    <w:rsid w:val="55CC2E45"/>
    <w:rsid w:val="55CF657E"/>
    <w:rsid w:val="55D062DE"/>
    <w:rsid w:val="55D33BEB"/>
    <w:rsid w:val="55D50038"/>
    <w:rsid w:val="55D549F2"/>
    <w:rsid w:val="55D97061"/>
    <w:rsid w:val="55DD513F"/>
    <w:rsid w:val="55DD51BD"/>
    <w:rsid w:val="55DE65B2"/>
    <w:rsid w:val="55DF4A13"/>
    <w:rsid w:val="55DF6F34"/>
    <w:rsid w:val="55E262B1"/>
    <w:rsid w:val="55E54EB7"/>
    <w:rsid w:val="55E57C4C"/>
    <w:rsid w:val="55E62245"/>
    <w:rsid w:val="55E64236"/>
    <w:rsid w:val="55E943A6"/>
    <w:rsid w:val="55EA0DC4"/>
    <w:rsid w:val="55EB160A"/>
    <w:rsid w:val="55EC5382"/>
    <w:rsid w:val="55F7664B"/>
    <w:rsid w:val="55FA184D"/>
    <w:rsid w:val="55FA7777"/>
    <w:rsid w:val="55FC44D1"/>
    <w:rsid w:val="55FE7C43"/>
    <w:rsid w:val="55FF18B1"/>
    <w:rsid w:val="56002BDB"/>
    <w:rsid w:val="56020701"/>
    <w:rsid w:val="560221AE"/>
    <w:rsid w:val="560403F4"/>
    <w:rsid w:val="56073F6A"/>
    <w:rsid w:val="560C2EA8"/>
    <w:rsid w:val="560E52F8"/>
    <w:rsid w:val="561074A3"/>
    <w:rsid w:val="561132CD"/>
    <w:rsid w:val="56145746"/>
    <w:rsid w:val="56150744"/>
    <w:rsid w:val="56152420"/>
    <w:rsid w:val="56170048"/>
    <w:rsid w:val="56173C29"/>
    <w:rsid w:val="56175C35"/>
    <w:rsid w:val="56186177"/>
    <w:rsid w:val="56187F25"/>
    <w:rsid w:val="561A0928"/>
    <w:rsid w:val="561D378D"/>
    <w:rsid w:val="56245CD9"/>
    <w:rsid w:val="56251A55"/>
    <w:rsid w:val="56252405"/>
    <w:rsid w:val="562A3A13"/>
    <w:rsid w:val="562A4811"/>
    <w:rsid w:val="562B06B4"/>
    <w:rsid w:val="5630526E"/>
    <w:rsid w:val="5631387D"/>
    <w:rsid w:val="563230B2"/>
    <w:rsid w:val="563333D6"/>
    <w:rsid w:val="56350AD7"/>
    <w:rsid w:val="563611BE"/>
    <w:rsid w:val="56366D64"/>
    <w:rsid w:val="5637484F"/>
    <w:rsid w:val="563822B3"/>
    <w:rsid w:val="56382F4B"/>
    <w:rsid w:val="563A3C49"/>
    <w:rsid w:val="563C1E65"/>
    <w:rsid w:val="563D5BDD"/>
    <w:rsid w:val="563D798B"/>
    <w:rsid w:val="563F54B2"/>
    <w:rsid w:val="5640122A"/>
    <w:rsid w:val="564154BD"/>
    <w:rsid w:val="564175F1"/>
    <w:rsid w:val="564203FD"/>
    <w:rsid w:val="5644186E"/>
    <w:rsid w:val="56444B7E"/>
    <w:rsid w:val="56472142"/>
    <w:rsid w:val="56477382"/>
    <w:rsid w:val="56491729"/>
    <w:rsid w:val="564927D4"/>
    <w:rsid w:val="564B3E56"/>
    <w:rsid w:val="564C7BCE"/>
    <w:rsid w:val="564F2AFF"/>
    <w:rsid w:val="56501D52"/>
    <w:rsid w:val="56503404"/>
    <w:rsid w:val="56505911"/>
    <w:rsid w:val="56507FC5"/>
    <w:rsid w:val="565306E5"/>
    <w:rsid w:val="56530F5D"/>
    <w:rsid w:val="565332B6"/>
    <w:rsid w:val="56553E52"/>
    <w:rsid w:val="56577198"/>
    <w:rsid w:val="5658506C"/>
    <w:rsid w:val="565A22EB"/>
    <w:rsid w:val="565F5B54"/>
    <w:rsid w:val="56634B4F"/>
    <w:rsid w:val="56673D56"/>
    <w:rsid w:val="566854A3"/>
    <w:rsid w:val="566974FC"/>
    <w:rsid w:val="566B5520"/>
    <w:rsid w:val="566C7E86"/>
    <w:rsid w:val="566E324B"/>
    <w:rsid w:val="566E3FE9"/>
    <w:rsid w:val="566E5D97"/>
    <w:rsid w:val="56701027"/>
    <w:rsid w:val="56706DAD"/>
    <w:rsid w:val="56713395"/>
    <w:rsid w:val="56725887"/>
    <w:rsid w:val="56741E63"/>
    <w:rsid w:val="56752260"/>
    <w:rsid w:val="56755377"/>
    <w:rsid w:val="56781FDD"/>
    <w:rsid w:val="567B1F2B"/>
    <w:rsid w:val="567E6878"/>
    <w:rsid w:val="567E79B3"/>
    <w:rsid w:val="567F7FA4"/>
    <w:rsid w:val="56815ACA"/>
    <w:rsid w:val="568668CA"/>
    <w:rsid w:val="56867733"/>
    <w:rsid w:val="568A343A"/>
    <w:rsid w:val="568B06F7"/>
    <w:rsid w:val="568B4B9B"/>
    <w:rsid w:val="568D48D7"/>
    <w:rsid w:val="568E5A7A"/>
    <w:rsid w:val="568F468B"/>
    <w:rsid w:val="568F736C"/>
    <w:rsid w:val="56900687"/>
    <w:rsid w:val="5690074F"/>
    <w:rsid w:val="56903F5F"/>
    <w:rsid w:val="56933D5E"/>
    <w:rsid w:val="56955A19"/>
    <w:rsid w:val="569877C6"/>
    <w:rsid w:val="56995614"/>
    <w:rsid w:val="569A4F98"/>
    <w:rsid w:val="569C6DA8"/>
    <w:rsid w:val="569D042A"/>
    <w:rsid w:val="56A1616C"/>
    <w:rsid w:val="56A249DA"/>
    <w:rsid w:val="56A2752B"/>
    <w:rsid w:val="56A30136"/>
    <w:rsid w:val="56A36B59"/>
    <w:rsid w:val="56A417B8"/>
    <w:rsid w:val="56A46172"/>
    <w:rsid w:val="56A60C81"/>
    <w:rsid w:val="56A7004F"/>
    <w:rsid w:val="56A85EF4"/>
    <w:rsid w:val="56A921B3"/>
    <w:rsid w:val="56AA0E3B"/>
    <w:rsid w:val="56AB0D99"/>
    <w:rsid w:val="56AB1439"/>
    <w:rsid w:val="56AC25F0"/>
    <w:rsid w:val="56AC391A"/>
    <w:rsid w:val="56AE7538"/>
    <w:rsid w:val="56AF7BEA"/>
    <w:rsid w:val="56B00E52"/>
    <w:rsid w:val="56B05008"/>
    <w:rsid w:val="56B26738"/>
    <w:rsid w:val="56B539ED"/>
    <w:rsid w:val="56B55774"/>
    <w:rsid w:val="56B62346"/>
    <w:rsid w:val="56B656D9"/>
    <w:rsid w:val="56B839DA"/>
    <w:rsid w:val="56B84109"/>
    <w:rsid w:val="56B85264"/>
    <w:rsid w:val="56BA0FDC"/>
    <w:rsid w:val="56BE55B0"/>
    <w:rsid w:val="56BE6D1E"/>
    <w:rsid w:val="56C22086"/>
    <w:rsid w:val="56C22337"/>
    <w:rsid w:val="56C33516"/>
    <w:rsid w:val="56C365FF"/>
    <w:rsid w:val="56C9609A"/>
    <w:rsid w:val="56CA5E49"/>
    <w:rsid w:val="56CB143B"/>
    <w:rsid w:val="56CB68EF"/>
    <w:rsid w:val="56CC3C8A"/>
    <w:rsid w:val="56CC4F85"/>
    <w:rsid w:val="56CD10B7"/>
    <w:rsid w:val="56D007FF"/>
    <w:rsid w:val="56D23B6F"/>
    <w:rsid w:val="56D23D87"/>
    <w:rsid w:val="56D24A0B"/>
    <w:rsid w:val="56D60D89"/>
    <w:rsid w:val="56DC2B9C"/>
    <w:rsid w:val="56E11045"/>
    <w:rsid w:val="56E326EF"/>
    <w:rsid w:val="56E97A29"/>
    <w:rsid w:val="56EB5F09"/>
    <w:rsid w:val="56EB645F"/>
    <w:rsid w:val="56ED331D"/>
    <w:rsid w:val="56F11165"/>
    <w:rsid w:val="56F2105C"/>
    <w:rsid w:val="56F61952"/>
    <w:rsid w:val="56F664B8"/>
    <w:rsid w:val="56F73FDE"/>
    <w:rsid w:val="56F74922"/>
    <w:rsid w:val="56FD6278"/>
    <w:rsid w:val="57016C0B"/>
    <w:rsid w:val="570556BE"/>
    <w:rsid w:val="57076DFB"/>
    <w:rsid w:val="570B21C1"/>
    <w:rsid w:val="57111330"/>
    <w:rsid w:val="5712706A"/>
    <w:rsid w:val="57127275"/>
    <w:rsid w:val="57137C33"/>
    <w:rsid w:val="57190A47"/>
    <w:rsid w:val="571B228A"/>
    <w:rsid w:val="571E7ECD"/>
    <w:rsid w:val="571F0355"/>
    <w:rsid w:val="5721105B"/>
    <w:rsid w:val="572A4DAB"/>
    <w:rsid w:val="572A7D44"/>
    <w:rsid w:val="572A7F10"/>
    <w:rsid w:val="572B1EDA"/>
    <w:rsid w:val="572B6B56"/>
    <w:rsid w:val="572D02C8"/>
    <w:rsid w:val="572D3E71"/>
    <w:rsid w:val="572F3778"/>
    <w:rsid w:val="57323268"/>
    <w:rsid w:val="573362BF"/>
    <w:rsid w:val="573C40E7"/>
    <w:rsid w:val="573D5E2C"/>
    <w:rsid w:val="5740449E"/>
    <w:rsid w:val="57437223"/>
    <w:rsid w:val="5746665A"/>
    <w:rsid w:val="5748483A"/>
    <w:rsid w:val="574877E1"/>
    <w:rsid w:val="574A2360"/>
    <w:rsid w:val="574A3DF9"/>
    <w:rsid w:val="574B678F"/>
    <w:rsid w:val="574B719F"/>
    <w:rsid w:val="574B7C88"/>
    <w:rsid w:val="574D00A2"/>
    <w:rsid w:val="574D4690"/>
    <w:rsid w:val="574E2F99"/>
    <w:rsid w:val="57504E2F"/>
    <w:rsid w:val="575126D3"/>
    <w:rsid w:val="57537751"/>
    <w:rsid w:val="57552E22"/>
    <w:rsid w:val="575548AE"/>
    <w:rsid w:val="575556B1"/>
    <w:rsid w:val="5757215D"/>
    <w:rsid w:val="57594971"/>
    <w:rsid w:val="575A6B72"/>
    <w:rsid w:val="575C02E5"/>
    <w:rsid w:val="575C15E3"/>
    <w:rsid w:val="575C1BDA"/>
    <w:rsid w:val="575D15B4"/>
    <w:rsid w:val="575D37F5"/>
    <w:rsid w:val="57607F35"/>
    <w:rsid w:val="5761079B"/>
    <w:rsid w:val="57635426"/>
    <w:rsid w:val="576378C6"/>
    <w:rsid w:val="57650F48"/>
    <w:rsid w:val="5765477D"/>
    <w:rsid w:val="576663E7"/>
    <w:rsid w:val="57684EDC"/>
    <w:rsid w:val="57686183"/>
    <w:rsid w:val="576C5E08"/>
    <w:rsid w:val="57744A66"/>
    <w:rsid w:val="57776ECD"/>
    <w:rsid w:val="577B3F4D"/>
    <w:rsid w:val="577D0987"/>
    <w:rsid w:val="577E0031"/>
    <w:rsid w:val="577E52D7"/>
    <w:rsid w:val="57803FD4"/>
    <w:rsid w:val="578053C5"/>
    <w:rsid w:val="57805D55"/>
    <w:rsid w:val="57805D82"/>
    <w:rsid w:val="578411E6"/>
    <w:rsid w:val="5784175D"/>
    <w:rsid w:val="57875362"/>
    <w:rsid w:val="578816AE"/>
    <w:rsid w:val="578A1D1A"/>
    <w:rsid w:val="578C4726"/>
    <w:rsid w:val="578E4942"/>
    <w:rsid w:val="579139FB"/>
    <w:rsid w:val="5792501F"/>
    <w:rsid w:val="57925AB5"/>
    <w:rsid w:val="579438B4"/>
    <w:rsid w:val="57961A49"/>
    <w:rsid w:val="579932E7"/>
    <w:rsid w:val="57993C18"/>
    <w:rsid w:val="57995095"/>
    <w:rsid w:val="579E07D9"/>
    <w:rsid w:val="579E445A"/>
    <w:rsid w:val="57A44166"/>
    <w:rsid w:val="57A537C6"/>
    <w:rsid w:val="57A57404"/>
    <w:rsid w:val="57A726CA"/>
    <w:rsid w:val="57A8352A"/>
    <w:rsid w:val="57AF0129"/>
    <w:rsid w:val="57B108DA"/>
    <w:rsid w:val="57B43C7D"/>
    <w:rsid w:val="57B47CCE"/>
    <w:rsid w:val="57BB1DDB"/>
    <w:rsid w:val="57BD4A5B"/>
    <w:rsid w:val="57BD6030"/>
    <w:rsid w:val="57BD6FD6"/>
    <w:rsid w:val="57C06AC6"/>
    <w:rsid w:val="57C33332"/>
    <w:rsid w:val="57C51837"/>
    <w:rsid w:val="57C540DC"/>
    <w:rsid w:val="57C93D34"/>
    <w:rsid w:val="57C94DDE"/>
    <w:rsid w:val="57CC2A38"/>
    <w:rsid w:val="57CC7219"/>
    <w:rsid w:val="57CE65B1"/>
    <w:rsid w:val="57D001E3"/>
    <w:rsid w:val="57D566CC"/>
    <w:rsid w:val="57D83E10"/>
    <w:rsid w:val="57DA7555"/>
    <w:rsid w:val="57DB7DE8"/>
    <w:rsid w:val="57DC2DA2"/>
    <w:rsid w:val="57DE6F4C"/>
    <w:rsid w:val="57E01CBA"/>
    <w:rsid w:val="57E24C8E"/>
    <w:rsid w:val="57E32E1A"/>
    <w:rsid w:val="57E566A6"/>
    <w:rsid w:val="57E62D44"/>
    <w:rsid w:val="57E72E4A"/>
    <w:rsid w:val="57E81272"/>
    <w:rsid w:val="57E87CD3"/>
    <w:rsid w:val="57EC3417"/>
    <w:rsid w:val="57EF4CB5"/>
    <w:rsid w:val="57F03975"/>
    <w:rsid w:val="57F14ED1"/>
    <w:rsid w:val="57F728C2"/>
    <w:rsid w:val="57FB7AFE"/>
    <w:rsid w:val="57FD23C8"/>
    <w:rsid w:val="57FF1B62"/>
    <w:rsid w:val="57FF5DE3"/>
    <w:rsid w:val="58003366"/>
    <w:rsid w:val="58013307"/>
    <w:rsid w:val="58082731"/>
    <w:rsid w:val="58093434"/>
    <w:rsid w:val="58094C63"/>
    <w:rsid w:val="580B4386"/>
    <w:rsid w:val="580C30D8"/>
    <w:rsid w:val="580F00F8"/>
    <w:rsid w:val="58102306"/>
    <w:rsid w:val="581217F1"/>
    <w:rsid w:val="58160494"/>
    <w:rsid w:val="5816663A"/>
    <w:rsid w:val="5818245E"/>
    <w:rsid w:val="58196DAC"/>
    <w:rsid w:val="581A7F84"/>
    <w:rsid w:val="581B3CFC"/>
    <w:rsid w:val="581D4E1C"/>
    <w:rsid w:val="581E5583"/>
    <w:rsid w:val="581F1A88"/>
    <w:rsid w:val="58214DBF"/>
    <w:rsid w:val="58216ABF"/>
    <w:rsid w:val="582232DD"/>
    <w:rsid w:val="582241C7"/>
    <w:rsid w:val="58237473"/>
    <w:rsid w:val="582622EE"/>
    <w:rsid w:val="582A3F3F"/>
    <w:rsid w:val="582C5BEA"/>
    <w:rsid w:val="582E7A95"/>
    <w:rsid w:val="58306639"/>
    <w:rsid w:val="58333CC5"/>
    <w:rsid w:val="583444DA"/>
    <w:rsid w:val="58357C03"/>
    <w:rsid w:val="58366D88"/>
    <w:rsid w:val="58376DD7"/>
    <w:rsid w:val="5837775B"/>
    <w:rsid w:val="58382B00"/>
    <w:rsid w:val="583D1AE4"/>
    <w:rsid w:val="583F0740"/>
    <w:rsid w:val="58405511"/>
    <w:rsid w:val="58426B00"/>
    <w:rsid w:val="58442781"/>
    <w:rsid w:val="584559A7"/>
    <w:rsid w:val="58464056"/>
    <w:rsid w:val="5846521D"/>
    <w:rsid w:val="58467845"/>
    <w:rsid w:val="58472D43"/>
    <w:rsid w:val="584743F2"/>
    <w:rsid w:val="58482296"/>
    <w:rsid w:val="584A32DB"/>
    <w:rsid w:val="584C7642"/>
    <w:rsid w:val="584D65AC"/>
    <w:rsid w:val="584D6EAE"/>
    <w:rsid w:val="58515970"/>
    <w:rsid w:val="58523BC2"/>
    <w:rsid w:val="58535244"/>
    <w:rsid w:val="5853793A"/>
    <w:rsid w:val="58550FBC"/>
    <w:rsid w:val="58580AAD"/>
    <w:rsid w:val="58597EAB"/>
    <w:rsid w:val="585A65D3"/>
    <w:rsid w:val="585B5C1B"/>
    <w:rsid w:val="585B7E33"/>
    <w:rsid w:val="585D45E2"/>
    <w:rsid w:val="585F1E3B"/>
    <w:rsid w:val="585F5977"/>
    <w:rsid w:val="5861224A"/>
    <w:rsid w:val="586202ED"/>
    <w:rsid w:val="5862401C"/>
    <w:rsid w:val="5864418B"/>
    <w:rsid w:val="586B76C2"/>
    <w:rsid w:val="58722AB2"/>
    <w:rsid w:val="58725581"/>
    <w:rsid w:val="58736FD2"/>
    <w:rsid w:val="5875340D"/>
    <w:rsid w:val="58753DB9"/>
    <w:rsid w:val="58773081"/>
    <w:rsid w:val="5877686F"/>
    <w:rsid w:val="587811FC"/>
    <w:rsid w:val="58782EFD"/>
    <w:rsid w:val="587A07F0"/>
    <w:rsid w:val="587B479B"/>
    <w:rsid w:val="587C752E"/>
    <w:rsid w:val="587D49B7"/>
    <w:rsid w:val="58871392"/>
    <w:rsid w:val="5889335C"/>
    <w:rsid w:val="588953DF"/>
    <w:rsid w:val="588A3951"/>
    <w:rsid w:val="588C427D"/>
    <w:rsid w:val="588C6BC1"/>
    <w:rsid w:val="588E44CE"/>
    <w:rsid w:val="588F0354"/>
    <w:rsid w:val="5890646D"/>
    <w:rsid w:val="58913FBE"/>
    <w:rsid w:val="58921EEB"/>
    <w:rsid w:val="589715D5"/>
    <w:rsid w:val="589757D5"/>
    <w:rsid w:val="589812B0"/>
    <w:rsid w:val="589A7317"/>
    <w:rsid w:val="589D0BB5"/>
    <w:rsid w:val="589E7A86"/>
    <w:rsid w:val="589F65B2"/>
    <w:rsid w:val="58A30BB2"/>
    <w:rsid w:val="58A40196"/>
    <w:rsid w:val="58A504A8"/>
    <w:rsid w:val="58A63C18"/>
    <w:rsid w:val="58A82984"/>
    <w:rsid w:val="58A87664"/>
    <w:rsid w:val="58AB32D2"/>
    <w:rsid w:val="58AB7F08"/>
    <w:rsid w:val="58AC0ED4"/>
    <w:rsid w:val="58B442C6"/>
    <w:rsid w:val="58B71C77"/>
    <w:rsid w:val="58BC7D3F"/>
    <w:rsid w:val="58BF28DA"/>
    <w:rsid w:val="58C15EA3"/>
    <w:rsid w:val="58C23DC0"/>
    <w:rsid w:val="58C3061C"/>
    <w:rsid w:val="58C47EF0"/>
    <w:rsid w:val="58C61EBA"/>
    <w:rsid w:val="58CD2608"/>
    <w:rsid w:val="58CE7766"/>
    <w:rsid w:val="58CF0F3C"/>
    <w:rsid w:val="58D00F8B"/>
    <w:rsid w:val="58D02D39"/>
    <w:rsid w:val="58D07FAA"/>
    <w:rsid w:val="58D205AF"/>
    <w:rsid w:val="58D269C6"/>
    <w:rsid w:val="58D47FFB"/>
    <w:rsid w:val="58D85297"/>
    <w:rsid w:val="58D93F53"/>
    <w:rsid w:val="58DA6810"/>
    <w:rsid w:val="58DA7713"/>
    <w:rsid w:val="58DC449E"/>
    <w:rsid w:val="58DE7204"/>
    <w:rsid w:val="58E13419"/>
    <w:rsid w:val="58E16CF4"/>
    <w:rsid w:val="58E22F1C"/>
    <w:rsid w:val="58E40592"/>
    <w:rsid w:val="58E405DD"/>
    <w:rsid w:val="58E61072"/>
    <w:rsid w:val="58E6255C"/>
    <w:rsid w:val="58E93DFA"/>
    <w:rsid w:val="58E967C4"/>
    <w:rsid w:val="58EF1DF9"/>
    <w:rsid w:val="58F20F01"/>
    <w:rsid w:val="58F22CAF"/>
    <w:rsid w:val="58F5454D"/>
    <w:rsid w:val="58F740F7"/>
    <w:rsid w:val="58F75133"/>
    <w:rsid w:val="58FF3D64"/>
    <w:rsid w:val="58FF4613"/>
    <w:rsid w:val="5900000F"/>
    <w:rsid w:val="59012EF2"/>
    <w:rsid w:val="59017396"/>
    <w:rsid w:val="59046094"/>
    <w:rsid w:val="590501A6"/>
    <w:rsid w:val="59060650"/>
    <w:rsid w:val="590777C4"/>
    <w:rsid w:val="59081A9C"/>
    <w:rsid w:val="590836E0"/>
    <w:rsid w:val="59091DA7"/>
    <w:rsid w:val="590B2E55"/>
    <w:rsid w:val="590E7AFE"/>
    <w:rsid w:val="590F2911"/>
    <w:rsid w:val="59106321"/>
    <w:rsid w:val="5911410C"/>
    <w:rsid w:val="59117084"/>
    <w:rsid w:val="59184C1C"/>
    <w:rsid w:val="59190642"/>
    <w:rsid w:val="591A640F"/>
    <w:rsid w:val="591B0458"/>
    <w:rsid w:val="591E0842"/>
    <w:rsid w:val="591E1CF6"/>
    <w:rsid w:val="592014A1"/>
    <w:rsid w:val="592117E6"/>
    <w:rsid w:val="59213594"/>
    <w:rsid w:val="59271254"/>
    <w:rsid w:val="5928618F"/>
    <w:rsid w:val="59290CF4"/>
    <w:rsid w:val="592926F2"/>
    <w:rsid w:val="5929513F"/>
    <w:rsid w:val="592D1F39"/>
    <w:rsid w:val="59310538"/>
    <w:rsid w:val="59316B6C"/>
    <w:rsid w:val="59330D43"/>
    <w:rsid w:val="593373ED"/>
    <w:rsid w:val="593429C5"/>
    <w:rsid w:val="59401951"/>
    <w:rsid w:val="59401C6C"/>
    <w:rsid w:val="59407EBE"/>
    <w:rsid w:val="59413C36"/>
    <w:rsid w:val="59420AF2"/>
    <w:rsid w:val="59430B4C"/>
    <w:rsid w:val="59437A20"/>
    <w:rsid w:val="5944329C"/>
    <w:rsid w:val="59462FFB"/>
    <w:rsid w:val="594700E3"/>
    <w:rsid w:val="594D4389"/>
    <w:rsid w:val="594E1070"/>
    <w:rsid w:val="59521175"/>
    <w:rsid w:val="595219A0"/>
    <w:rsid w:val="59577EF5"/>
    <w:rsid w:val="59585FB2"/>
    <w:rsid w:val="59586E18"/>
    <w:rsid w:val="59590C77"/>
    <w:rsid w:val="595B0854"/>
    <w:rsid w:val="59610256"/>
    <w:rsid w:val="59661F1A"/>
    <w:rsid w:val="5966205B"/>
    <w:rsid w:val="59682F71"/>
    <w:rsid w:val="596908AC"/>
    <w:rsid w:val="596926C2"/>
    <w:rsid w:val="596A32B0"/>
    <w:rsid w:val="596A6CE9"/>
    <w:rsid w:val="596C61B0"/>
    <w:rsid w:val="596D2BA8"/>
    <w:rsid w:val="5970248B"/>
    <w:rsid w:val="5972012C"/>
    <w:rsid w:val="59722F9E"/>
    <w:rsid w:val="597508EB"/>
    <w:rsid w:val="59777814"/>
    <w:rsid w:val="597869A8"/>
    <w:rsid w:val="597C2287"/>
    <w:rsid w:val="597C6A1D"/>
    <w:rsid w:val="597C7196"/>
    <w:rsid w:val="597E2795"/>
    <w:rsid w:val="597E4543"/>
    <w:rsid w:val="5980650D"/>
    <w:rsid w:val="59846BF5"/>
    <w:rsid w:val="59874EF4"/>
    <w:rsid w:val="598853C1"/>
    <w:rsid w:val="598F25C7"/>
    <w:rsid w:val="598F6750"/>
    <w:rsid w:val="59907957"/>
    <w:rsid w:val="59913850"/>
    <w:rsid w:val="59940BC1"/>
    <w:rsid w:val="59942A23"/>
    <w:rsid w:val="5997249A"/>
    <w:rsid w:val="59985695"/>
    <w:rsid w:val="599A4600"/>
    <w:rsid w:val="599A5B08"/>
    <w:rsid w:val="599B15D3"/>
    <w:rsid w:val="599B31A0"/>
    <w:rsid w:val="599D6C75"/>
    <w:rsid w:val="599F6BE8"/>
    <w:rsid w:val="59A206F2"/>
    <w:rsid w:val="59A26483"/>
    <w:rsid w:val="59A42ED5"/>
    <w:rsid w:val="59A55F73"/>
    <w:rsid w:val="59A71CEC"/>
    <w:rsid w:val="59A948AF"/>
    <w:rsid w:val="59AE0698"/>
    <w:rsid w:val="59AE43B5"/>
    <w:rsid w:val="59AF1377"/>
    <w:rsid w:val="59B35B6C"/>
    <w:rsid w:val="59B535F0"/>
    <w:rsid w:val="59B600D5"/>
    <w:rsid w:val="59B60656"/>
    <w:rsid w:val="59B77A55"/>
    <w:rsid w:val="59B843A4"/>
    <w:rsid w:val="59BE6995"/>
    <w:rsid w:val="59C11A0A"/>
    <w:rsid w:val="59C4289D"/>
    <w:rsid w:val="59C57F5B"/>
    <w:rsid w:val="59CB7D7C"/>
    <w:rsid w:val="59CC1752"/>
    <w:rsid w:val="59CC3500"/>
    <w:rsid w:val="59CC5BE0"/>
    <w:rsid w:val="59CD1BB9"/>
    <w:rsid w:val="59CF2FF0"/>
    <w:rsid w:val="59CF7E13"/>
    <w:rsid w:val="59D316E3"/>
    <w:rsid w:val="59D35AB6"/>
    <w:rsid w:val="59D3752F"/>
    <w:rsid w:val="59D6437F"/>
    <w:rsid w:val="59D71D52"/>
    <w:rsid w:val="59D979CB"/>
    <w:rsid w:val="59DA36DD"/>
    <w:rsid w:val="59DA5DAD"/>
    <w:rsid w:val="59DC3142"/>
    <w:rsid w:val="59DC483D"/>
    <w:rsid w:val="59DC552C"/>
    <w:rsid w:val="59E051FD"/>
    <w:rsid w:val="59E2778E"/>
    <w:rsid w:val="59E44CEE"/>
    <w:rsid w:val="59E533C1"/>
    <w:rsid w:val="59E7033A"/>
    <w:rsid w:val="59E87270"/>
    <w:rsid w:val="59E91789"/>
    <w:rsid w:val="59EC1888"/>
    <w:rsid w:val="59EC76FE"/>
    <w:rsid w:val="59ED1B53"/>
    <w:rsid w:val="59EE3352"/>
    <w:rsid w:val="59F038EB"/>
    <w:rsid w:val="59F34F31"/>
    <w:rsid w:val="59F42A57"/>
    <w:rsid w:val="59F502E5"/>
    <w:rsid w:val="59F708D0"/>
    <w:rsid w:val="59F81164"/>
    <w:rsid w:val="59FA4454"/>
    <w:rsid w:val="59FB30B7"/>
    <w:rsid w:val="59FB6C39"/>
    <w:rsid w:val="59FC013D"/>
    <w:rsid w:val="59FD5DAF"/>
    <w:rsid w:val="59FD6573"/>
    <w:rsid w:val="59FE7900"/>
    <w:rsid w:val="59FF38D6"/>
    <w:rsid w:val="5A0031AA"/>
    <w:rsid w:val="5A010FCF"/>
    <w:rsid w:val="5A01185B"/>
    <w:rsid w:val="5A026F22"/>
    <w:rsid w:val="5A044C87"/>
    <w:rsid w:val="5A052B3B"/>
    <w:rsid w:val="5A0802B0"/>
    <w:rsid w:val="5A0C1B4F"/>
    <w:rsid w:val="5A0C4453"/>
    <w:rsid w:val="5A0C7DA1"/>
    <w:rsid w:val="5A0F6C9C"/>
    <w:rsid w:val="5A105AE3"/>
    <w:rsid w:val="5A150D5F"/>
    <w:rsid w:val="5A184997"/>
    <w:rsid w:val="5A1C6E0C"/>
    <w:rsid w:val="5A1D5B0A"/>
    <w:rsid w:val="5A1E6660"/>
    <w:rsid w:val="5A1F69E3"/>
    <w:rsid w:val="5A2055FA"/>
    <w:rsid w:val="5A217941"/>
    <w:rsid w:val="5A237619"/>
    <w:rsid w:val="5A2B15E1"/>
    <w:rsid w:val="5A2B3745"/>
    <w:rsid w:val="5A2C35FE"/>
    <w:rsid w:val="5A2C3D5B"/>
    <w:rsid w:val="5A2D7D25"/>
    <w:rsid w:val="5A2E01D2"/>
    <w:rsid w:val="5A2E7D17"/>
    <w:rsid w:val="5A2F315C"/>
    <w:rsid w:val="5A3115B5"/>
    <w:rsid w:val="5A315128"/>
    <w:rsid w:val="5A3317D1"/>
    <w:rsid w:val="5A366373"/>
    <w:rsid w:val="5A3908C4"/>
    <w:rsid w:val="5A3A490E"/>
    <w:rsid w:val="5A3B4555"/>
    <w:rsid w:val="5A3D43FE"/>
    <w:rsid w:val="5A3D7F5A"/>
    <w:rsid w:val="5A3E0190"/>
    <w:rsid w:val="5A405001"/>
    <w:rsid w:val="5A4237C2"/>
    <w:rsid w:val="5A434AAC"/>
    <w:rsid w:val="5A476C6A"/>
    <w:rsid w:val="5A494F2D"/>
    <w:rsid w:val="5A4A01F0"/>
    <w:rsid w:val="5A4D795B"/>
    <w:rsid w:val="5A4E660B"/>
    <w:rsid w:val="5A4F5EDF"/>
    <w:rsid w:val="5A500549"/>
    <w:rsid w:val="5A511C57"/>
    <w:rsid w:val="5A52453C"/>
    <w:rsid w:val="5A542191"/>
    <w:rsid w:val="5A5530B6"/>
    <w:rsid w:val="5A5534F6"/>
    <w:rsid w:val="5A5569F8"/>
    <w:rsid w:val="5A560DC3"/>
    <w:rsid w:val="5A5648E4"/>
    <w:rsid w:val="5A576F72"/>
    <w:rsid w:val="5A582FE6"/>
    <w:rsid w:val="5A5A0BD4"/>
    <w:rsid w:val="5A5D23AA"/>
    <w:rsid w:val="5A5D57C3"/>
    <w:rsid w:val="5A615BCE"/>
    <w:rsid w:val="5A61633E"/>
    <w:rsid w:val="5A621635"/>
    <w:rsid w:val="5A621E86"/>
    <w:rsid w:val="5A640949"/>
    <w:rsid w:val="5A641BF0"/>
    <w:rsid w:val="5A68338C"/>
    <w:rsid w:val="5A683600"/>
    <w:rsid w:val="5A6B0F6B"/>
    <w:rsid w:val="5A6F369B"/>
    <w:rsid w:val="5A7124E5"/>
    <w:rsid w:val="5A76346C"/>
    <w:rsid w:val="5A764281"/>
    <w:rsid w:val="5A776714"/>
    <w:rsid w:val="5A7A4D9F"/>
    <w:rsid w:val="5A7A7400"/>
    <w:rsid w:val="5A7B0A82"/>
    <w:rsid w:val="5A7B407E"/>
    <w:rsid w:val="5A7E3BFB"/>
    <w:rsid w:val="5A8028EF"/>
    <w:rsid w:val="5A8042EB"/>
    <w:rsid w:val="5A817CEB"/>
    <w:rsid w:val="5A8262B5"/>
    <w:rsid w:val="5A827DBF"/>
    <w:rsid w:val="5A8505C4"/>
    <w:rsid w:val="5A851901"/>
    <w:rsid w:val="5A8818EC"/>
    <w:rsid w:val="5A8913F1"/>
    <w:rsid w:val="5A8A51B6"/>
    <w:rsid w:val="5A8A65B6"/>
    <w:rsid w:val="5A90381B"/>
    <w:rsid w:val="5A92474A"/>
    <w:rsid w:val="5A9304C2"/>
    <w:rsid w:val="5A941E1F"/>
    <w:rsid w:val="5A94286E"/>
    <w:rsid w:val="5A971D60"/>
    <w:rsid w:val="5A980B76"/>
    <w:rsid w:val="5A9866CB"/>
    <w:rsid w:val="5A987886"/>
    <w:rsid w:val="5A9A53AC"/>
    <w:rsid w:val="5A9C2C07"/>
    <w:rsid w:val="5A9D2064"/>
    <w:rsid w:val="5AA12940"/>
    <w:rsid w:val="5AA16C74"/>
    <w:rsid w:val="5AA224B3"/>
    <w:rsid w:val="5AA61FA3"/>
    <w:rsid w:val="5AA75D1B"/>
    <w:rsid w:val="5AA93841"/>
    <w:rsid w:val="5AA955EF"/>
    <w:rsid w:val="5AAB4DEE"/>
    <w:rsid w:val="5AAB75B9"/>
    <w:rsid w:val="5AAC2B44"/>
    <w:rsid w:val="5AAD18F9"/>
    <w:rsid w:val="5AAD63E9"/>
    <w:rsid w:val="5AAE2C06"/>
    <w:rsid w:val="5AAE4404"/>
    <w:rsid w:val="5AAF2166"/>
    <w:rsid w:val="5AB332E4"/>
    <w:rsid w:val="5AB559E0"/>
    <w:rsid w:val="5AB56C9A"/>
    <w:rsid w:val="5AB81CD6"/>
    <w:rsid w:val="5ABA3CA0"/>
    <w:rsid w:val="5ABA5A4E"/>
    <w:rsid w:val="5AC266B1"/>
    <w:rsid w:val="5AC32B55"/>
    <w:rsid w:val="5AC40804"/>
    <w:rsid w:val="5AC468CD"/>
    <w:rsid w:val="5AC46AFA"/>
    <w:rsid w:val="5AC5200C"/>
    <w:rsid w:val="5AC54A30"/>
    <w:rsid w:val="5AC60BF9"/>
    <w:rsid w:val="5ACA5920"/>
    <w:rsid w:val="5ACE4740"/>
    <w:rsid w:val="5AD00965"/>
    <w:rsid w:val="5AD01F28"/>
    <w:rsid w:val="5AD14B46"/>
    <w:rsid w:val="5AD16135"/>
    <w:rsid w:val="5AD175C5"/>
    <w:rsid w:val="5AD20FEA"/>
    <w:rsid w:val="5AD30EEB"/>
    <w:rsid w:val="5AD44AB6"/>
    <w:rsid w:val="5AD53D0E"/>
    <w:rsid w:val="5AD61FA7"/>
    <w:rsid w:val="5AD86E8D"/>
    <w:rsid w:val="5ADB1DB8"/>
    <w:rsid w:val="5ADC573B"/>
    <w:rsid w:val="5ADC59C5"/>
    <w:rsid w:val="5ADC6527"/>
    <w:rsid w:val="5ADD2BA5"/>
    <w:rsid w:val="5ADF0815"/>
    <w:rsid w:val="5AE01A21"/>
    <w:rsid w:val="5AE127E9"/>
    <w:rsid w:val="5AE2054A"/>
    <w:rsid w:val="5AE22E06"/>
    <w:rsid w:val="5AE2463A"/>
    <w:rsid w:val="5AE466D4"/>
    <w:rsid w:val="5AE62C25"/>
    <w:rsid w:val="5AEB0305"/>
    <w:rsid w:val="5AEB3E5A"/>
    <w:rsid w:val="5AEB4AF6"/>
    <w:rsid w:val="5AEB4D1E"/>
    <w:rsid w:val="5AEC084D"/>
    <w:rsid w:val="5AED3B32"/>
    <w:rsid w:val="5AF905A1"/>
    <w:rsid w:val="5AF97B5F"/>
    <w:rsid w:val="5AFD593B"/>
    <w:rsid w:val="5B013F5E"/>
    <w:rsid w:val="5B0414BD"/>
    <w:rsid w:val="5B0942E0"/>
    <w:rsid w:val="5B0A699D"/>
    <w:rsid w:val="5B0C1558"/>
    <w:rsid w:val="5B0E07D9"/>
    <w:rsid w:val="5B0E2707"/>
    <w:rsid w:val="5B160A23"/>
    <w:rsid w:val="5B1708CA"/>
    <w:rsid w:val="5B177049"/>
    <w:rsid w:val="5B19180A"/>
    <w:rsid w:val="5B1D06C1"/>
    <w:rsid w:val="5B1E3C02"/>
    <w:rsid w:val="5B1E422F"/>
    <w:rsid w:val="5B1E77CC"/>
    <w:rsid w:val="5B211E08"/>
    <w:rsid w:val="5B217F85"/>
    <w:rsid w:val="5B221869"/>
    <w:rsid w:val="5B2335F4"/>
    <w:rsid w:val="5B23729D"/>
    <w:rsid w:val="5B247D38"/>
    <w:rsid w:val="5B296E1F"/>
    <w:rsid w:val="5B2A225C"/>
    <w:rsid w:val="5B2A5C9A"/>
    <w:rsid w:val="5B2E6752"/>
    <w:rsid w:val="5B321A89"/>
    <w:rsid w:val="5B340EDD"/>
    <w:rsid w:val="5B355FB3"/>
    <w:rsid w:val="5B363095"/>
    <w:rsid w:val="5B364469"/>
    <w:rsid w:val="5B370E4D"/>
    <w:rsid w:val="5B372318"/>
    <w:rsid w:val="5B3C2907"/>
    <w:rsid w:val="5B3C3FC4"/>
    <w:rsid w:val="5B3C492C"/>
    <w:rsid w:val="5B3C72C4"/>
    <w:rsid w:val="5B3D3F8A"/>
    <w:rsid w:val="5B3F0E73"/>
    <w:rsid w:val="5B455322"/>
    <w:rsid w:val="5B456F23"/>
    <w:rsid w:val="5B4672E2"/>
    <w:rsid w:val="5B47552E"/>
    <w:rsid w:val="5B47771B"/>
    <w:rsid w:val="5B4876F8"/>
    <w:rsid w:val="5B490B80"/>
    <w:rsid w:val="5B4E356A"/>
    <w:rsid w:val="5B500730"/>
    <w:rsid w:val="5B501F0F"/>
    <w:rsid w:val="5B5029F3"/>
    <w:rsid w:val="5B5279BC"/>
    <w:rsid w:val="5B527A35"/>
    <w:rsid w:val="5B55086C"/>
    <w:rsid w:val="5B55492E"/>
    <w:rsid w:val="5B566FB1"/>
    <w:rsid w:val="5B57329D"/>
    <w:rsid w:val="5B5804D5"/>
    <w:rsid w:val="5B590DB7"/>
    <w:rsid w:val="5B5A4B3C"/>
    <w:rsid w:val="5B5B0FE0"/>
    <w:rsid w:val="5B5E7496"/>
    <w:rsid w:val="5B5F7F9D"/>
    <w:rsid w:val="5B622CBA"/>
    <w:rsid w:val="5B630F2A"/>
    <w:rsid w:val="5B647768"/>
    <w:rsid w:val="5B682278"/>
    <w:rsid w:val="5B6854AA"/>
    <w:rsid w:val="5B6A2D43"/>
    <w:rsid w:val="5B6D7141"/>
    <w:rsid w:val="5B6E4A34"/>
    <w:rsid w:val="5B7008B1"/>
    <w:rsid w:val="5B701E5A"/>
    <w:rsid w:val="5B751975"/>
    <w:rsid w:val="5B793214"/>
    <w:rsid w:val="5B797C67"/>
    <w:rsid w:val="5B7A0965"/>
    <w:rsid w:val="5B7A6F8C"/>
    <w:rsid w:val="5B7C75A0"/>
    <w:rsid w:val="5B7D1150"/>
    <w:rsid w:val="5B7F5150"/>
    <w:rsid w:val="5B800A46"/>
    <w:rsid w:val="5B815DAE"/>
    <w:rsid w:val="5B83073A"/>
    <w:rsid w:val="5B8449DB"/>
    <w:rsid w:val="5B85605C"/>
    <w:rsid w:val="5B857E0A"/>
    <w:rsid w:val="5B87692E"/>
    <w:rsid w:val="5B8816A9"/>
    <w:rsid w:val="5B892AAC"/>
    <w:rsid w:val="5B8A3673"/>
    <w:rsid w:val="5B8A6F39"/>
    <w:rsid w:val="5B8E39E8"/>
    <w:rsid w:val="5B8F0C89"/>
    <w:rsid w:val="5B90055D"/>
    <w:rsid w:val="5B923C38"/>
    <w:rsid w:val="5B934DDF"/>
    <w:rsid w:val="5B94029F"/>
    <w:rsid w:val="5B96304E"/>
    <w:rsid w:val="5B96396F"/>
    <w:rsid w:val="5B9758FD"/>
    <w:rsid w:val="5B977B3E"/>
    <w:rsid w:val="5B986557"/>
    <w:rsid w:val="5B9A46F8"/>
    <w:rsid w:val="5B9B1B49"/>
    <w:rsid w:val="5B9B48BC"/>
    <w:rsid w:val="5B9B7C87"/>
    <w:rsid w:val="5B9C3001"/>
    <w:rsid w:val="5B9C5154"/>
    <w:rsid w:val="5B9C6F02"/>
    <w:rsid w:val="5BA83942"/>
    <w:rsid w:val="5BA87F9D"/>
    <w:rsid w:val="5BAC35E9"/>
    <w:rsid w:val="5BAD55B3"/>
    <w:rsid w:val="5BAF1477"/>
    <w:rsid w:val="5BAF30D9"/>
    <w:rsid w:val="5BAF59CC"/>
    <w:rsid w:val="5BB07E17"/>
    <w:rsid w:val="5BB20E73"/>
    <w:rsid w:val="5BB26726"/>
    <w:rsid w:val="5BB71F8E"/>
    <w:rsid w:val="5BB73D3C"/>
    <w:rsid w:val="5BB751BD"/>
    <w:rsid w:val="5BB83C6A"/>
    <w:rsid w:val="5BB83D6D"/>
    <w:rsid w:val="5BB93F58"/>
    <w:rsid w:val="5BBA3939"/>
    <w:rsid w:val="5BBA55DA"/>
    <w:rsid w:val="5BBC27DD"/>
    <w:rsid w:val="5BBD57F6"/>
    <w:rsid w:val="5BBF488A"/>
    <w:rsid w:val="5BC10B74"/>
    <w:rsid w:val="5BC16969"/>
    <w:rsid w:val="5BC47241"/>
    <w:rsid w:val="5BC63D59"/>
    <w:rsid w:val="5BC745CB"/>
    <w:rsid w:val="5BCB77E7"/>
    <w:rsid w:val="5BCF1957"/>
    <w:rsid w:val="5BCF3811"/>
    <w:rsid w:val="5BD20B76"/>
    <w:rsid w:val="5BD32C9E"/>
    <w:rsid w:val="5BD76B7C"/>
    <w:rsid w:val="5BDD1924"/>
    <w:rsid w:val="5BE21435"/>
    <w:rsid w:val="5BE34B31"/>
    <w:rsid w:val="5BE63D34"/>
    <w:rsid w:val="5BE82721"/>
    <w:rsid w:val="5BEC1C38"/>
    <w:rsid w:val="5BF136F2"/>
    <w:rsid w:val="5BF1724E"/>
    <w:rsid w:val="5BF17599"/>
    <w:rsid w:val="5BF277E2"/>
    <w:rsid w:val="5BF30B80"/>
    <w:rsid w:val="5BF43D30"/>
    <w:rsid w:val="5BF45FDC"/>
    <w:rsid w:val="5BF534D1"/>
    <w:rsid w:val="5BF705DC"/>
    <w:rsid w:val="5BF94C98"/>
    <w:rsid w:val="5BFB2BA2"/>
    <w:rsid w:val="5BFC4D42"/>
    <w:rsid w:val="5BFC6B02"/>
    <w:rsid w:val="5BFE7BBD"/>
    <w:rsid w:val="5BFF1E2F"/>
    <w:rsid w:val="5C00536A"/>
    <w:rsid w:val="5C006935"/>
    <w:rsid w:val="5C014F06"/>
    <w:rsid w:val="5C05719D"/>
    <w:rsid w:val="5C0827EA"/>
    <w:rsid w:val="5C087A2F"/>
    <w:rsid w:val="5C093B32"/>
    <w:rsid w:val="5C0C5203"/>
    <w:rsid w:val="5C0D1686"/>
    <w:rsid w:val="5C0E6052"/>
    <w:rsid w:val="5C1113E4"/>
    <w:rsid w:val="5C1178F0"/>
    <w:rsid w:val="5C1318BA"/>
    <w:rsid w:val="5C140F65"/>
    <w:rsid w:val="5C1475D9"/>
    <w:rsid w:val="5C184182"/>
    <w:rsid w:val="5C1B3784"/>
    <w:rsid w:val="5C1B6F9F"/>
    <w:rsid w:val="5C1B7B96"/>
    <w:rsid w:val="5C1C5927"/>
    <w:rsid w:val="5C1E2A49"/>
    <w:rsid w:val="5C1E3DBB"/>
    <w:rsid w:val="5C1F33F8"/>
    <w:rsid w:val="5C1F4E24"/>
    <w:rsid w:val="5C205D85"/>
    <w:rsid w:val="5C230695"/>
    <w:rsid w:val="5C24165F"/>
    <w:rsid w:val="5C253AD6"/>
    <w:rsid w:val="5C27091C"/>
    <w:rsid w:val="5C271FFE"/>
    <w:rsid w:val="5C274226"/>
    <w:rsid w:val="5C2869E8"/>
    <w:rsid w:val="5C295359"/>
    <w:rsid w:val="5C297A87"/>
    <w:rsid w:val="5C2A09B2"/>
    <w:rsid w:val="5C2B2C99"/>
    <w:rsid w:val="5C2C64D8"/>
    <w:rsid w:val="5C2D3FFE"/>
    <w:rsid w:val="5C2E2250"/>
    <w:rsid w:val="5C302D7B"/>
    <w:rsid w:val="5C3077A7"/>
    <w:rsid w:val="5C321615"/>
    <w:rsid w:val="5C335AB8"/>
    <w:rsid w:val="5C36795D"/>
    <w:rsid w:val="5C3839BE"/>
    <w:rsid w:val="5C3B671B"/>
    <w:rsid w:val="5C3C3CB7"/>
    <w:rsid w:val="5C3D386F"/>
    <w:rsid w:val="5C3D7865"/>
    <w:rsid w:val="5C3E7FB9"/>
    <w:rsid w:val="5C4001D5"/>
    <w:rsid w:val="5C4161B1"/>
    <w:rsid w:val="5C436D45"/>
    <w:rsid w:val="5C447CC6"/>
    <w:rsid w:val="5C45759A"/>
    <w:rsid w:val="5C466E0C"/>
    <w:rsid w:val="5C480E38"/>
    <w:rsid w:val="5C487355"/>
    <w:rsid w:val="5C4A7D1B"/>
    <w:rsid w:val="5C4C76A2"/>
    <w:rsid w:val="5C57406F"/>
    <w:rsid w:val="5C59743F"/>
    <w:rsid w:val="5C5E240A"/>
    <w:rsid w:val="5C606182"/>
    <w:rsid w:val="5C6217FE"/>
    <w:rsid w:val="5C6914DA"/>
    <w:rsid w:val="5C6A2B7D"/>
    <w:rsid w:val="5C6A4CCD"/>
    <w:rsid w:val="5C6C2D78"/>
    <w:rsid w:val="5C6E089F"/>
    <w:rsid w:val="5C7047B8"/>
    <w:rsid w:val="5C705C0C"/>
    <w:rsid w:val="5C71038F"/>
    <w:rsid w:val="5C7165E1"/>
    <w:rsid w:val="5C726720"/>
    <w:rsid w:val="5C735EB5"/>
    <w:rsid w:val="5C741C2D"/>
    <w:rsid w:val="5C761E49"/>
    <w:rsid w:val="5C7878F3"/>
    <w:rsid w:val="5C791D06"/>
    <w:rsid w:val="5C7B745F"/>
    <w:rsid w:val="5C7C44A3"/>
    <w:rsid w:val="5C7D6D34"/>
    <w:rsid w:val="5C8271B2"/>
    <w:rsid w:val="5C841E70"/>
    <w:rsid w:val="5C844566"/>
    <w:rsid w:val="5C8603CD"/>
    <w:rsid w:val="5C867FA0"/>
    <w:rsid w:val="5C8720C4"/>
    <w:rsid w:val="5C892AB7"/>
    <w:rsid w:val="5C8E2CEF"/>
    <w:rsid w:val="5C910A31"/>
    <w:rsid w:val="5C930305"/>
    <w:rsid w:val="5C950521"/>
    <w:rsid w:val="5C996B4E"/>
    <w:rsid w:val="5C9B540C"/>
    <w:rsid w:val="5C9E216D"/>
    <w:rsid w:val="5CA0213A"/>
    <w:rsid w:val="5CA2297D"/>
    <w:rsid w:val="5CA35125"/>
    <w:rsid w:val="5CA47E6E"/>
    <w:rsid w:val="5CA6628A"/>
    <w:rsid w:val="5CA72FCA"/>
    <w:rsid w:val="5CA8133F"/>
    <w:rsid w:val="5CA82B63"/>
    <w:rsid w:val="5CAA564F"/>
    <w:rsid w:val="5CAB2B15"/>
    <w:rsid w:val="5CAB38A1"/>
    <w:rsid w:val="5CAB4ECB"/>
    <w:rsid w:val="5CAD148C"/>
    <w:rsid w:val="5CAD17D7"/>
    <w:rsid w:val="5CB10FE2"/>
    <w:rsid w:val="5CB15607"/>
    <w:rsid w:val="5CB5230B"/>
    <w:rsid w:val="5CB656BF"/>
    <w:rsid w:val="5CB87D6C"/>
    <w:rsid w:val="5CBD748C"/>
    <w:rsid w:val="5CBE001F"/>
    <w:rsid w:val="5CBF559E"/>
    <w:rsid w:val="5CC44FF2"/>
    <w:rsid w:val="5CC71F9C"/>
    <w:rsid w:val="5CCB5CF1"/>
    <w:rsid w:val="5CCD5F20"/>
    <w:rsid w:val="5CD03307"/>
    <w:rsid w:val="5CD2613E"/>
    <w:rsid w:val="5CD47BB1"/>
    <w:rsid w:val="5CD56B70"/>
    <w:rsid w:val="5CD66444"/>
    <w:rsid w:val="5CD7058A"/>
    <w:rsid w:val="5CDB057C"/>
    <w:rsid w:val="5CDC1FC7"/>
    <w:rsid w:val="5CDF148F"/>
    <w:rsid w:val="5CE04CB5"/>
    <w:rsid w:val="5CE12F88"/>
    <w:rsid w:val="5CE2303B"/>
    <w:rsid w:val="5CE24DE9"/>
    <w:rsid w:val="5CE45360"/>
    <w:rsid w:val="5CE463B7"/>
    <w:rsid w:val="5CE56731"/>
    <w:rsid w:val="5CE648D9"/>
    <w:rsid w:val="5CE8096A"/>
    <w:rsid w:val="5CE82CD2"/>
    <w:rsid w:val="5CE95112"/>
    <w:rsid w:val="5CEB2603"/>
    <w:rsid w:val="5CF039A9"/>
    <w:rsid w:val="5CF81667"/>
    <w:rsid w:val="5CF85D94"/>
    <w:rsid w:val="5CFB6342"/>
    <w:rsid w:val="5D003399"/>
    <w:rsid w:val="5D007686"/>
    <w:rsid w:val="5D025A9F"/>
    <w:rsid w:val="5D041203"/>
    <w:rsid w:val="5D044F2F"/>
    <w:rsid w:val="5D0571F8"/>
    <w:rsid w:val="5D0923AE"/>
    <w:rsid w:val="5D095648"/>
    <w:rsid w:val="5D0B79FD"/>
    <w:rsid w:val="5D0E2082"/>
    <w:rsid w:val="5D131446"/>
    <w:rsid w:val="5D1379C0"/>
    <w:rsid w:val="5D144416"/>
    <w:rsid w:val="5D152577"/>
    <w:rsid w:val="5D174E5B"/>
    <w:rsid w:val="5D181FF6"/>
    <w:rsid w:val="5D182C2F"/>
    <w:rsid w:val="5D191A5E"/>
    <w:rsid w:val="5D194ADC"/>
    <w:rsid w:val="5D1976FB"/>
    <w:rsid w:val="5D1A0A26"/>
    <w:rsid w:val="5D1A32C0"/>
    <w:rsid w:val="5D1D4073"/>
    <w:rsid w:val="5D1D56C4"/>
    <w:rsid w:val="5D1E6300"/>
    <w:rsid w:val="5D1F27C7"/>
    <w:rsid w:val="5D1F6470"/>
    <w:rsid w:val="5D217368"/>
    <w:rsid w:val="5D22030C"/>
    <w:rsid w:val="5D23054D"/>
    <w:rsid w:val="5D2366CB"/>
    <w:rsid w:val="5D236733"/>
    <w:rsid w:val="5D243653"/>
    <w:rsid w:val="5D26661C"/>
    <w:rsid w:val="5D276C9F"/>
    <w:rsid w:val="5D281115"/>
    <w:rsid w:val="5D2B0A72"/>
    <w:rsid w:val="5D2B1F84"/>
    <w:rsid w:val="5D2B49E2"/>
    <w:rsid w:val="5D2E002E"/>
    <w:rsid w:val="5D2E64D6"/>
    <w:rsid w:val="5D304620"/>
    <w:rsid w:val="5D310209"/>
    <w:rsid w:val="5D340902"/>
    <w:rsid w:val="5D3715D8"/>
    <w:rsid w:val="5D37598E"/>
    <w:rsid w:val="5D3A2C72"/>
    <w:rsid w:val="5D3C6BEF"/>
    <w:rsid w:val="5D3D6D9F"/>
    <w:rsid w:val="5D413CF7"/>
    <w:rsid w:val="5D445E0F"/>
    <w:rsid w:val="5D4A31F6"/>
    <w:rsid w:val="5D4B5EB1"/>
    <w:rsid w:val="5D4C4A47"/>
    <w:rsid w:val="5D4E62B5"/>
    <w:rsid w:val="5D4F14D5"/>
    <w:rsid w:val="5D526412"/>
    <w:rsid w:val="5D541739"/>
    <w:rsid w:val="5D550132"/>
    <w:rsid w:val="5D577585"/>
    <w:rsid w:val="5D5901A1"/>
    <w:rsid w:val="5D5C1A16"/>
    <w:rsid w:val="5D5E175A"/>
    <w:rsid w:val="5D5E5B05"/>
    <w:rsid w:val="5D5F3503"/>
    <w:rsid w:val="5D5F468B"/>
    <w:rsid w:val="5D631D68"/>
    <w:rsid w:val="5D657ABD"/>
    <w:rsid w:val="5D663C6C"/>
    <w:rsid w:val="5D6677C8"/>
    <w:rsid w:val="5D681792"/>
    <w:rsid w:val="5D6E2740"/>
    <w:rsid w:val="5D720862"/>
    <w:rsid w:val="5D782616"/>
    <w:rsid w:val="5D787D80"/>
    <w:rsid w:val="5D7C78FF"/>
    <w:rsid w:val="5D8205DF"/>
    <w:rsid w:val="5D83037A"/>
    <w:rsid w:val="5D8331B0"/>
    <w:rsid w:val="5D862436"/>
    <w:rsid w:val="5D881E34"/>
    <w:rsid w:val="5D8A04B2"/>
    <w:rsid w:val="5D916F3A"/>
    <w:rsid w:val="5D9341D8"/>
    <w:rsid w:val="5D9407D9"/>
    <w:rsid w:val="5D946072"/>
    <w:rsid w:val="5D962A06"/>
    <w:rsid w:val="5D9A56C3"/>
    <w:rsid w:val="5D9F2CDA"/>
    <w:rsid w:val="5D9F7366"/>
    <w:rsid w:val="5DA14CA4"/>
    <w:rsid w:val="5DA23810"/>
    <w:rsid w:val="5DA327CA"/>
    <w:rsid w:val="5DA33DE2"/>
    <w:rsid w:val="5DA36C6E"/>
    <w:rsid w:val="5DA7514F"/>
    <w:rsid w:val="5DA77C7B"/>
    <w:rsid w:val="5DAB78D0"/>
    <w:rsid w:val="5DAF4D9E"/>
    <w:rsid w:val="5DB04615"/>
    <w:rsid w:val="5DB06245"/>
    <w:rsid w:val="5DB30D5B"/>
    <w:rsid w:val="5DB524FD"/>
    <w:rsid w:val="5DB6074F"/>
    <w:rsid w:val="5DBC17B5"/>
    <w:rsid w:val="5DBC3FD2"/>
    <w:rsid w:val="5DBE5681"/>
    <w:rsid w:val="5DC015CE"/>
    <w:rsid w:val="5DC17B54"/>
    <w:rsid w:val="5DC2265C"/>
    <w:rsid w:val="5DC57793"/>
    <w:rsid w:val="5DC7295C"/>
    <w:rsid w:val="5DC8059A"/>
    <w:rsid w:val="5DC944B4"/>
    <w:rsid w:val="5DCB3ACF"/>
    <w:rsid w:val="5DCC0909"/>
    <w:rsid w:val="5DCC1F1C"/>
    <w:rsid w:val="5DCE2481"/>
    <w:rsid w:val="5DD010E5"/>
    <w:rsid w:val="5DD21301"/>
    <w:rsid w:val="5DD230AF"/>
    <w:rsid w:val="5DD25566"/>
    <w:rsid w:val="5DD50E01"/>
    <w:rsid w:val="5DD55129"/>
    <w:rsid w:val="5DD62B9F"/>
    <w:rsid w:val="5DDA77FD"/>
    <w:rsid w:val="5DDC3F2E"/>
    <w:rsid w:val="5DDC7A8A"/>
    <w:rsid w:val="5DDD723D"/>
    <w:rsid w:val="5DDE1117"/>
    <w:rsid w:val="5DDF6040"/>
    <w:rsid w:val="5DDF68CC"/>
    <w:rsid w:val="5DE060D1"/>
    <w:rsid w:val="5DE13BCB"/>
    <w:rsid w:val="5DE15320"/>
    <w:rsid w:val="5DE227D8"/>
    <w:rsid w:val="5DE4367E"/>
    <w:rsid w:val="5DE51E64"/>
    <w:rsid w:val="5DE53983"/>
    <w:rsid w:val="5DE60909"/>
    <w:rsid w:val="5DE649B4"/>
    <w:rsid w:val="5DE73AFC"/>
    <w:rsid w:val="5DE77F99"/>
    <w:rsid w:val="5DE828D3"/>
    <w:rsid w:val="5DEA664B"/>
    <w:rsid w:val="5DEB0B1F"/>
    <w:rsid w:val="5DEB5F1F"/>
    <w:rsid w:val="5DF41277"/>
    <w:rsid w:val="5DF433C4"/>
    <w:rsid w:val="5DF70D68"/>
    <w:rsid w:val="5DF70E4E"/>
    <w:rsid w:val="5DF72B16"/>
    <w:rsid w:val="5DFA32E2"/>
    <w:rsid w:val="5DFE20F6"/>
    <w:rsid w:val="5DFF5ED6"/>
    <w:rsid w:val="5E00162F"/>
    <w:rsid w:val="5E005E6E"/>
    <w:rsid w:val="5E03273F"/>
    <w:rsid w:val="5E053307"/>
    <w:rsid w:val="5E0771FD"/>
    <w:rsid w:val="5E0A5B42"/>
    <w:rsid w:val="5E0B3621"/>
    <w:rsid w:val="5E0F0E43"/>
    <w:rsid w:val="5E1048BB"/>
    <w:rsid w:val="5E145476"/>
    <w:rsid w:val="5E152B00"/>
    <w:rsid w:val="5E156F48"/>
    <w:rsid w:val="5E162F9C"/>
    <w:rsid w:val="5E166031"/>
    <w:rsid w:val="5E166C1F"/>
    <w:rsid w:val="5E1831B8"/>
    <w:rsid w:val="5E1A28CC"/>
    <w:rsid w:val="5E1B0500"/>
    <w:rsid w:val="5E1C667C"/>
    <w:rsid w:val="5E227EBD"/>
    <w:rsid w:val="5E24744E"/>
    <w:rsid w:val="5E251B51"/>
    <w:rsid w:val="5E26772E"/>
    <w:rsid w:val="5E27175F"/>
    <w:rsid w:val="5E2D4789"/>
    <w:rsid w:val="5E2D6537"/>
    <w:rsid w:val="5E313C04"/>
    <w:rsid w:val="5E331DA0"/>
    <w:rsid w:val="5E335C4E"/>
    <w:rsid w:val="5E355645"/>
    <w:rsid w:val="5E361890"/>
    <w:rsid w:val="5E37564B"/>
    <w:rsid w:val="5E3C43B8"/>
    <w:rsid w:val="5E3C62A0"/>
    <w:rsid w:val="5E3C6FA9"/>
    <w:rsid w:val="5E432F68"/>
    <w:rsid w:val="5E451AD3"/>
    <w:rsid w:val="5E463095"/>
    <w:rsid w:val="5E48353D"/>
    <w:rsid w:val="5E48499C"/>
    <w:rsid w:val="5E4A0E97"/>
    <w:rsid w:val="5E4A6AF2"/>
    <w:rsid w:val="5E4C1CAB"/>
    <w:rsid w:val="5E4F0557"/>
    <w:rsid w:val="5E51599C"/>
    <w:rsid w:val="5E51769D"/>
    <w:rsid w:val="5E525B31"/>
    <w:rsid w:val="5E531331"/>
    <w:rsid w:val="5E532442"/>
    <w:rsid w:val="5E5336AC"/>
    <w:rsid w:val="5E541D16"/>
    <w:rsid w:val="5E5463B1"/>
    <w:rsid w:val="5E547F68"/>
    <w:rsid w:val="5E577C9D"/>
    <w:rsid w:val="5E602469"/>
    <w:rsid w:val="5E620B78"/>
    <w:rsid w:val="5E677C9B"/>
    <w:rsid w:val="5E681499"/>
    <w:rsid w:val="5E6957C1"/>
    <w:rsid w:val="5E6B6243"/>
    <w:rsid w:val="5E6C0022"/>
    <w:rsid w:val="5E6E102A"/>
    <w:rsid w:val="5E6E2E17"/>
    <w:rsid w:val="5E6F62EA"/>
    <w:rsid w:val="5E7128C8"/>
    <w:rsid w:val="5E714C0F"/>
    <w:rsid w:val="5E7176D0"/>
    <w:rsid w:val="5E732D3F"/>
    <w:rsid w:val="5E735312"/>
    <w:rsid w:val="5E736640"/>
    <w:rsid w:val="5E746D3A"/>
    <w:rsid w:val="5E756369"/>
    <w:rsid w:val="5E7E44A8"/>
    <w:rsid w:val="5E7F3237"/>
    <w:rsid w:val="5E802B0B"/>
    <w:rsid w:val="5E8048B9"/>
    <w:rsid w:val="5E8072DA"/>
    <w:rsid w:val="5E810E56"/>
    <w:rsid w:val="5E812C2B"/>
    <w:rsid w:val="5E827AD3"/>
    <w:rsid w:val="5E8641AB"/>
    <w:rsid w:val="5E87020C"/>
    <w:rsid w:val="5E895E64"/>
    <w:rsid w:val="5E8B5C2C"/>
    <w:rsid w:val="5E8E17F6"/>
    <w:rsid w:val="5E8E502C"/>
    <w:rsid w:val="5E8E6FD6"/>
    <w:rsid w:val="5E8F2D4E"/>
    <w:rsid w:val="5E914D18"/>
    <w:rsid w:val="5E9345EC"/>
    <w:rsid w:val="5E952452"/>
    <w:rsid w:val="5E97694D"/>
    <w:rsid w:val="5E9A1E1F"/>
    <w:rsid w:val="5E9F778E"/>
    <w:rsid w:val="5EA52572"/>
    <w:rsid w:val="5EA902B4"/>
    <w:rsid w:val="5EAA7B88"/>
    <w:rsid w:val="5EAB124C"/>
    <w:rsid w:val="5EAD21D0"/>
    <w:rsid w:val="5EAF519E"/>
    <w:rsid w:val="5EB033F0"/>
    <w:rsid w:val="5EB22875"/>
    <w:rsid w:val="5EB540C0"/>
    <w:rsid w:val="5EB713FF"/>
    <w:rsid w:val="5EB72BF2"/>
    <w:rsid w:val="5EB822A5"/>
    <w:rsid w:val="5EB82DE4"/>
    <w:rsid w:val="5EBB1D95"/>
    <w:rsid w:val="5EBC058C"/>
    <w:rsid w:val="5EBC2507"/>
    <w:rsid w:val="5EBD2EE1"/>
    <w:rsid w:val="5EBD3D5F"/>
    <w:rsid w:val="5EC05B97"/>
    <w:rsid w:val="5EC6397D"/>
    <w:rsid w:val="5EC74623"/>
    <w:rsid w:val="5EC77192"/>
    <w:rsid w:val="5ECC3D6F"/>
    <w:rsid w:val="5ECE1AC8"/>
    <w:rsid w:val="5ECE6501"/>
    <w:rsid w:val="5ECF09A3"/>
    <w:rsid w:val="5ED05841"/>
    <w:rsid w:val="5ED6341F"/>
    <w:rsid w:val="5ED66053"/>
    <w:rsid w:val="5ED777FC"/>
    <w:rsid w:val="5ED859DA"/>
    <w:rsid w:val="5ED864A3"/>
    <w:rsid w:val="5EDB3860"/>
    <w:rsid w:val="5EDE6A7D"/>
    <w:rsid w:val="5EDE7177"/>
    <w:rsid w:val="5EE47C66"/>
    <w:rsid w:val="5EE50540"/>
    <w:rsid w:val="5EE94B54"/>
    <w:rsid w:val="5EEA0A39"/>
    <w:rsid w:val="5EEB1BCA"/>
    <w:rsid w:val="5EEE7857"/>
    <w:rsid w:val="5EF64B7B"/>
    <w:rsid w:val="5EF7101F"/>
    <w:rsid w:val="5EF766F6"/>
    <w:rsid w:val="5EF86946"/>
    <w:rsid w:val="5EF86B45"/>
    <w:rsid w:val="5EFA466C"/>
    <w:rsid w:val="5EFC4888"/>
    <w:rsid w:val="5F0137BB"/>
    <w:rsid w:val="5F053010"/>
    <w:rsid w:val="5F084F74"/>
    <w:rsid w:val="5F090D52"/>
    <w:rsid w:val="5F096E63"/>
    <w:rsid w:val="5F0B4F92"/>
    <w:rsid w:val="5F101CD0"/>
    <w:rsid w:val="5F136503"/>
    <w:rsid w:val="5F15112E"/>
    <w:rsid w:val="5F182D44"/>
    <w:rsid w:val="5F1A7422"/>
    <w:rsid w:val="5F1C2437"/>
    <w:rsid w:val="5F1F2B61"/>
    <w:rsid w:val="5F223BC2"/>
    <w:rsid w:val="5F230066"/>
    <w:rsid w:val="5F245B8C"/>
    <w:rsid w:val="5F24616B"/>
    <w:rsid w:val="5F252695"/>
    <w:rsid w:val="5F2711D9"/>
    <w:rsid w:val="5F283D41"/>
    <w:rsid w:val="5F2B096A"/>
    <w:rsid w:val="5F2B10C1"/>
    <w:rsid w:val="5F2B57F8"/>
    <w:rsid w:val="5F2C67EF"/>
    <w:rsid w:val="5F2E07B9"/>
    <w:rsid w:val="5F2E7EEE"/>
    <w:rsid w:val="5F2F0C99"/>
    <w:rsid w:val="5F310BD2"/>
    <w:rsid w:val="5F33157D"/>
    <w:rsid w:val="5F37766E"/>
    <w:rsid w:val="5F382280"/>
    <w:rsid w:val="5F38637A"/>
    <w:rsid w:val="5F3955D4"/>
    <w:rsid w:val="5F3B2596"/>
    <w:rsid w:val="5F3B6E50"/>
    <w:rsid w:val="5F3E6C4E"/>
    <w:rsid w:val="5F3F0531"/>
    <w:rsid w:val="5F4104EC"/>
    <w:rsid w:val="5F4203D3"/>
    <w:rsid w:val="5F452AD3"/>
    <w:rsid w:val="5F465762"/>
    <w:rsid w:val="5F472C2C"/>
    <w:rsid w:val="5F485F1A"/>
    <w:rsid w:val="5F49114F"/>
    <w:rsid w:val="5F4B1C8E"/>
    <w:rsid w:val="5F4C4865"/>
    <w:rsid w:val="5F4E26F5"/>
    <w:rsid w:val="5F4E49B7"/>
    <w:rsid w:val="5F4F6A72"/>
    <w:rsid w:val="5F534732"/>
    <w:rsid w:val="5F555D46"/>
    <w:rsid w:val="5F5D2E4C"/>
    <w:rsid w:val="5F5D3B71"/>
    <w:rsid w:val="5F5F34CB"/>
    <w:rsid w:val="5F5F5BA9"/>
    <w:rsid w:val="5F607A03"/>
    <w:rsid w:val="5F6146EB"/>
    <w:rsid w:val="5F622F73"/>
    <w:rsid w:val="5F6305A6"/>
    <w:rsid w:val="5F6366B5"/>
    <w:rsid w:val="5F636DCE"/>
    <w:rsid w:val="5F645BD1"/>
    <w:rsid w:val="5F673415"/>
    <w:rsid w:val="5F684F91"/>
    <w:rsid w:val="5F6B071D"/>
    <w:rsid w:val="5F6B46F1"/>
    <w:rsid w:val="5F6E6E08"/>
    <w:rsid w:val="5F73441E"/>
    <w:rsid w:val="5F742670"/>
    <w:rsid w:val="5F752DD2"/>
    <w:rsid w:val="5F775CBC"/>
    <w:rsid w:val="5F7A1C50"/>
    <w:rsid w:val="5F7B135D"/>
    <w:rsid w:val="5F7B42E3"/>
    <w:rsid w:val="5F7C05C5"/>
    <w:rsid w:val="5F7D057F"/>
    <w:rsid w:val="5F7D4B47"/>
    <w:rsid w:val="5F7E69B2"/>
    <w:rsid w:val="5F7F7267"/>
    <w:rsid w:val="5F812FDF"/>
    <w:rsid w:val="5F826594"/>
    <w:rsid w:val="5F8403D9"/>
    <w:rsid w:val="5F840C68"/>
    <w:rsid w:val="5F846397"/>
    <w:rsid w:val="5F851089"/>
    <w:rsid w:val="5F857F66"/>
    <w:rsid w:val="5F87675C"/>
    <w:rsid w:val="5F884A61"/>
    <w:rsid w:val="5F8A7D30"/>
    <w:rsid w:val="5F8D65FE"/>
    <w:rsid w:val="5F8E3006"/>
    <w:rsid w:val="5F922F6A"/>
    <w:rsid w:val="5F933F75"/>
    <w:rsid w:val="5F944AC0"/>
    <w:rsid w:val="5F9525E6"/>
    <w:rsid w:val="5F954394"/>
    <w:rsid w:val="5F9730E2"/>
    <w:rsid w:val="5F9A5E4E"/>
    <w:rsid w:val="5F9D1B1E"/>
    <w:rsid w:val="5F9D59E6"/>
    <w:rsid w:val="5FA10F8B"/>
    <w:rsid w:val="5FA1306E"/>
    <w:rsid w:val="5FA32F55"/>
    <w:rsid w:val="5FA40A7B"/>
    <w:rsid w:val="5FA73C2A"/>
    <w:rsid w:val="5FA82319"/>
    <w:rsid w:val="5FAB005C"/>
    <w:rsid w:val="5FB23198"/>
    <w:rsid w:val="5FB27537"/>
    <w:rsid w:val="5FB3710C"/>
    <w:rsid w:val="5FB53A17"/>
    <w:rsid w:val="5FB5562E"/>
    <w:rsid w:val="5FB73766"/>
    <w:rsid w:val="5FBC7BA6"/>
    <w:rsid w:val="5FBE3A3F"/>
    <w:rsid w:val="5FBE656B"/>
    <w:rsid w:val="5FBF00FF"/>
    <w:rsid w:val="5FBF1411"/>
    <w:rsid w:val="5FC15189"/>
    <w:rsid w:val="5FC30F01"/>
    <w:rsid w:val="5FC403E3"/>
    <w:rsid w:val="5FC94E89"/>
    <w:rsid w:val="5FCE79BD"/>
    <w:rsid w:val="5FD210B3"/>
    <w:rsid w:val="5FD255E8"/>
    <w:rsid w:val="5FD30251"/>
    <w:rsid w:val="5FD517CA"/>
    <w:rsid w:val="5FD7298E"/>
    <w:rsid w:val="5FD76D72"/>
    <w:rsid w:val="5FD85188"/>
    <w:rsid w:val="5FD924D3"/>
    <w:rsid w:val="5FDA7319"/>
    <w:rsid w:val="5FDB26EF"/>
    <w:rsid w:val="5FDB2BEA"/>
    <w:rsid w:val="5FDD2404"/>
    <w:rsid w:val="5FDE3F8D"/>
    <w:rsid w:val="5FE07D05"/>
    <w:rsid w:val="5FE3688B"/>
    <w:rsid w:val="5FE559CD"/>
    <w:rsid w:val="5FE710C6"/>
    <w:rsid w:val="5FE84E0C"/>
    <w:rsid w:val="5FE86BBA"/>
    <w:rsid w:val="5FEA46E0"/>
    <w:rsid w:val="5FEC48FC"/>
    <w:rsid w:val="5FF53085"/>
    <w:rsid w:val="5FF624E7"/>
    <w:rsid w:val="5FF902BA"/>
    <w:rsid w:val="5FF91718"/>
    <w:rsid w:val="5FFC08B7"/>
    <w:rsid w:val="5FFE29B9"/>
    <w:rsid w:val="5FFE462F"/>
    <w:rsid w:val="5FFF61CD"/>
    <w:rsid w:val="60032F94"/>
    <w:rsid w:val="60070169"/>
    <w:rsid w:val="6008725C"/>
    <w:rsid w:val="600A4823"/>
    <w:rsid w:val="600E62F5"/>
    <w:rsid w:val="601259E5"/>
    <w:rsid w:val="60145C01"/>
    <w:rsid w:val="60151855"/>
    <w:rsid w:val="60176AEB"/>
    <w:rsid w:val="601773EE"/>
    <w:rsid w:val="60185359"/>
    <w:rsid w:val="601A43EF"/>
    <w:rsid w:val="601B2A6D"/>
    <w:rsid w:val="601E438A"/>
    <w:rsid w:val="60242381"/>
    <w:rsid w:val="602473C8"/>
    <w:rsid w:val="60266763"/>
    <w:rsid w:val="60275E6B"/>
    <w:rsid w:val="602F2A3B"/>
    <w:rsid w:val="6031230F"/>
    <w:rsid w:val="603218A9"/>
    <w:rsid w:val="603340C9"/>
    <w:rsid w:val="603358AD"/>
    <w:rsid w:val="60371207"/>
    <w:rsid w:val="603718EF"/>
    <w:rsid w:val="60373939"/>
    <w:rsid w:val="6037544B"/>
    <w:rsid w:val="603911C4"/>
    <w:rsid w:val="603B7746"/>
    <w:rsid w:val="603C144B"/>
    <w:rsid w:val="60430294"/>
    <w:rsid w:val="604326ED"/>
    <w:rsid w:val="60455DBA"/>
    <w:rsid w:val="604638E0"/>
    <w:rsid w:val="60477D84"/>
    <w:rsid w:val="60496758"/>
    <w:rsid w:val="604D7B88"/>
    <w:rsid w:val="605113B0"/>
    <w:rsid w:val="605204D7"/>
    <w:rsid w:val="60522285"/>
    <w:rsid w:val="60523832"/>
    <w:rsid w:val="6054424F"/>
    <w:rsid w:val="60571CFB"/>
    <w:rsid w:val="60593AF3"/>
    <w:rsid w:val="605D3C0F"/>
    <w:rsid w:val="605F3679"/>
    <w:rsid w:val="60600A87"/>
    <w:rsid w:val="60600E46"/>
    <w:rsid w:val="60621C6C"/>
    <w:rsid w:val="60631B06"/>
    <w:rsid w:val="60640FCF"/>
    <w:rsid w:val="60655947"/>
    <w:rsid w:val="606630DA"/>
    <w:rsid w:val="6066480F"/>
    <w:rsid w:val="60670FC9"/>
    <w:rsid w:val="60690453"/>
    <w:rsid w:val="606C5781"/>
    <w:rsid w:val="606C79D7"/>
    <w:rsid w:val="606E776A"/>
    <w:rsid w:val="606F18AA"/>
    <w:rsid w:val="606F4BE5"/>
    <w:rsid w:val="6071416B"/>
    <w:rsid w:val="607246D5"/>
    <w:rsid w:val="60731795"/>
    <w:rsid w:val="607740A4"/>
    <w:rsid w:val="607D4876"/>
    <w:rsid w:val="607D4C2F"/>
    <w:rsid w:val="607E12CC"/>
    <w:rsid w:val="607F2E50"/>
    <w:rsid w:val="60805044"/>
    <w:rsid w:val="60824919"/>
    <w:rsid w:val="60867116"/>
    <w:rsid w:val="60891385"/>
    <w:rsid w:val="608A3BE5"/>
    <w:rsid w:val="608D150F"/>
    <w:rsid w:val="609028F6"/>
    <w:rsid w:val="60911B92"/>
    <w:rsid w:val="60917251"/>
    <w:rsid w:val="60955422"/>
    <w:rsid w:val="60956B25"/>
    <w:rsid w:val="609C5D62"/>
    <w:rsid w:val="609F63E4"/>
    <w:rsid w:val="60A2320D"/>
    <w:rsid w:val="60A52CFD"/>
    <w:rsid w:val="60A56859"/>
    <w:rsid w:val="60AC408B"/>
    <w:rsid w:val="60B349C5"/>
    <w:rsid w:val="60B3541A"/>
    <w:rsid w:val="60B73086"/>
    <w:rsid w:val="60BB607C"/>
    <w:rsid w:val="60C018E5"/>
    <w:rsid w:val="60C17E6A"/>
    <w:rsid w:val="60C23997"/>
    <w:rsid w:val="60C2411E"/>
    <w:rsid w:val="60C4544F"/>
    <w:rsid w:val="60CF38D6"/>
    <w:rsid w:val="60CF5779"/>
    <w:rsid w:val="60D07175"/>
    <w:rsid w:val="60D15C66"/>
    <w:rsid w:val="60D57568"/>
    <w:rsid w:val="60D66460"/>
    <w:rsid w:val="60D826C7"/>
    <w:rsid w:val="60D847A8"/>
    <w:rsid w:val="60E03D35"/>
    <w:rsid w:val="60E20A32"/>
    <w:rsid w:val="60E3018F"/>
    <w:rsid w:val="60EA5FA2"/>
    <w:rsid w:val="60EB4BB4"/>
    <w:rsid w:val="60EC4488"/>
    <w:rsid w:val="60EC756B"/>
    <w:rsid w:val="60ED61C7"/>
    <w:rsid w:val="60F11A9E"/>
    <w:rsid w:val="60F17CF0"/>
    <w:rsid w:val="60F33A68"/>
    <w:rsid w:val="60F43B63"/>
    <w:rsid w:val="60F52B83"/>
    <w:rsid w:val="60F55411"/>
    <w:rsid w:val="60F872D1"/>
    <w:rsid w:val="60FA17E8"/>
    <w:rsid w:val="60FA4DF7"/>
    <w:rsid w:val="60FD2E3F"/>
    <w:rsid w:val="60FE64C3"/>
    <w:rsid w:val="61016185"/>
    <w:rsid w:val="61021A6A"/>
    <w:rsid w:val="61025A59"/>
    <w:rsid w:val="61032535"/>
    <w:rsid w:val="610340E9"/>
    <w:rsid w:val="61042E3F"/>
    <w:rsid w:val="61061EEF"/>
    <w:rsid w:val="61071143"/>
    <w:rsid w:val="61082371"/>
    <w:rsid w:val="610A5F2A"/>
    <w:rsid w:val="610E08A2"/>
    <w:rsid w:val="610F0880"/>
    <w:rsid w:val="610F7FCD"/>
    <w:rsid w:val="611134A9"/>
    <w:rsid w:val="61126BE5"/>
    <w:rsid w:val="61151C31"/>
    <w:rsid w:val="611530B6"/>
    <w:rsid w:val="61154C74"/>
    <w:rsid w:val="611724E2"/>
    <w:rsid w:val="611759A9"/>
    <w:rsid w:val="611B64FD"/>
    <w:rsid w:val="611C318D"/>
    <w:rsid w:val="611E2EDC"/>
    <w:rsid w:val="611F03B9"/>
    <w:rsid w:val="61202383"/>
    <w:rsid w:val="61202A29"/>
    <w:rsid w:val="61245BD4"/>
    <w:rsid w:val="612B08A8"/>
    <w:rsid w:val="612F0022"/>
    <w:rsid w:val="6131719E"/>
    <w:rsid w:val="61321F75"/>
    <w:rsid w:val="6132243A"/>
    <w:rsid w:val="613321A9"/>
    <w:rsid w:val="61343382"/>
    <w:rsid w:val="613603E4"/>
    <w:rsid w:val="6137634A"/>
    <w:rsid w:val="613939BE"/>
    <w:rsid w:val="61395C63"/>
    <w:rsid w:val="613A00F7"/>
    <w:rsid w:val="613B5FCA"/>
    <w:rsid w:val="613E2F72"/>
    <w:rsid w:val="613F446D"/>
    <w:rsid w:val="61404326"/>
    <w:rsid w:val="61411A57"/>
    <w:rsid w:val="61420953"/>
    <w:rsid w:val="61432BB6"/>
    <w:rsid w:val="61433328"/>
    <w:rsid w:val="614442C4"/>
    <w:rsid w:val="61471FEF"/>
    <w:rsid w:val="61476580"/>
    <w:rsid w:val="61486EB2"/>
    <w:rsid w:val="614918B6"/>
    <w:rsid w:val="614B5642"/>
    <w:rsid w:val="614D0D3A"/>
    <w:rsid w:val="6151138E"/>
    <w:rsid w:val="61521F04"/>
    <w:rsid w:val="615362B5"/>
    <w:rsid w:val="61563995"/>
    <w:rsid w:val="615648BD"/>
    <w:rsid w:val="615A16E5"/>
    <w:rsid w:val="615A3AE7"/>
    <w:rsid w:val="615A5895"/>
    <w:rsid w:val="615B1571"/>
    <w:rsid w:val="615C3490"/>
    <w:rsid w:val="615C73EF"/>
    <w:rsid w:val="6163588F"/>
    <w:rsid w:val="616474CA"/>
    <w:rsid w:val="6165427D"/>
    <w:rsid w:val="61691F7C"/>
    <w:rsid w:val="61694432"/>
    <w:rsid w:val="61696F09"/>
    <w:rsid w:val="616B1851"/>
    <w:rsid w:val="616B7AA3"/>
    <w:rsid w:val="616C5E36"/>
    <w:rsid w:val="616D7F77"/>
    <w:rsid w:val="616F3359"/>
    <w:rsid w:val="61707F91"/>
    <w:rsid w:val="617140C2"/>
    <w:rsid w:val="61750529"/>
    <w:rsid w:val="617507CF"/>
    <w:rsid w:val="61761FA3"/>
    <w:rsid w:val="61763FFC"/>
    <w:rsid w:val="61783E09"/>
    <w:rsid w:val="617B7E11"/>
    <w:rsid w:val="617F52FC"/>
    <w:rsid w:val="61815CF2"/>
    <w:rsid w:val="61816F38"/>
    <w:rsid w:val="61824FF8"/>
    <w:rsid w:val="61830BFA"/>
    <w:rsid w:val="61840120"/>
    <w:rsid w:val="61864B99"/>
    <w:rsid w:val="6187214C"/>
    <w:rsid w:val="6188048F"/>
    <w:rsid w:val="61884D0A"/>
    <w:rsid w:val="61885C49"/>
    <w:rsid w:val="61897F29"/>
    <w:rsid w:val="618B1EF3"/>
    <w:rsid w:val="618B1F5D"/>
    <w:rsid w:val="618E3791"/>
    <w:rsid w:val="618E5D0D"/>
    <w:rsid w:val="61914D9C"/>
    <w:rsid w:val="6192481A"/>
    <w:rsid w:val="61941B7F"/>
    <w:rsid w:val="61954B1F"/>
    <w:rsid w:val="61955BE0"/>
    <w:rsid w:val="619F599E"/>
    <w:rsid w:val="61A145D6"/>
    <w:rsid w:val="61A22D98"/>
    <w:rsid w:val="61A758A3"/>
    <w:rsid w:val="61AC3024"/>
    <w:rsid w:val="61AD3E67"/>
    <w:rsid w:val="61AE0FAA"/>
    <w:rsid w:val="61AE331B"/>
    <w:rsid w:val="61AE5804"/>
    <w:rsid w:val="61B431F8"/>
    <w:rsid w:val="61B50D1E"/>
    <w:rsid w:val="61B6386F"/>
    <w:rsid w:val="61B772A6"/>
    <w:rsid w:val="61BA389A"/>
    <w:rsid w:val="61BB7C79"/>
    <w:rsid w:val="61BF1193"/>
    <w:rsid w:val="61C316DA"/>
    <w:rsid w:val="61C41811"/>
    <w:rsid w:val="61C84EF5"/>
    <w:rsid w:val="61CA2A1B"/>
    <w:rsid w:val="61CA338F"/>
    <w:rsid w:val="61CB32AE"/>
    <w:rsid w:val="61CD0ADB"/>
    <w:rsid w:val="61CD42B9"/>
    <w:rsid w:val="61D065E0"/>
    <w:rsid w:val="61D373F6"/>
    <w:rsid w:val="61D514F7"/>
    <w:rsid w:val="61D734DA"/>
    <w:rsid w:val="61D7370C"/>
    <w:rsid w:val="61DC0DF0"/>
    <w:rsid w:val="61DF1B49"/>
    <w:rsid w:val="61DF3FED"/>
    <w:rsid w:val="61DF6C16"/>
    <w:rsid w:val="61E450E3"/>
    <w:rsid w:val="61E635CD"/>
    <w:rsid w:val="61E810F3"/>
    <w:rsid w:val="61E944E1"/>
    <w:rsid w:val="61EA4E6B"/>
    <w:rsid w:val="61EA6C19"/>
    <w:rsid w:val="61EB0BE3"/>
    <w:rsid w:val="61EB473F"/>
    <w:rsid w:val="61EE673E"/>
    <w:rsid w:val="61F2727D"/>
    <w:rsid w:val="61F42DF4"/>
    <w:rsid w:val="61F5214B"/>
    <w:rsid w:val="61F555BE"/>
    <w:rsid w:val="61F83D3F"/>
    <w:rsid w:val="61FB458B"/>
    <w:rsid w:val="61FC694D"/>
    <w:rsid w:val="61FC6BD9"/>
    <w:rsid w:val="61FE26C5"/>
    <w:rsid w:val="61FF1397"/>
    <w:rsid w:val="6200643D"/>
    <w:rsid w:val="62031A89"/>
    <w:rsid w:val="6205286C"/>
    <w:rsid w:val="62090567"/>
    <w:rsid w:val="62091C84"/>
    <w:rsid w:val="62097391"/>
    <w:rsid w:val="620B3141"/>
    <w:rsid w:val="620B4882"/>
    <w:rsid w:val="620B4DE2"/>
    <w:rsid w:val="620E0B57"/>
    <w:rsid w:val="620F48D2"/>
    <w:rsid w:val="6211064A"/>
    <w:rsid w:val="62110E73"/>
    <w:rsid w:val="62143C96"/>
    <w:rsid w:val="6217038E"/>
    <w:rsid w:val="62197C87"/>
    <w:rsid w:val="621B1BF9"/>
    <w:rsid w:val="621C5035"/>
    <w:rsid w:val="621D774B"/>
    <w:rsid w:val="621E2698"/>
    <w:rsid w:val="621E43B7"/>
    <w:rsid w:val="62233915"/>
    <w:rsid w:val="622639C9"/>
    <w:rsid w:val="62265A2C"/>
    <w:rsid w:val="62272D3F"/>
    <w:rsid w:val="62274D59"/>
    <w:rsid w:val="622814F0"/>
    <w:rsid w:val="62287742"/>
    <w:rsid w:val="622D3399"/>
    <w:rsid w:val="622D56C0"/>
    <w:rsid w:val="622D6A22"/>
    <w:rsid w:val="622E5507"/>
    <w:rsid w:val="62334D53"/>
    <w:rsid w:val="6234166D"/>
    <w:rsid w:val="62344338"/>
    <w:rsid w:val="62356BEC"/>
    <w:rsid w:val="623934C1"/>
    <w:rsid w:val="623D6CAD"/>
    <w:rsid w:val="623E2ADC"/>
    <w:rsid w:val="623F023C"/>
    <w:rsid w:val="62400DDA"/>
    <w:rsid w:val="62412368"/>
    <w:rsid w:val="62481B92"/>
    <w:rsid w:val="62483E87"/>
    <w:rsid w:val="62487DE4"/>
    <w:rsid w:val="624D7611"/>
    <w:rsid w:val="624F50DA"/>
    <w:rsid w:val="62557ED0"/>
    <w:rsid w:val="6256117B"/>
    <w:rsid w:val="62595B4D"/>
    <w:rsid w:val="625B3673"/>
    <w:rsid w:val="625B4D27"/>
    <w:rsid w:val="625D56B9"/>
    <w:rsid w:val="6260512D"/>
    <w:rsid w:val="62613F3B"/>
    <w:rsid w:val="62620EA5"/>
    <w:rsid w:val="62634C1E"/>
    <w:rsid w:val="6265219D"/>
    <w:rsid w:val="62663B30"/>
    <w:rsid w:val="6266580F"/>
    <w:rsid w:val="6266663F"/>
    <w:rsid w:val="62685D90"/>
    <w:rsid w:val="626B02E7"/>
    <w:rsid w:val="626D15F8"/>
    <w:rsid w:val="626D784A"/>
    <w:rsid w:val="626E292D"/>
    <w:rsid w:val="626F1110"/>
    <w:rsid w:val="627110E9"/>
    <w:rsid w:val="6274637F"/>
    <w:rsid w:val="627523B1"/>
    <w:rsid w:val="627666FF"/>
    <w:rsid w:val="62774225"/>
    <w:rsid w:val="627810D3"/>
    <w:rsid w:val="62791D4B"/>
    <w:rsid w:val="62797F9D"/>
    <w:rsid w:val="627A3652"/>
    <w:rsid w:val="627B3D15"/>
    <w:rsid w:val="627E7362"/>
    <w:rsid w:val="628232F6"/>
    <w:rsid w:val="628356F2"/>
    <w:rsid w:val="628726BA"/>
    <w:rsid w:val="62893AE2"/>
    <w:rsid w:val="628A1B1B"/>
    <w:rsid w:val="62931BBE"/>
    <w:rsid w:val="62970456"/>
    <w:rsid w:val="62976675"/>
    <w:rsid w:val="629B40F7"/>
    <w:rsid w:val="629B43B7"/>
    <w:rsid w:val="629D6654"/>
    <w:rsid w:val="62A10326"/>
    <w:rsid w:val="62A476D7"/>
    <w:rsid w:val="62A71CF2"/>
    <w:rsid w:val="62A74B0A"/>
    <w:rsid w:val="62A82630"/>
    <w:rsid w:val="62A83543"/>
    <w:rsid w:val="62A95D26"/>
    <w:rsid w:val="62AC2121"/>
    <w:rsid w:val="62AE5B3C"/>
    <w:rsid w:val="62B2525D"/>
    <w:rsid w:val="62B31DB5"/>
    <w:rsid w:val="62B45EB9"/>
    <w:rsid w:val="62B72874"/>
    <w:rsid w:val="62B93562"/>
    <w:rsid w:val="62B93720"/>
    <w:rsid w:val="62B94C0A"/>
    <w:rsid w:val="62B965EC"/>
    <w:rsid w:val="62BC7E8A"/>
    <w:rsid w:val="62BD3036"/>
    <w:rsid w:val="62BE193B"/>
    <w:rsid w:val="62BE1E54"/>
    <w:rsid w:val="62C0797A"/>
    <w:rsid w:val="62C40B19"/>
    <w:rsid w:val="62C423F5"/>
    <w:rsid w:val="62C51707"/>
    <w:rsid w:val="62C653B1"/>
    <w:rsid w:val="62C70D09"/>
    <w:rsid w:val="62C84A81"/>
    <w:rsid w:val="62CC275F"/>
    <w:rsid w:val="62CD0900"/>
    <w:rsid w:val="62CD1B9F"/>
    <w:rsid w:val="62CD2812"/>
    <w:rsid w:val="62CE22C2"/>
    <w:rsid w:val="62D01A5D"/>
    <w:rsid w:val="62D13F91"/>
    <w:rsid w:val="62D578C9"/>
    <w:rsid w:val="62DA4E8E"/>
    <w:rsid w:val="62DB2989"/>
    <w:rsid w:val="62DC0514"/>
    <w:rsid w:val="62DE6052"/>
    <w:rsid w:val="62DF59B2"/>
    <w:rsid w:val="62DF6342"/>
    <w:rsid w:val="62E16AB7"/>
    <w:rsid w:val="62E55633"/>
    <w:rsid w:val="62E573E1"/>
    <w:rsid w:val="62EA3478"/>
    <w:rsid w:val="62EC2A62"/>
    <w:rsid w:val="62F44E30"/>
    <w:rsid w:val="62F46F20"/>
    <w:rsid w:val="62F655DD"/>
    <w:rsid w:val="62F80A5E"/>
    <w:rsid w:val="62FF406F"/>
    <w:rsid w:val="62FF66F4"/>
    <w:rsid w:val="630215DA"/>
    <w:rsid w:val="630630F3"/>
    <w:rsid w:val="63071A4D"/>
    <w:rsid w:val="630755A9"/>
    <w:rsid w:val="630901A6"/>
    <w:rsid w:val="63092BE9"/>
    <w:rsid w:val="63096493"/>
    <w:rsid w:val="630A365B"/>
    <w:rsid w:val="630B32EB"/>
    <w:rsid w:val="630C7063"/>
    <w:rsid w:val="630E17D1"/>
    <w:rsid w:val="630F27E1"/>
    <w:rsid w:val="630F5FAF"/>
    <w:rsid w:val="6319505B"/>
    <w:rsid w:val="63197D2B"/>
    <w:rsid w:val="631D6B7A"/>
    <w:rsid w:val="632443AD"/>
    <w:rsid w:val="63272375"/>
    <w:rsid w:val="63275C4B"/>
    <w:rsid w:val="632E23B1"/>
    <w:rsid w:val="632F62F8"/>
    <w:rsid w:val="63304B00"/>
    <w:rsid w:val="63327AB9"/>
    <w:rsid w:val="6336485F"/>
    <w:rsid w:val="6339083A"/>
    <w:rsid w:val="63391906"/>
    <w:rsid w:val="63391F7B"/>
    <w:rsid w:val="633B597C"/>
    <w:rsid w:val="633D1E74"/>
    <w:rsid w:val="633E3629"/>
    <w:rsid w:val="63424833"/>
    <w:rsid w:val="63467C70"/>
    <w:rsid w:val="634A0EB1"/>
    <w:rsid w:val="634C4BA5"/>
    <w:rsid w:val="634E7E04"/>
    <w:rsid w:val="634F3402"/>
    <w:rsid w:val="635049CC"/>
    <w:rsid w:val="6353259C"/>
    <w:rsid w:val="63586994"/>
    <w:rsid w:val="635B4170"/>
    <w:rsid w:val="635D78BF"/>
    <w:rsid w:val="635E38F3"/>
    <w:rsid w:val="63615F56"/>
    <w:rsid w:val="63627B5F"/>
    <w:rsid w:val="636364AC"/>
    <w:rsid w:val="636532E3"/>
    <w:rsid w:val="636B5B38"/>
    <w:rsid w:val="636D189A"/>
    <w:rsid w:val="636E1A3A"/>
    <w:rsid w:val="636E5BA8"/>
    <w:rsid w:val="63701F10"/>
    <w:rsid w:val="63743497"/>
    <w:rsid w:val="637718CB"/>
    <w:rsid w:val="637B1D2E"/>
    <w:rsid w:val="637C1792"/>
    <w:rsid w:val="637D216D"/>
    <w:rsid w:val="637F4537"/>
    <w:rsid w:val="63815FDA"/>
    <w:rsid w:val="638259C1"/>
    <w:rsid w:val="6383324E"/>
    <w:rsid w:val="63844520"/>
    <w:rsid w:val="63845D82"/>
    <w:rsid w:val="638601D8"/>
    <w:rsid w:val="63861A11"/>
    <w:rsid w:val="638957C1"/>
    <w:rsid w:val="638C5AAE"/>
    <w:rsid w:val="638E4764"/>
    <w:rsid w:val="638E5F67"/>
    <w:rsid w:val="638E67FA"/>
    <w:rsid w:val="639233E5"/>
    <w:rsid w:val="639257BA"/>
    <w:rsid w:val="63936D24"/>
    <w:rsid w:val="63950E07"/>
    <w:rsid w:val="63980E88"/>
    <w:rsid w:val="639A4E02"/>
    <w:rsid w:val="639F20B9"/>
    <w:rsid w:val="63A23524"/>
    <w:rsid w:val="63A2520E"/>
    <w:rsid w:val="63A44B67"/>
    <w:rsid w:val="63A6046B"/>
    <w:rsid w:val="63A80DB4"/>
    <w:rsid w:val="63A94DAB"/>
    <w:rsid w:val="63AB4186"/>
    <w:rsid w:val="63AD1701"/>
    <w:rsid w:val="63AF718C"/>
    <w:rsid w:val="63B0099E"/>
    <w:rsid w:val="63B219B9"/>
    <w:rsid w:val="63B227B1"/>
    <w:rsid w:val="63B23767"/>
    <w:rsid w:val="63B25199"/>
    <w:rsid w:val="63B35731"/>
    <w:rsid w:val="63B83AF1"/>
    <w:rsid w:val="63B84AF5"/>
    <w:rsid w:val="63B868A3"/>
    <w:rsid w:val="63BC2837"/>
    <w:rsid w:val="63BC76D1"/>
    <w:rsid w:val="63BD1AFD"/>
    <w:rsid w:val="63BD2DDA"/>
    <w:rsid w:val="63BE4957"/>
    <w:rsid w:val="63C139AA"/>
    <w:rsid w:val="63C27722"/>
    <w:rsid w:val="63C36769"/>
    <w:rsid w:val="63C45248"/>
    <w:rsid w:val="63C4708C"/>
    <w:rsid w:val="63CE1306"/>
    <w:rsid w:val="63D0686F"/>
    <w:rsid w:val="63D23E09"/>
    <w:rsid w:val="63D40888"/>
    <w:rsid w:val="63D538F9"/>
    <w:rsid w:val="63D97A6C"/>
    <w:rsid w:val="63DB1915"/>
    <w:rsid w:val="63DD6F3C"/>
    <w:rsid w:val="63E05A07"/>
    <w:rsid w:val="63E458EA"/>
    <w:rsid w:val="63E547BF"/>
    <w:rsid w:val="63E562C2"/>
    <w:rsid w:val="63E613E7"/>
    <w:rsid w:val="63E9223E"/>
    <w:rsid w:val="63EA73A4"/>
    <w:rsid w:val="63ED201F"/>
    <w:rsid w:val="63F03E5A"/>
    <w:rsid w:val="63F0428F"/>
    <w:rsid w:val="63F068E5"/>
    <w:rsid w:val="63F172BF"/>
    <w:rsid w:val="63F32822"/>
    <w:rsid w:val="63F35B2D"/>
    <w:rsid w:val="63F773CC"/>
    <w:rsid w:val="63F96C30"/>
    <w:rsid w:val="63FA6EBC"/>
    <w:rsid w:val="63FB3A00"/>
    <w:rsid w:val="63FB7E15"/>
    <w:rsid w:val="63FC040C"/>
    <w:rsid w:val="64002DAD"/>
    <w:rsid w:val="64030466"/>
    <w:rsid w:val="640404F9"/>
    <w:rsid w:val="640B10C9"/>
    <w:rsid w:val="640F3F59"/>
    <w:rsid w:val="64116D46"/>
    <w:rsid w:val="64127D09"/>
    <w:rsid w:val="641317AF"/>
    <w:rsid w:val="64167605"/>
    <w:rsid w:val="641779A5"/>
    <w:rsid w:val="64194552"/>
    <w:rsid w:val="6421269A"/>
    <w:rsid w:val="64236413"/>
    <w:rsid w:val="6424218B"/>
    <w:rsid w:val="64265F03"/>
    <w:rsid w:val="64267CB1"/>
    <w:rsid w:val="64283A29"/>
    <w:rsid w:val="6428605E"/>
    <w:rsid w:val="64291235"/>
    <w:rsid w:val="6429154F"/>
    <w:rsid w:val="642B0757"/>
    <w:rsid w:val="642B2D3A"/>
    <w:rsid w:val="642C3B84"/>
    <w:rsid w:val="642D69C8"/>
    <w:rsid w:val="64300D8E"/>
    <w:rsid w:val="64306D81"/>
    <w:rsid w:val="64314722"/>
    <w:rsid w:val="6432641A"/>
    <w:rsid w:val="643434D4"/>
    <w:rsid w:val="643543D4"/>
    <w:rsid w:val="64357EF4"/>
    <w:rsid w:val="64371EBE"/>
    <w:rsid w:val="64373C6C"/>
    <w:rsid w:val="6439570E"/>
    <w:rsid w:val="643B1602"/>
    <w:rsid w:val="643B7C00"/>
    <w:rsid w:val="643C0D03"/>
    <w:rsid w:val="643C633A"/>
    <w:rsid w:val="643D0406"/>
    <w:rsid w:val="64414AEB"/>
    <w:rsid w:val="64432FC3"/>
    <w:rsid w:val="64444FF8"/>
    <w:rsid w:val="6446254B"/>
    <w:rsid w:val="644839B3"/>
    <w:rsid w:val="644A7E43"/>
    <w:rsid w:val="644C47B2"/>
    <w:rsid w:val="644D2094"/>
    <w:rsid w:val="644D3982"/>
    <w:rsid w:val="644D7933"/>
    <w:rsid w:val="64542A70"/>
    <w:rsid w:val="64591E34"/>
    <w:rsid w:val="6459629F"/>
    <w:rsid w:val="645A795A"/>
    <w:rsid w:val="645C7B76"/>
    <w:rsid w:val="645E569D"/>
    <w:rsid w:val="64603A41"/>
    <w:rsid w:val="64610CE9"/>
    <w:rsid w:val="64624D5D"/>
    <w:rsid w:val="6466598A"/>
    <w:rsid w:val="6468651B"/>
    <w:rsid w:val="646957EA"/>
    <w:rsid w:val="646B4D15"/>
    <w:rsid w:val="646B7484"/>
    <w:rsid w:val="646D1D84"/>
    <w:rsid w:val="646D7614"/>
    <w:rsid w:val="646F3406"/>
    <w:rsid w:val="646F78AA"/>
    <w:rsid w:val="64720294"/>
    <w:rsid w:val="64764029"/>
    <w:rsid w:val="64777168"/>
    <w:rsid w:val="647A68AE"/>
    <w:rsid w:val="647D1BD4"/>
    <w:rsid w:val="647D3BAE"/>
    <w:rsid w:val="647E51B4"/>
    <w:rsid w:val="64801AB7"/>
    <w:rsid w:val="6480384A"/>
    <w:rsid w:val="64805613"/>
    <w:rsid w:val="64813139"/>
    <w:rsid w:val="64847F47"/>
    <w:rsid w:val="648779F8"/>
    <w:rsid w:val="64897A59"/>
    <w:rsid w:val="648A6492"/>
    <w:rsid w:val="648B12DD"/>
    <w:rsid w:val="648C220A"/>
    <w:rsid w:val="648C375E"/>
    <w:rsid w:val="648D1ADE"/>
    <w:rsid w:val="648F03F5"/>
    <w:rsid w:val="648F3AA8"/>
    <w:rsid w:val="64904C10"/>
    <w:rsid w:val="6490538D"/>
    <w:rsid w:val="64947310"/>
    <w:rsid w:val="64960A56"/>
    <w:rsid w:val="64970BAF"/>
    <w:rsid w:val="64971200"/>
    <w:rsid w:val="649B069F"/>
    <w:rsid w:val="649B4C85"/>
    <w:rsid w:val="649F7038"/>
    <w:rsid w:val="64A169B3"/>
    <w:rsid w:val="64A17D6F"/>
    <w:rsid w:val="64A42E07"/>
    <w:rsid w:val="64A5151D"/>
    <w:rsid w:val="64AC465A"/>
    <w:rsid w:val="64AD2180"/>
    <w:rsid w:val="64AD6970"/>
    <w:rsid w:val="64B0503B"/>
    <w:rsid w:val="64B52B48"/>
    <w:rsid w:val="64B5748D"/>
    <w:rsid w:val="64B74DAD"/>
    <w:rsid w:val="64B85A8B"/>
    <w:rsid w:val="64BB489D"/>
    <w:rsid w:val="64BE394E"/>
    <w:rsid w:val="64BF14E5"/>
    <w:rsid w:val="64C03C61"/>
    <w:rsid w:val="64C17C5F"/>
    <w:rsid w:val="64C53799"/>
    <w:rsid w:val="64C54571"/>
    <w:rsid w:val="64CA0F84"/>
    <w:rsid w:val="64CB61D7"/>
    <w:rsid w:val="64CC072B"/>
    <w:rsid w:val="64CC6EF2"/>
    <w:rsid w:val="64CD637E"/>
    <w:rsid w:val="64CE2619"/>
    <w:rsid w:val="64D237AB"/>
    <w:rsid w:val="64D25334"/>
    <w:rsid w:val="64D27AC2"/>
    <w:rsid w:val="64D46717"/>
    <w:rsid w:val="64D5744C"/>
    <w:rsid w:val="64D63056"/>
    <w:rsid w:val="64D67FEA"/>
    <w:rsid w:val="64D72050"/>
    <w:rsid w:val="64D97FE6"/>
    <w:rsid w:val="64DE058B"/>
    <w:rsid w:val="64E156EC"/>
    <w:rsid w:val="64E21E2A"/>
    <w:rsid w:val="64E37662"/>
    <w:rsid w:val="64E41E18"/>
    <w:rsid w:val="64E54BFB"/>
    <w:rsid w:val="64E84043"/>
    <w:rsid w:val="64EA5D49"/>
    <w:rsid w:val="64EF4547"/>
    <w:rsid w:val="64F0785F"/>
    <w:rsid w:val="64F21887"/>
    <w:rsid w:val="64F73A3F"/>
    <w:rsid w:val="64F948F3"/>
    <w:rsid w:val="64FD3107"/>
    <w:rsid w:val="64FE29DC"/>
    <w:rsid w:val="64FE574A"/>
    <w:rsid w:val="65024C7C"/>
    <w:rsid w:val="65055521"/>
    <w:rsid w:val="650648C1"/>
    <w:rsid w:val="650731BD"/>
    <w:rsid w:val="65075D34"/>
    <w:rsid w:val="65077AE2"/>
    <w:rsid w:val="650812D1"/>
    <w:rsid w:val="65086116"/>
    <w:rsid w:val="650E70C3"/>
    <w:rsid w:val="65102E3B"/>
    <w:rsid w:val="651075EF"/>
    <w:rsid w:val="651144BD"/>
    <w:rsid w:val="65124FB7"/>
    <w:rsid w:val="65136487"/>
    <w:rsid w:val="65150451"/>
    <w:rsid w:val="65160BAD"/>
    <w:rsid w:val="65165F77"/>
    <w:rsid w:val="6517172B"/>
    <w:rsid w:val="65197815"/>
    <w:rsid w:val="651B4212"/>
    <w:rsid w:val="651B6927"/>
    <w:rsid w:val="651E5789"/>
    <w:rsid w:val="651E6BDA"/>
    <w:rsid w:val="65200BA4"/>
    <w:rsid w:val="65212A73"/>
    <w:rsid w:val="652310DA"/>
    <w:rsid w:val="652511AB"/>
    <w:rsid w:val="652534C9"/>
    <w:rsid w:val="6528059A"/>
    <w:rsid w:val="65282352"/>
    <w:rsid w:val="652B1445"/>
    <w:rsid w:val="652B69C4"/>
    <w:rsid w:val="652D6154"/>
    <w:rsid w:val="652F0DE7"/>
    <w:rsid w:val="65303C11"/>
    <w:rsid w:val="653308D7"/>
    <w:rsid w:val="653E4B93"/>
    <w:rsid w:val="6541036B"/>
    <w:rsid w:val="65424FBE"/>
    <w:rsid w:val="654523B9"/>
    <w:rsid w:val="65474383"/>
    <w:rsid w:val="6548625D"/>
    <w:rsid w:val="654943D9"/>
    <w:rsid w:val="654A79CF"/>
    <w:rsid w:val="654B64F1"/>
    <w:rsid w:val="655016BB"/>
    <w:rsid w:val="65507AC7"/>
    <w:rsid w:val="655820EC"/>
    <w:rsid w:val="655851C7"/>
    <w:rsid w:val="655C38AB"/>
    <w:rsid w:val="655E1860"/>
    <w:rsid w:val="65605444"/>
    <w:rsid w:val="65636C5C"/>
    <w:rsid w:val="6565085D"/>
    <w:rsid w:val="656A4F30"/>
    <w:rsid w:val="656C5B5F"/>
    <w:rsid w:val="656E1B1E"/>
    <w:rsid w:val="656E7BE6"/>
    <w:rsid w:val="656F50DC"/>
    <w:rsid w:val="65731720"/>
    <w:rsid w:val="65754F0C"/>
    <w:rsid w:val="657643F5"/>
    <w:rsid w:val="65764C68"/>
    <w:rsid w:val="65772C72"/>
    <w:rsid w:val="657746BE"/>
    <w:rsid w:val="6578453C"/>
    <w:rsid w:val="657A5681"/>
    <w:rsid w:val="657A6506"/>
    <w:rsid w:val="657B5DDA"/>
    <w:rsid w:val="657E2654"/>
    <w:rsid w:val="657F3B1C"/>
    <w:rsid w:val="65847385"/>
    <w:rsid w:val="658565C0"/>
    <w:rsid w:val="658E1B03"/>
    <w:rsid w:val="658E5388"/>
    <w:rsid w:val="6592548C"/>
    <w:rsid w:val="65965D83"/>
    <w:rsid w:val="659772A6"/>
    <w:rsid w:val="659B1574"/>
    <w:rsid w:val="659D36B6"/>
    <w:rsid w:val="659D498D"/>
    <w:rsid w:val="659D7BB1"/>
    <w:rsid w:val="659F7CF5"/>
    <w:rsid w:val="65A07D07"/>
    <w:rsid w:val="65A10DFB"/>
    <w:rsid w:val="65A13A93"/>
    <w:rsid w:val="65A24BCD"/>
    <w:rsid w:val="65A25C12"/>
    <w:rsid w:val="65A41C23"/>
    <w:rsid w:val="65A6262A"/>
    <w:rsid w:val="65A66598"/>
    <w:rsid w:val="65A81AA0"/>
    <w:rsid w:val="65A823AD"/>
    <w:rsid w:val="65A92947"/>
    <w:rsid w:val="65A94671"/>
    <w:rsid w:val="65AA0FBB"/>
    <w:rsid w:val="65AA17C6"/>
    <w:rsid w:val="65AA6513"/>
    <w:rsid w:val="65AB27D4"/>
    <w:rsid w:val="65AB639C"/>
    <w:rsid w:val="65AB6F91"/>
    <w:rsid w:val="65AC27E1"/>
    <w:rsid w:val="65AE016F"/>
    <w:rsid w:val="65B006F3"/>
    <w:rsid w:val="65B137CE"/>
    <w:rsid w:val="65B15B45"/>
    <w:rsid w:val="65B25CA0"/>
    <w:rsid w:val="65B33144"/>
    <w:rsid w:val="65B55790"/>
    <w:rsid w:val="65B724FF"/>
    <w:rsid w:val="65B752FD"/>
    <w:rsid w:val="65BD406C"/>
    <w:rsid w:val="65C11C9B"/>
    <w:rsid w:val="65C14135"/>
    <w:rsid w:val="65C16D06"/>
    <w:rsid w:val="65C21C5B"/>
    <w:rsid w:val="65C23A09"/>
    <w:rsid w:val="65C36624"/>
    <w:rsid w:val="65C37EAD"/>
    <w:rsid w:val="65C63B99"/>
    <w:rsid w:val="65C86CB8"/>
    <w:rsid w:val="65CF416A"/>
    <w:rsid w:val="65D01B2D"/>
    <w:rsid w:val="65D3619D"/>
    <w:rsid w:val="65D47417"/>
    <w:rsid w:val="65D5198E"/>
    <w:rsid w:val="65D526AC"/>
    <w:rsid w:val="65D6368E"/>
    <w:rsid w:val="65D73958"/>
    <w:rsid w:val="65D74B1E"/>
    <w:rsid w:val="65D75707"/>
    <w:rsid w:val="65D8147F"/>
    <w:rsid w:val="65D91D99"/>
    <w:rsid w:val="65D966CF"/>
    <w:rsid w:val="65DC4ACB"/>
    <w:rsid w:val="65DD0843"/>
    <w:rsid w:val="65E05465"/>
    <w:rsid w:val="65E120E6"/>
    <w:rsid w:val="65E240AB"/>
    <w:rsid w:val="65E258D7"/>
    <w:rsid w:val="65E41908"/>
    <w:rsid w:val="65E762DB"/>
    <w:rsid w:val="65EC266E"/>
    <w:rsid w:val="65F20A3D"/>
    <w:rsid w:val="65F4293E"/>
    <w:rsid w:val="65F43351"/>
    <w:rsid w:val="65F511BB"/>
    <w:rsid w:val="65F74891"/>
    <w:rsid w:val="65FC6F1B"/>
    <w:rsid w:val="65FE1159"/>
    <w:rsid w:val="65FE7137"/>
    <w:rsid w:val="660364FC"/>
    <w:rsid w:val="660404C6"/>
    <w:rsid w:val="66065E8D"/>
    <w:rsid w:val="66067A74"/>
    <w:rsid w:val="66092364"/>
    <w:rsid w:val="6609788A"/>
    <w:rsid w:val="660A3036"/>
    <w:rsid w:val="660D49BC"/>
    <w:rsid w:val="660D737A"/>
    <w:rsid w:val="66135466"/>
    <w:rsid w:val="66157FDD"/>
    <w:rsid w:val="661758CC"/>
    <w:rsid w:val="661C580F"/>
    <w:rsid w:val="661C67E7"/>
    <w:rsid w:val="661D5F5B"/>
    <w:rsid w:val="66216982"/>
    <w:rsid w:val="662242CD"/>
    <w:rsid w:val="66246472"/>
    <w:rsid w:val="662704FC"/>
    <w:rsid w:val="662D42F5"/>
    <w:rsid w:val="662E2A4A"/>
    <w:rsid w:val="662F6008"/>
    <w:rsid w:val="6630667E"/>
    <w:rsid w:val="66307A8B"/>
    <w:rsid w:val="66334E5F"/>
    <w:rsid w:val="66342B59"/>
    <w:rsid w:val="66372A2B"/>
    <w:rsid w:val="663A5C95"/>
    <w:rsid w:val="663C7C5F"/>
    <w:rsid w:val="66401FA8"/>
    <w:rsid w:val="6640680E"/>
    <w:rsid w:val="664468EB"/>
    <w:rsid w:val="6646463A"/>
    <w:rsid w:val="66486604"/>
    <w:rsid w:val="664A1A2C"/>
    <w:rsid w:val="66523154"/>
    <w:rsid w:val="665C5C0C"/>
    <w:rsid w:val="665D7AEB"/>
    <w:rsid w:val="665E4931"/>
    <w:rsid w:val="6662369D"/>
    <w:rsid w:val="666420E2"/>
    <w:rsid w:val="66691187"/>
    <w:rsid w:val="66691D80"/>
    <w:rsid w:val="666B58FB"/>
    <w:rsid w:val="666C3901"/>
    <w:rsid w:val="666F1DE3"/>
    <w:rsid w:val="66747DFB"/>
    <w:rsid w:val="66751798"/>
    <w:rsid w:val="667733BA"/>
    <w:rsid w:val="6678210A"/>
    <w:rsid w:val="6679056C"/>
    <w:rsid w:val="66794A10"/>
    <w:rsid w:val="667A42E4"/>
    <w:rsid w:val="667A71F1"/>
    <w:rsid w:val="667A7536"/>
    <w:rsid w:val="667B13A2"/>
    <w:rsid w:val="667D0AE2"/>
    <w:rsid w:val="667F664F"/>
    <w:rsid w:val="66855A07"/>
    <w:rsid w:val="66875134"/>
    <w:rsid w:val="668B53AE"/>
    <w:rsid w:val="668F16AA"/>
    <w:rsid w:val="66901FF9"/>
    <w:rsid w:val="66910CCF"/>
    <w:rsid w:val="66926769"/>
    <w:rsid w:val="66955030"/>
    <w:rsid w:val="66965F26"/>
    <w:rsid w:val="669A6BB4"/>
    <w:rsid w:val="669A7595"/>
    <w:rsid w:val="669F72A0"/>
    <w:rsid w:val="66A023ED"/>
    <w:rsid w:val="66A15D14"/>
    <w:rsid w:val="66A22C31"/>
    <w:rsid w:val="66A575B3"/>
    <w:rsid w:val="66A75698"/>
    <w:rsid w:val="66AA233C"/>
    <w:rsid w:val="66AA6977"/>
    <w:rsid w:val="66AB2A9B"/>
    <w:rsid w:val="66AF0431"/>
    <w:rsid w:val="66B07D06"/>
    <w:rsid w:val="66B127A6"/>
    <w:rsid w:val="66B23A7E"/>
    <w:rsid w:val="66B26720"/>
    <w:rsid w:val="66B43C9A"/>
    <w:rsid w:val="66B477F6"/>
    <w:rsid w:val="66B506E4"/>
    <w:rsid w:val="66B522DA"/>
    <w:rsid w:val="66B934EE"/>
    <w:rsid w:val="66BA201C"/>
    <w:rsid w:val="66BC5441"/>
    <w:rsid w:val="66BC5FE0"/>
    <w:rsid w:val="66BC66AA"/>
    <w:rsid w:val="66BD3F88"/>
    <w:rsid w:val="66BE420B"/>
    <w:rsid w:val="66C0363A"/>
    <w:rsid w:val="66C043ED"/>
    <w:rsid w:val="66C0619B"/>
    <w:rsid w:val="66C32A08"/>
    <w:rsid w:val="66CA14AF"/>
    <w:rsid w:val="66CA26DF"/>
    <w:rsid w:val="66CA6E00"/>
    <w:rsid w:val="66CB4B3F"/>
    <w:rsid w:val="66CD2666"/>
    <w:rsid w:val="66CF63DE"/>
    <w:rsid w:val="66D165FA"/>
    <w:rsid w:val="66D260B8"/>
    <w:rsid w:val="66D4239C"/>
    <w:rsid w:val="66D43BCA"/>
    <w:rsid w:val="66D6776C"/>
    <w:rsid w:val="66D71E96"/>
    <w:rsid w:val="66D91E4E"/>
    <w:rsid w:val="66DA1205"/>
    <w:rsid w:val="66DD6DAA"/>
    <w:rsid w:val="66DE0DC2"/>
    <w:rsid w:val="66DF3174"/>
    <w:rsid w:val="66E0695B"/>
    <w:rsid w:val="66E40AD6"/>
    <w:rsid w:val="66E612EE"/>
    <w:rsid w:val="66E704E6"/>
    <w:rsid w:val="66E71979"/>
    <w:rsid w:val="66E73D5E"/>
    <w:rsid w:val="66EB246B"/>
    <w:rsid w:val="66ED1A86"/>
    <w:rsid w:val="66EE2D63"/>
    <w:rsid w:val="66EE3541"/>
    <w:rsid w:val="66EE6F97"/>
    <w:rsid w:val="66F128EF"/>
    <w:rsid w:val="66F13DA0"/>
    <w:rsid w:val="66F916AD"/>
    <w:rsid w:val="66FB4E2C"/>
    <w:rsid w:val="66FD6AD2"/>
    <w:rsid w:val="66FE0793"/>
    <w:rsid w:val="66FE5F4E"/>
    <w:rsid w:val="67010C05"/>
    <w:rsid w:val="67016963"/>
    <w:rsid w:val="67040E5E"/>
    <w:rsid w:val="6709462E"/>
    <w:rsid w:val="67097593"/>
    <w:rsid w:val="670A525B"/>
    <w:rsid w:val="670E2D2E"/>
    <w:rsid w:val="671273F1"/>
    <w:rsid w:val="67164C20"/>
    <w:rsid w:val="67185FD7"/>
    <w:rsid w:val="671B0BBB"/>
    <w:rsid w:val="671B6B13"/>
    <w:rsid w:val="671D19E4"/>
    <w:rsid w:val="671E3435"/>
    <w:rsid w:val="671E44FE"/>
    <w:rsid w:val="671F55B7"/>
    <w:rsid w:val="67204B6C"/>
    <w:rsid w:val="672111F0"/>
    <w:rsid w:val="67236CF2"/>
    <w:rsid w:val="67241800"/>
    <w:rsid w:val="672C3830"/>
    <w:rsid w:val="67307AD1"/>
    <w:rsid w:val="6732696D"/>
    <w:rsid w:val="67332E10"/>
    <w:rsid w:val="673348C9"/>
    <w:rsid w:val="67346B89"/>
    <w:rsid w:val="673646FA"/>
    <w:rsid w:val="6737127A"/>
    <w:rsid w:val="67392596"/>
    <w:rsid w:val="673A0261"/>
    <w:rsid w:val="673C7AEF"/>
    <w:rsid w:val="673E3563"/>
    <w:rsid w:val="673F160B"/>
    <w:rsid w:val="67401F36"/>
    <w:rsid w:val="6740562C"/>
    <w:rsid w:val="67437403"/>
    <w:rsid w:val="67452B44"/>
    <w:rsid w:val="67484ED8"/>
    <w:rsid w:val="674C7A59"/>
    <w:rsid w:val="674D08F9"/>
    <w:rsid w:val="674D7D2D"/>
    <w:rsid w:val="674E7C4A"/>
    <w:rsid w:val="675039C2"/>
    <w:rsid w:val="67505147"/>
    <w:rsid w:val="67564D51"/>
    <w:rsid w:val="675656AD"/>
    <w:rsid w:val="67567134"/>
    <w:rsid w:val="67575DF4"/>
    <w:rsid w:val="67583964"/>
    <w:rsid w:val="6759126B"/>
    <w:rsid w:val="675A65EF"/>
    <w:rsid w:val="675C3383"/>
    <w:rsid w:val="675D539A"/>
    <w:rsid w:val="675E4AC0"/>
    <w:rsid w:val="675F35C8"/>
    <w:rsid w:val="6760172C"/>
    <w:rsid w:val="67632B84"/>
    <w:rsid w:val="6763447F"/>
    <w:rsid w:val="67634DBC"/>
    <w:rsid w:val="67654F94"/>
    <w:rsid w:val="67662894"/>
    <w:rsid w:val="676679E8"/>
    <w:rsid w:val="67670D0C"/>
    <w:rsid w:val="67694F1E"/>
    <w:rsid w:val="67695573"/>
    <w:rsid w:val="676B40F0"/>
    <w:rsid w:val="676D4C8B"/>
    <w:rsid w:val="67737BA8"/>
    <w:rsid w:val="677451B8"/>
    <w:rsid w:val="677C2186"/>
    <w:rsid w:val="677E783A"/>
    <w:rsid w:val="677F5616"/>
    <w:rsid w:val="67803808"/>
    <w:rsid w:val="6781042B"/>
    <w:rsid w:val="67822796"/>
    <w:rsid w:val="6782772E"/>
    <w:rsid w:val="67841F6B"/>
    <w:rsid w:val="678A0557"/>
    <w:rsid w:val="678B06C9"/>
    <w:rsid w:val="678B52EF"/>
    <w:rsid w:val="678E1D9F"/>
    <w:rsid w:val="678E2418"/>
    <w:rsid w:val="678E44EB"/>
    <w:rsid w:val="679035FD"/>
    <w:rsid w:val="679A4982"/>
    <w:rsid w:val="679A4C3E"/>
    <w:rsid w:val="679D472E"/>
    <w:rsid w:val="679F2254"/>
    <w:rsid w:val="67A27F96"/>
    <w:rsid w:val="67A4786A"/>
    <w:rsid w:val="67A5779D"/>
    <w:rsid w:val="67A63985"/>
    <w:rsid w:val="67A930D3"/>
    <w:rsid w:val="67AA3C86"/>
    <w:rsid w:val="67AE7E91"/>
    <w:rsid w:val="67B0620F"/>
    <w:rsid w:val="67B10EDE"/>
    <w:rsid w:val="67B760BD"/>
    <w:rsid w:val="67B8761B"/>
    <w:rsid w:val="67B94EBC"/>
    <w:rsid w:val="67C00951"/>
    <w:rsid w:val="67C35D7B"/>
    <w:rsid w:val="67C60ADE"/>
    <w:rsid w:val="67C63C85"/>
    <w:rsid w:val="67C717AB"/>
    <w:rsid w:val="67C85E2A"/>
    <w:rsid w:val="67CA180A"/>
    <w:rsid w:val="67CA1DA4"/>
    <w:rsid w:val="67CB129B"/>
    <w:rsid w:val="67CB4700"/>
    <w:rsid w:val="67CE2B39"/>
    <w:rsid w:val="67D0065F"/>
    <w:rsid w:val="67D0240D"/>
    <w:rsid w:val="67D068B1"/>
    <w:rsid w:val="67D143D7"/>
    <w:rsid w:val="67D5211A"/>
    <w:rsid w:val="67D6379C"/>
    <w:rsid w:val="67D7784B"/>
    <w:rsid w:val="67D839B8"/>
    <w:rsid w:val="67D97198"/>
    <w:rsid w:val="67E22067"/>
    <w:rsid w:val="67E22987"/>
    <w:rsid w:val="67E275B3"/>
    <w:rsid w:val="67E4235D"/>
    <w:rsid w:val="67E73BFB"/>
    <w:rsid w:val="67E75502"/>
    <w:rsid w:val="67E81E4D"/>
    <w:rsid w:val="67E85E64"/>
    <w:rsid w:val="67E97973"/>
    <w:rsid w:val="67EA0D64"/>
    <w:rsid w:val="67EC1211"/>
    <w:rsid w:val="67EE6D37"/>
    <w:rsid w:val="67EE6F14"/>
    <w:rsid w:val="67EE77D3"/>
    <w:rsid w:val="67EF5603"/>
    <w:rsid w:val="67F00D02"/>
    <w:rsid w:val="67F43143"/>
    <w:rsid w:val="67F70B21"/>
    <w:rsid w:val="67F73252"/>
    <w:rsid w:val="67F80FAB"/>
    <w:rsid w:val="67F811E7"/>
    <w:rsid w:val="67F81964"/>
    <w:rsid w:val="67F920C3"/>
    <w:rsid w:val="67F971AD"/>
    <w:rsid w:val="67FA3AAC"/>
    <w:rsid w:val="67FB61A0"/>
    <w:rsid w:val="68030A35"/>
    <w:rsid w:val="68060525"/>
    <w:rsid w:val="680904E4"/>
    <w:rsid w:val="68097099"/>
    <w:rsid w:val="680B72D0"/>
    <w:rsid w:val="680C3022"/>
    <w:rsid w:val="680C5410"/>
    <w:rsid w:val="6810701C"/>
    <w:rsid w:val="6818021F"/>
    <w:rsid w:val="68192B8D"/>
    <w:rsid w:val="681A2338"/>
    <w:rsid w:val="681A3612"/>
    <w:rsid w:val="681A7B2C"/>
    <w:rsid w:val="68212C69"/>
    <w:rsid w:val="6827206B"/>
    <w:rsid w:val="68272709"/>
    <w:rsid w:val="682B3395"/>
    <w:rsid w:val="682C2B0E"/>
    <w:rsid w:val="682D3D04"/>
    <w:rsid w:val="68306E82"/>
    <w:rsid w:val="6832131A"/>
    <w:rsid w:val="6834542E"/>
    <w:rsid w:val="683741F8"/>
    <w:rsid w:val="6839235A"/>
    <w:rsid w:val="683A01CF"/>
    <w:rsid w:val="683A1F7D"/>
    <w:rsid w:val="683B5B69"/>
    <w:rsid w:val="683C0A1E"/>
    <w:rsid w:val="684007D1"/>
    <w:rsid w:val="6840306D"/>
    <w:rsid w:val="684061FE"/>
    <w:rsid w:val="684140AE"/>
    <w:rsid w:val="68436992"/>
    <w:rsid w:val="68446A19"/>
    <w:rsid w:val="68447269"/>
    <w:rsid w:val="68447EF6"/>
    <w:rsid w:val="684828EC"/>
    <w:rsid w:val="684E58FA"/>
    <w:rsid w:val="68530749"/>
    <w:rsid w:val="68566863"/>
    <w:rsid w:val="68570199"/>
    <w:rsid w:val="685A1294"/>
    <w:rsid w:val="685B24CD"/>
    <w:rsid w:val="68607DBB"/>
    <w:rsid w:val="686239C2"/>
    <w:rsid w:val="68647BCC"/>
    <w:rsid w:val="68660FC4"/>
    <w:rsid w:val="686731DD"/>
    <w:rsid w:val="6867496A"/>
    <w:rsid w:val="68680898"/>
    <w:rsid w:val="68684D3A"/>
    <w:rsid w:val="68684D3C"/>
    <w:rsid w:val="6869675F"/>
    <w:rsid w:val="686A409C"/>
    <w:rsid w:val="686B65DA"/>
    <w:rsid w:val="686F3609"/>
    <w:rsid w:val="68701E42"/>
    <w:rsid w:val="687235E4"/>
    <w:rsid w:val="6873723D"/>
    <w:rsid w:val="687609EF"/>
    <w:rsid w:val="68776F7E"/>
    <w:rsid w:val="68792AA5"/>
    <w:rsid w:val="687946E6"/>
    <w:rsid w:val="68795138"/>
    <w:rsid w:val="687A4A6F"/>
    <w:rsid w:val="687B6A71"/>
    <w:rsid w:val="687C3178"/>
    <w:rsid w:val="687D4930"/>
    <w:rsid w:val="687D6CA0"/>
    <w:rsid w:val="687F7DF0"/>
    <w:rsid w:val="68821A66"/>
    <w:rsid w:val="68833924"/>
    <w:rsid w:val="68836951"/>
    <w:rsid w:val="688B0A2A"/>
    <w:rsid w:val="688D069B"/>
    <w:rsid w:val="688E0268"/>
    <w:rsid w:val="689120D1"/>
    <w:rsid w:val="68914F30"/>
    <w:rsid w:val="68926C75"/>
    <w:rsid w:val="68994715"/>
    <w:rsid w:val="689B5E52"/>
    <w:rsid w:val="689E42BA"/>
    <w:rsid w:val="68A114BD"/>
    <w:rsid w:val="68A550EB"/>
    <w:rsid w:val="68A613C0"/>
    <w:rsid w:val="68A9257D"/>
    <w:rsid w:val="68A95B40"/>
    <w:rsid w:val="68AC37F1"/>
    <w:rsid w:val="68AD09A1"/>
    <w:rsid w:val="68AE4524"/>
    <w:rsid w:val="68B16DE2"/>
    <w:rsid w:val="68B32820"/>
    <w:rsid w:val="68B47F81"/>
    <w:rsid w:val="68B735CD"/>
    <w:rsid w:val="68BB130F"/>
    <w:rsid w:val="68BB1E56"/>
    <w:rsid w:val="68BD2F4C"/>
    <w:rsid w:val="68BF3BE6"/>
    <w:rsid w:val="68C06926"/>
    <w:rsid w:val="68C161FA"/>
    <w:rsid w:val="68C4111D"/>
    <w:rsid w:val="68C606AA"/>
    <w:rsid w:val="68C7256E"/>
    <w:rsid w:val="68CD2E71"/>
    <w:rsid w:val="68D157BD"/>
    <w:rsid w:val="68D5110C"/>
    <w:rsid w:val="68DC1D7B"/>
    <w:rsid w:val="68DC4339"/>
    <w:rsid w:val="68DD74D8"/>
    <w:rsid w:val="68DE07FF"/>
    <w:rsid w:val="68E05976"/>
    <w:rsid w:val="68E27BD2"/>
    <w:rsid w:val="68E63EB3"/>
    <w:rsid w:val="68E70B75"/>
    <w:rsid w:val="68EA68C2"/>
    <w:rsid w:val="68ED244F"/>
    <w:rsid w:val="68EF2D67"/>
    <w:rsid w:val="68F23A4E"/>
    <w:rsid w:val="68F24605"/>
    <w:rsid w:val="68F465CF"/>
    <w:rsid w:val="68F66048"/>
    <w:rsid w:val="68F71C1C"/>
    <w:rsid w:val="68F81E1C"/>
    <w:rsid w:val="68F90EFE"/>
    <w:rsid w:val="68FC51DA"/>
    <w:rsid w:val="68FC7232"/>
    <w:rsid w:val="68FE77B0"/>
    <w:rsid w:val="68FF0055"/>
    <w:rsid w:val="690059E8"/>
    <w:rsid w:val="690061F6"/>
    <w:rsid w:val="69012A9A"/>
    <w:rsid w:val="6903064C"/>
    <w:rsid w:val="69036813"/>
    <w:rsid w:val="690456E0"/>
    <w:rsid w:val="69076AC3"/>
    <w:rsid w:val="690861D7"/>
    <w:rsid w:val="690A194F"/>
    <w:rsid w:val="690A1E52"/>
    <w:rsid w:val="690C1B6B"/>
    <w:rsid w:val="690D1439"/>
    <w:rsid w:val="690E31B6"/>
    <w:rsid w:val="690F05BC"/>
    <w:rsid w:val="69125A96"/>
    <w:rsid w:val="69136FDE"/>
    <w:rsid w:val="69156018"/>
    <w:rsid w:val="69160588"/>
    <w:rsid w:val="69194288"/>
    <w:rsid w:val="691A6D6F"/>
    <w:rsid w:val="691C6844"/>
    <w:rsid w:val="692228EA"/>
    <w:rsid w:val="692549DB"/>
    <w:rsid w:val="692D68E8"/>
    <w:rsid w:val="692E7D33"/>
    <w:rsid w:val="6931512E"/>
    <w:rsid w:val="693764BC"/>
    <w:rsid w:val="69390486"/>
    <w:rsid w:val="69392234"/>
    <w:rsid w:val="693C09A9"/>
    <w:rsid w:val="693E784B"/>
    <w:rsid w:val="69421988"/>
    <w:rsid w:val="69436D71"/>
    <w:rsid w:val="694603DC"/>
    <w:rsid w:val="69460A1B"/>
    <w:rsid w:val="694974FD"/>
    <w:rsid w:val="694A354D"/>
    <w:rsid w:val="694C0F2C"/>
    <w:rsid w:val="694C1F68"/>
    <w:rsid w:val="694E0E9C"/>
    <w:rsid w:val="694F26CB"/>
    <w:rsid w:val="694F6680"/>
    <w:rsid w:val="695157D0"/>
    <w:rsid w:val="695452C0"/>
    <w:rsid w:val="69562DE6"/>
    <w:rsid w:val="69564B03"/>
    <w:rsid w:val="695739A8"/>
    <w:rsid w:val="695B21AB"/>
    <w:rsid w:val="695E7EED"/>
    <w:rsid w:val="69605E3A"/>
    <w:rsid w:val="6965127B"/>
    <w:rsid w:val="69666C5E"/>
    <w:rsid w:val="69674FF3"/>
    <w:rsid w:val="69692996"/>
    <w:rsid w:val="696A1A4E"/>
    <w:rsid w:val="696C3DC2"/>
    <w:rsid w:val="696E6382"/>
    <w:rsid w:val="6971484A"/>
    <w:rsid w:val="69747710"/>
    <w:rsid w:val="69752715"/>
    <w:rsid w:val="6976722C"/>
    <w:rsid w:val="697A2B08"/>
    <w:rsid w:val="697B17DF"/>
    <w:rsid w:val="697F058F"/>
    <w:rsid w:val="697F48A2"/>
    <w:rsid w:val="697F5E1B"/>
    <w:rsid w:val="698060B5"/>
    <w:rsid w:val="69807E63"/>
    <w:rsid w:val="69817394"/>
    <w:rsid w:val="69825989"/>
    <w:rsid w:val="69831C42"/>
    <w:rsid w:val="698336F8"/>
    <w:rsid w:val="6985204A"/>
    <w:rsid w:val="69872FA0"/>
    <w:rsid w:val="69877093"/>
    <w:rsid w:val="698A2A90"/>
    <w:rsid w:val="698C4A5A"/>
    <w:rsid w:val="69911DD0"/>
    <w:rsid w:val="69936754"/>
    <w:rsid w:val="699933EF"/>
    <w:rsid w:val="699B1804"/>
    <w:rsid w:val="699D0A15"/>
    <w:rsid w:val="69A10F1F"/>
    <w:rsid w:val="69A209A3"/>
    <w:rsid w:val="69A30E1A"/>
    <w:rsid w:val="69A46042"/>
    <w:rsid w:val="69A47FF6"/>
    <w:rsid w:val="69A753F0"/>
    <w:rsid w:val="69A83295"/>
    <w:rsid w:val="69A84119"/>
    <w:rsid w:val="69A9428C"/>
    <w:rsid w:val="69AA15F0"/>
    <w:rsid w:val="69AA354B"/>
    <w:rsid w:val="69AA4EE0"/>
    <w:rsid w:val="69AA6F85"/>
    <w:rsid w:val="69AB2D12"/>
    <w:rsid w:val="69AB49DB"/>
    <w:rsid w:val="69B07BF6"/>
    <w:rsid w:val="69B10365"/>
    <w:rsid w:val="69B103D3"/>
    <w:rsid w:val="69B11CDD"/>
    <w:rsid w:val="69B144C0"/>
    <w:rsid w:val="69B50F2B"/>
    <w:rsid w:val="69B61AD7"/>
    <w:rsid w:val="69B664CA"/>
    <w:rsid w:val="69B66C5B"/>
    <w:rsid w:val="69B67D29"/>
    <w:rsid w:val="69B76E56"/>
    <w:rsid w:val="69BD2E65"/>
    <w:rsid w:val="69BD4C13"/>
    <w:rsid w:val="69BE5A22"/>
    <w:rsid w:val="69BF2327"/>
    <w:rsid w:val="69C41DE7"/>
    <w:rsid w:val="69C56E2D"/>
    <w:rsid w:val="69C615E3"/>
    <w:rsid w:val="69CC6D87"/>
    <w:rsid w:val="69CD0CF9"/>
    <w:rsid w:val="69CE0BCF"/>
    <w:rsid w:val="69CE6E20"/>
    <w:rsid w:val="69D02B99"/>
    <w:rsid w:val="69D106BF"/>
    <w:rsid w:val="69D245FB"/>
    <w:rsid w:val="69D61FD5"/>
    <w:rsid w:val="69D65C6C"/>
    <w:rsid w:val="69D80603"/>
    <w:rsid w:val="69D81A4D"/>
    <w:rsid w:val="69D87D83"/>
    <w:rsid w:val="69DA2213"/>
    <w:rsid w:val="69DC778F"/>
    <w:rsid w:val="69E17EED"/>
    <w:rsid w:val="69E46644"/>
    <w:rsid w:val="69E75AE7"/>
    <w:rsid w:val="69EE07EF"/>
    <w:rsid w:val="69EE78DD"/>
    <w:rsid w:val="69F11830"/>
    <w:rsid w:val="69F12B0F"/>
    <w:rsid w:val="69F21D41"/>
    <w:rsid w:val="69F61ED3"/>
    <w:rsid w:val="69F65C23"/>
    <w:rsid w:val="69F73D5B"/>
    <w:rsid w:val="69F84472"/>
    <w:rsid w:val="69FB2F29"/>
    <w:rsid w:val="69FD14B4"/>
    <w:rsid w:val="69FD3262"/>
    <w:rsid w:val="6A010FA4"/>
    <w:rsid w:val="6A0445F0"/>
    <w:rsid w:val="6A06480C"/>
    <w:rsid w:val="6A070584"/>
    <w:rsid w:val="6A072332"/>
    <w:rsid w:val="6A0953F7"/>
    <w:rsid w:val="6A0B5038"/>
    <w:rsid w:val="6A0B7982"/>
    <w:rsid w:val="6A0C30C9"/>
    <w:rsid w:val="6A0D5B9B"/>
    <w:rsid w:val="6A0E1913"/>
    <w:rsid w:val="6A0E36C1"/>
    <w:rsid w:val="6A0F46ED"/>
    <w:rsid w:val="6A101D19"/>
    <w:rsid w:val="6A107AA3"/>
    <w:rsid w:val="6A116D0D"/>
    <w:rsid w:val="6A161408"/>
    <w:rsid w:val="6A16503C"/>
    <w:rsid w:val="6A1709C7"/>
    <w:rsid w:val="6A18009C"/>
    <w:rsid w:val="6A1872F5"/>
    <w:rsid w:val="6A19165D"/>
    <w:rsid w:val="6A1B14C6"/>
    <w:rsid w:val="6A1C750D"/>
    <w:rsid w:val="6A2373AF"/>
    <w:rsid w:val="6A243D9B"/>
    <w:rsid w:val="6A2475B2"/>
    <w:rsid w:val="6A260A0B"/>
    <w:rsid w:val="6A272229"/>
    <w:rsid w:val="6A292A7E"/>
    <w:rsid w:val="6A292C42"/>
    <w:rsid w:val="6A2D0798"/>
    <w:rsid w:val="6A31115D"/>
    <w:rsid w:val="6A3A1C45"/>
    <w:rsid w:val="6A3A2708"/>
    <w:rsid w:val="6A401CB8"/>
    <w:rsid w:val="6A4148B3"/>
    <w:rsid w:val="6A435FF0"/>
    <w:rsid w:val="6A4D41E9"/>
    <w:rsid w:val="6A4D6E6C"/>
    <w:rsid w:val="6A51641B"/>
    <w:rsid w:val="6A553BF7"/>
    <w:rsid w:val="6A55517C"/>
    <w:rsid w:val="6A574FAB"/>
    <w:rsid w:val="6A5F4F63"/>
    <w:rsid w:val="6A610186"/>
    <w:rsid w:val="6A6148D6"/>
    <w:rsid w:val="6A614F81"/>
    <w:rsid w:val="6A624B72"/>
    <w:rsid w:val="6A641B27"/>
    <w:rsid w:val="6A676E1B"/>
    <w:rsid w:val="6A6B0B13"/>
    <w:rsid w:val="6A6B16CC"/>
    <w:rsid w:val="6A6B28C1"/>
    <w:rsid w:val="6A6E7A5F"/>
    <w:rsid w:val="6A6F28B7"/>
    <w:rsid w:val="6A7154B9"/>
    <w:rsid w:val="6A770E80"/>
    <w:rsid w:val="6A773014"/>
    <w:rsid w:val="6A7F056F"/>
    <w:rsid w:val="6A7F66C2"/>
    <w:rsid w:val="6A7F75FD"/>
    <w:rsid w:val="6A814C52"/>
    <w:rsid w:val="6A8375BA"/>
    <w:rsid w:val="6A843983"/>
    <w:rsid w:val="6A851CDB"/>
    <w:rsid w:val="6A857F0C"/>
    <w:rsid w:val="6A876F17"/>
    <w:rsid w:val="6A8A218E"/>
    <w:rsid w:val="6A914238"/>
    <w:rsid w:val="6A92332A"/>
    <w:rsid w:val="6A9525EC"/>
    <w:rsid w:val="6A965FDC"/>
    <w:rsid w:val="6A9736B6"/>
    <w:rsid w:val="6A975464"/>
    <w:rsid w:val="6A9875AD"/>
    <w:rsid w:val="6A995680"/>
    <w:rsid w:val="6A9A4F55"/>
    <w:rsid w:val="6A9E4A45"/>
    <w:rsid w:val="6AA231AD"/>
    <w:rsid w:val="6AA302AD"/>
    <w:rsid w:val="6AA45DD3"/>
    <w:rsid w:val="6AA52131"/>
    <w:rsid w:val="6AA61B4B"/>
    <w:rsid w:val="6AA64A85"/>
    <w:rsid w:val="6AA665FD"/>
    <w:rsid w:val="6AA67D9D"/>
    <w:rsid w:val="6AAA7D24"/>
    <w:rsid w:val="6AAD2EDA"/>
    <w:rsid w:val="6AAE5152"/>
    <w:rsid w:val="6AAF2002"/>
    <w:rsid w:val="6AB029CA"/>
    <w:rsid w:val="6AB02EC8"/>
    <w:rsid w:val="6AB161C1"/>
    <w:rsid w:val="6AB278EE"/>
    <w:rsid w:val="6AB46BFC"/>
    <w:rsid w:val="6AB53B3C"/>
    <w:rsid w:val="6AB73D58"/>
    <w:rsid w:val="6AB853DB"/>
    <w:rsid w:val="6AB9046E"/>
    <w:rsid w:val="6ABB63D7"/>
    <w:rsid w:val="6ABE0726"/>
    <w:rsid w:val="6ABF604C"/>
    <w:rsid w:val="6AC22747"/>
    <w:rsid w:val="6AC53082"/>
    <w:rsid w:val="6AC5539F"/>
    <w:rsid w:val="6AC55556"/>
    <w:rsid w:val="6AC67AF8"/>
    <w:rsid w:val="6AC70973"/>
    <w:rsid w:val="6AC87F53"/>
    <w:rsid w:val="6AC94191"/>
    <w:rsid w:val="6AC95643"/>
    <w:rsid w:val="6ACB0AD0"/>
    <w:rsid w:val="6ACD0E86"/>
    <w:rsid w:val="6ACE0429"/>
    <w:rsid w:val="6ACE0BE2"/>
    <w:rsid w:val="6ACE4BFE"/>
    <w:rsid w:val="6AD24675"/>
    <w:rsid w:val="6AD36967"/>
    <w:rsid w:val="6AD42215"/>
    <w:rsid w:val="6AD66324"/>
    <w:rsid w:val="6AD8182A"/>
    <w:rsid w:val="6AD90006"/>
    <w:rsid w:val="6AD9782B"/>
    <w:rsid w:val="6ADD0406"/>
    <w:rsid w:val="6ADF428C"/>
    <w:rsid w:val="6AE12B83"/>
    <w:rsid w:val="6AE14931"/>
    <w:rsid w:val="6AE508C6"/>
    <w:rsid w:val="6AE920D5"/>
    <w:rsid w:val="6AEA5EDC"/>
    <w:rsid w:val="6AEB548E"/>
    <w:rsid w:val="6AF05745"/>
    <w:rsid w:val="6AF1726A"/>
    <w:rsid w:val="6AF27A70"/>
    <w:rsid w:val="6AF52D3C"/>
    <w:rsid w:val="6AFA3FDD"/>
    <w:rsid w:val="6AFA571E"/>
    <w:rsid w:val="6AFC003E"/>
    <w:rsid w:val="6AFE0D75"/>
    <w:rsid w:val="6AFE3735"/>
    <w:rsid w:val="6B00532F"/>
    <w:rsid w:val="6B011F97"/>
    <w:rsid w:val="6B0223CE"/>
    <w:rsid w:val="6B032AFA"/>
    <w:rsid w:val="6B03334B"/>
    <w:rsid w:val="6B040620"/>
    <w:rsid w:val="6B080110"/>
    <w:rsid w:val="6B0869DC"/>
    <w:rsid w:val="6B0A15CE"/>
    <w:rsid w:val="6B0A20DA"/>
    <w:rsid w:val="6B0B0913"/>
    <w:rsid w:val="6B0B19AE"/>
    <w:rsid w:val="6B0C7B33"/>
    <w:rsid w:val="6B0D317B"/>
    <w:rsid w:val="6B1139A5"/>
    <w:rsid w:val="6B14628C"/>
    <w:rsid w:val="6B1652CB"/>
    <w:rsid w:val="6B172843"/>
    <w:rsid w:val="6B175D95"/>
    <w:rsid w:val="6B182A49"/>
    <w:rsid w:val="6B1860D6"/>
    <w:rsid w:val="6B1B7E43"/>
    <w:rsid w:val="6B1C0BCE"/>
    <w:rsid w:val="6B1C2AE1"/>
    <w:rsid w:val="6B1E0CAA"/>
    <w:rsid w:val="6B24048F"/>
    <w:rsid w:val="6B244066"/>
    <w:rsid w:val="6B24724A"/>
    <w:rsid w:val="6B252D96"/>
    <w:rsid w:val="6B297532"/>
    <w:rsid w:val="6B2A1CD2"/>
    <w:rsid w:val="6B2B5108"/>
    <w:rsid w:val="6B2C6821"/>
    <w:rsid w:val="6B30297D"/>
    <w:rsid w:val="6B3158B9"/>
    <w:rsid w:val="6B32149E"/>
    <w:rsid w:val="6B3453A9"/>
    <w:rsid w:val="6B356837"/>
    <w:rsid w:val="6B357A33"/>
    <w:rsid w:val="6B362ECF"/>
    <w:rsid w:val="6B364190"/>
    <w:rsid w:val="6B3A2BB1"/>
    <w:rsid w:val="6B3A7A5D"/>
    <w:rsid w:val="6B3C7DBA"/>
    <w:rsid w:val="6B3D6961"/>
    <w:rsid w:val="6B3E7FD6"/>
    <w:rsid w:val="6B405AFC"/>
    <w:rsid w:val="6B421D41"/>
    <w:rsid w:val="6B432AA4"/>
    <w:rsid w:val="6B4B5506"/>
    <w:rsid w:val="6B4C26F3"/>
    <w:rsid w:val="6B4C508F"/>
    <w:rsid w:val="6B4D30C6"/>
    <w:rsid w:val="6B4F7C12"/>
    <w:rsid w:val="6B527557"/>
    <w:rsid w:val="6B533758"/>
    <w:rsid w:val="6B5475B6"/>
    <w:rsid w:val="6B5720B5"/>
    <w:rsid w:val="6B575EAD"/>
    <w:rsid w:val="6B583569"/>
    <w:rsid w:val="6B5A26B9"/>
    <w:rsid w:val="6B5C4ABB"/>
    <w:rsid w:val="6B5D4AE2"/>
    <w:rsid w:val="6B5D66AE"/>
    <w:rsid w:val="6B5E4ECB"/>
    <w:rsid w:val="6B6031EC"/>
    <w:rsid w:val="6B6048CC"/>
    <w:rsid w:val="6B61222A"/>
    <w:rsid w:val="6B657311"/>
    <w:rsid w:val="6B682EF1"/>
    <w:rsid w:val="6B6A2B79"/>
    <w:rsid w:val="6B6C0DA2"/>
    <w:rsid w:val="6B6D36C9"/>
    <w:rsid w:val="6B6E2E3F"/>
    <w:rsid w:val="6B726DFF"/>
    <w:rsid w:val="6B730AA4"/>
    <w:rsid w:val="6B73213B"/>
    <w:rsid w:val="6B737C7F"/>
    <w:rsid w:val="6B741C85"/>
    <w:rsid w:val="6B747200"/>
    <w:rsid w:val="6B750D31"/>
    <w:rsid w:val="6B752677"/>
    <w:rsid w:val="6B797F1B"/>
    <w:rsid w:val="6B7B1AB7"/>
    <w:rsid w:val="6B7B6B34"/>
    <w:rsid w:val="6B7C3FFB"/>
    <w:rsid w:val="6B7C4678"/>
    <w:rsid w:val="6B7F4ADF"/>
    <w:rsid w:val="6B8974A3"/>
    <w:rsid w:val="6B8A6D77"/>
    <w:rsid w:val="6B8C2A04"/>
    <w:rsid w:val="6B926FB7"/>
    <w:rsid w:val="6B930BEB"/>
    <w:rsid w:val="6B934AE2"/>
    <w:rsid w:val="6B935963"/>
    <w:rsid w:val="6B9419A4"/>
    <w:rsid w:val="6B972E34"/>
    <w:rsid w:val="6B974819"/>
    <w:rsid w:val="6B9876E6"/>
    <w:rsid w:val="6B990422"/>
    <w:rsid w:val="6B9D6663"/>
    <w:rsid w:val="6B9E04A2"/>
    <w:rsid w:val="6B9E0A74"/>
    <w:rsid w:val="6BA02A3F"/>
    <w:rsid w:val="6BA142B6"/>
    <w:rsid w:val="6BA61325"/>
    <w:rsid w:val="6BA8358E"/>
    <w:rsid w:val="6BA94DF4"/>
    <w:rsid w:val="6BA97D41"/>
    <w:rsid w:val="6BAD0172"/>
    <w:rsid w:val="6BB12BB4"/>
    <w:rsid w:val="6BB169FA"/>
    <w:rsid w:val="6BB5158B"/>
    <w:rsid w:val="6BB55449"/>
    <w:rsid w:val="6BB6020E"/>
    <w:rsid w:val="6BB94218"/>
    <w:rsid w:val="6BB9765C"/>
    <w:rsid w:val="6BBA4CAB"/>
    <w:rsid w:val="6BBA6FE6"/>
    <w:rsid w:val="6BBB6967"/>
    <w:rsid w:val="6BBC0FB0"/>
    <w:rsid w:val="6BBD463B"/>
    <w:rsid w:val="6BBF0117"/>
    <w:rsid w:val="6BBF3C17"/>
    <w:rsid w:val="6BC009EB"/>
    <w:rsid w:val="6BC30A2F"/>
    <w:rsid w:val="6BC32289"/>
    <w:rsid w:val="6BC41FB0"/>
    <w:rsid w:val="6BC73B27"/>
    <w:rsid w:val="6BC85392"/>
    <w:rsid w:val="6BCE135A"/>
    <w:rsid w:val="6BD02406"/>
    <w:rsid w:val="6BD02D76"/>
    <w:rsid w:val="6BD06545"/>
    <w:rsid w:val="6BD2397F"/>
    <w:rsid w:val="6BD36970"/>
    <w:rsid w:val="6BD72563"/>
    <w:rsid w:val="6BD91AAD"/>
    <w:rsid w:val="6BDA1B01"/>
    <w:rsid w:val="6BDD159D"/>
    <w:rsid w:val="6BDF3567"/>
    <w:rsid w:val="6BDF70C3"/>
    <w:rsid w:val="6BE0108D"/>
    <w:rsid w:val="6BE02E3B"/>
    <w:rsid w:val="6BE47003"/>
    <w:rsid w:val="6BE6558D"/>
    <w:rsid w:val="6BE80A4C"/>
    <w:rsid w:val="6BE857E9"/>
    <w:rsid w:val="6BE96135"/>
    <w:rsid w:val="6BE96194"/>
    <w:rsid w:val="6BEC7A32"/>
    <w:rsid w:val="6BF06B43"/>
    <w:rsid w:val="6BF52F17"/>
    <w:rsid w:val="6BF749CB"/>
    <w:rsid w:val="6BFC3B49"/>
    <w:rsid w:val="6C001354"/>
    <w:rsid w:val="6C0135EE"/>
    <w:rsid w:val="6C040F0E"/>
    <w:rsid w:val="6C050FB1"/>
    <w:rsid w:val="6C066D46"/>
    <w:rsid w:val="6C0A2376"/>
    <w:rsid w:val="6C0C6146"/>
    <w:rsid w:val="6C0D6B20"/>
    <w:rsid w:val="6C110C52"/>
    <w:rsid w:val="6C11464E"/>
    <w:rsid w:val="6C11795F"/>
    <w:rsid w:val="6C136D6D"/>
    <w:rsid w:val="6C1672C1"/>
    <w:rsid w:val="6C1825D5"/>
    <w:rsid w:val="6C184383"/>
    <w:rsid w:val="6C186A79"/>
    <w:rsid w:val="6C1A00FB"/>
    <w:rsid w:val="6C1A01F8"/>
    <w:rsid w:val="6C1E7194"/>
    <w:rsid w:val="6C222D83"/>
    <w:rsid w:val="6C225202"/>
    <w:rsid w:val="6C271881"/>
    <w:rsid w:val="6C2A0DA5"/>
    <w:rsid w:val="6C2A4B84"/>
    <w:rsid w:val="6C2A55F0"/>
    <w:rsid w:val="6C2B34CD"/>
    <w:rsid w:val="6C2E5151"/>
    <w:rsid w:val="6C316D02"/>
    <w:rsid w:val="6C3205E4"/>
    <w:rsid w:val="6C3439C0"/>
    <w:rsid w:val="6C3573FF"/>
    <w:rsid w:val="6C383D9C"/>
    <w:rsid w:val="6C3948C0"/>
    <w:rsid w:val="6C3B1211"/>
    <w:rsid w:val="6C3C2767"/>
    <w:rsid w:val="6C3D246C"/>
    <w:rsid w:val="6C3D64DF"/>
    <w:rsid w:val="6C3F1329"/>
    <w:rsid w:val="6C3F5DB4"/>
    <w:rsid w:val="6C4320B0"/>
    <w:rsid w:val="6C4433CA"/>
    <w:rsid w:val="6C446244"/>
    <w:rsid w:val="6C467142"/>
    <w:rsid w:val="6C471E85"/>
    <w:rsid w:val="6C4760EF"/>
    <w:rsid w:val="6C4A61B1"/>
    <w:rsid w:val="6C4B44C7"/>
    <w:rsid w:val="6C4D329F"/>
    <w:rsid w:val="6C4E4249"/>
    <w:rsid w:val="6C4F7452"/>
    <w:rsid w:val="6C506213"/>
    <w:rsid w:val="6C507FC1"/>
    <w:rsid w:val="6C512F5A"/>
    <w:rsid w:val="6C53185F"/>
    <w:rsid w:val="6C5A2BED"/>
    <w:rsid w:val="6C5B0466"/>
    <w:rsid w:val="6C5B7090"/>
    <w:rsid w:val="6C5D26DE"/>
    <w:rsid w:val="6C5E257D"/>
    <w:rsid w:val="6C5E2742"/>
    <w:rsid w:val="6C5E50EA"/>
    <w:rsid w:val="6C5E5AB6"/>
    <w:rsid w:val="6C5F3CBB"/>
    <w:rsid w:val="6C604A90"/>
    <w:rsid w:val="6C625DD2"/>
    <w:rsid w:val="6C6358C7"/>
    <w:rsid w:val="6C6367AC"/>
    <w:rsid w:val="6C644217"/>
    <w:rsid w:val="6C650911"/>
    <w:rsid w:val="6C657A16"/>
    <w:rsid w:val="6C6B7BC0"/>
    <w:rsid w:val="6C6C20FF"/>
    <w:rsid w:val="6C6E1A81"/>
    <w:rsid w:val="6C6F66D5"/>
    <w:rsid w:val="6C700663"/>
    <w:rsid w:val="6C7041BF"/>
    <w:rsid w:val="6C710554"/>
    <w:rsid w:val="6C71397E"/>
    <w:rsid w:val="6C7216FC"/>
    <w:rsid w:val="6C733CAF"/>
    <w:rsid w:val="6C742890"/>
    <w:rsid w:val="6C754FBA"/>
    <w:rsid w:val="6C756BFF"/>
    <w:rsid w:val="6C762AAB"/>
    <w:rsid w:val="6C7705DE"/>
    <w:rsid w:val="6C77626C"/>
    <w:rsid w:val="6C78404A"/>
    <w:rsid w:val="6C792A11"/>
    <w:rsid w:val="6C7E58EA"/>
    <w:rsid w:val="6C870A40"/>
    <w:rsid w:val="6C8853C9"/>
    <w:rsid w:val="6C891725"/>
    <w:rsid w:val="6C895281"/>
    <w:rsid w:val="6C89702F"/>
    <w:rsid w:val="6C8A005A"/>
    <w:rsid w:val="6C8C4AAA"/>
    <w:rsid w:val="6C8C6B1F"/>
    <w:rsid w:val="6C8E61E8"/>
    <w:rsid w:val="6C9003BD"/>
    <w:rsid w:val="6C904861"/>
    <w:rsid w:val="6C943714"/>
    <w:rsid w:val="6C9446F5"/>
    <w:rsid w:val="6C97139F"/>
    <w:rsid w:val="6C9854C4"/>
    <w:rsid w:val="6C9858E3"/>
    <w:rsid w:val="6C9D2ADA"/>
    <w:rsid w:val="6CA03A56"/>
    <w:rsid w:val="6CA200F0"/>
    <w:rsid w:val="6CA83959"/>
    <w:rsid w:val="6CA83F0D"/>
    <w:rsid w:val="6CA976D1"/>
    <w:rsid w:val="6CAE2F39"/>
    <w:rsid w:val="6CAF75BB"/>
    <w:rsid w:val="6CB040AA"/>
    <w:rsid w:val="6CB1287D"/>
    <w:rsid w:val="6CB3110E"/>
    <w:rsid w:val="6CB44E5E"/>
    <w:rsid w:val="6CBB3DE1"/>
    <w:rsid w:val="6CBB7AB5"/>
    <w:rsid w:val="6CBC2133"/>
    <w:rsid w:val="6CBD49A9"/>
    <w:rsid w:val="6CBE13CE"/>
    <w:rsid w:val="6CBE482D"/>
    <w:rsid w:val="6CBF1EA6"/>
    <w:rsid w:val="6CC3531E"/>
    <w:rsid w:val="6CC54C64"/>
    <w:rsid w:val="6CC82894"/>
    <w:rsid w:val="6CCB3AEB"/>
    <w:rsid w:val="6CCB5291"/>
    <w:rsid w:val="6CCE55C4"/>
    <w:rsid w:val="6CD02EB0"/>
    <w:rsid w:val="6CD04C5E"/>
    <w:rsid w:val="6CD23218"/>
    <w:rsid w:val="6CD234F8"/>
    <w:rsid w:val="6CD858B4"/>
    <w:rsid w:val="6CD95450"/>
    <w:rsid w:val="6CDA449C"/>
    <w:rsid w:val="6CDA788A"/>
    <w:rsid w:val="6CDF01E5"/>
    <w:rsid w:val="6CDF2AE4"/>
    <w:rsid w:val="6CE02CFC"/>
    <w:rsid w:val="6CE32BE3"/>
    <w:rsid w:val="6CE8644B"/>
    <w:rsid w:val="6CE93F71"/>
    <w:rsid w:val="6CED5810"/>
    <w:rsid w:val="6CEF645C"/>
    <w:rsid w:val="6CF0213F"/>
    <w:rsid w:val="6CF03323"/>
    <w:rsid w:val="6CF22E26"/>
    <w:rsid w:val="6CF45AD8"/>
    <w:rsid w:val="6CFA128D"/>
    <w:rsid w:val="6CFA7642"/>
    <w:rsid w:val="6CFC3CA5"/>
    <w:rsid w:val="6CFE27CF"/>
    <w:rsid w:val="6CFE7A1D"/>
    <w:rsid w:val="6D005437"/>
    <w:rsid w:val="6D013069"/>
    <w:rsid w:val="6D015823"/>
    <w:rsid w:val="6D01750D"/>
    <w:rsid w:val="6D073943"/>
    <w:rsid w:val="6D077FD9"/>
    <w:rsid w:val="6D083B00"/>
    <w:rsid w:val="6D0847B1"/>
    <w:rsid w:val="6D0938B4"/>
    <w:rsid w:val="6D11251F"/>
    <w:rsid w:val="6D1246FB"/>
    <w:rsid w:val="6D18386D"/>
    <w:rsid w:val="6D18512F"/>
    <w:rsid w:val="6D1B05CF"/>
    <w:rsid w:val="6D1C4347"/>
    <w:rsid w:val="6D25480D"/>
    <w:rsid w:val="6D2A25C0"/>
    <w:rsid w:val="6D2B458A"/>
    <w:rsid w:val="6D2C63EC"/>
    <w:rsid w:val="6D2D0302"/>
    <w:rsid w:val="6D2D10CA"/>
    <w:rsid w:val="6D2E0651"/>
    <w:rsid w:val="6D2F407A"/>
    <w:rsid w:val="6D3050B3"/>
    <w:rsid w:val="6D3451EC"/>
    <w:rsid w:val="6D372F2F"/>
    <w:rsid w:val="6D374CDD"/>
    <w:rsid w:val="6D377250"/>
    <w:rsid w:val="6D380010"/>
    <w:rsid w:val="6D384CD5"/>
    <w:rsid w:val="6D3E250F"/>
    <w:rsid w:val="6D3E2558"/>
    <w:rsid w:val="6D3F3B91"/>
    <w:rsid w:val="6D4232F2"/>
    <w:rsid w:val="6D423B36"/>
    <w:rsid w:val="6D463172"/>
    <w:rsid w:val="6D464F20"/>
    <w:rsid w:val="6D486939"/>
    <w:rsid w:val="6D49468E"/>
    <w:rsid w:val="6D4A4A10"/>
    <w:rsid w:val="6D4C7DD0"/>
    <w:rsid w:val="6D50327F"/>
    <w:rsid w:val="6D505D9E"/>
    <w:rsid w:val="6D511FF0"/>
    <w:rsid w:val="6D52044D"/>
    <w:rsid w:val="6D541E34"/>
    <w:rsid w:val="6D5626C1"/>
    <w:rsid w:val="6D5B38AF"/>
    <w:rsid w:val="6D5B4F1A"/>
    <w:rsid w:val="6D5C551F"/>
    <w:rsid w:val="6D5E0586"/>
    <w:rsid w:val="6D5E2BAD"/>
    <w:rsid w:val="6D5E4080"/>
    <w:rsid w:val="6D5E71F6"/>
    <w:rsid w:val="6D602485"/>
    <w:rsid w:val="6D616C89"/>
    <w:rsid w:val="6D62276C"/>
    <w:rsid w:val="6D6504CA"/>
    <w:rsid w:val="6D667901"/>
    <w:rsid w:val="6D695244"/>
    <w:rsid w:val="6D69718E"/>
    <w:rsid w:val="6D6A3304"/>
    <w:rsid w:val="6D6A74EC"/>
    <w:rsid w:val="6D6B61DF"/>
    <w:rsid w:val="6D6C73C3"/>
    <w:rsid w:val="6D6F26C8"/>
    <w:rsid w:val="6D7035E4"/>
    <w:rsid w:val="6D707BE8"/>
    <w:rsid w:val="6D7154A2"/>
    <w:rsid w:val="6D777848"/>
    <w:rsid w:val="6D785A21"/>
    <w:rsid w:val="6D7970A3"/>
    <w:rsid w:val="6D7B2E1B"/>
    <w:rsid w:val="6D7C7E63"/>
    <w:rsid w:val="6D8002DC"/>
    <w:rsid w:val="6D806684"/>
    <w:rsid w:val="6D8617C0"/>
    <w:rsid w:val="6D864406"/>
    <w:rsid w:val="6D8A305E"/>
    <w:rsid w:val="6D8B090B"/>
    <w:rsid w:val="6D8C6446"/>
    <w:rsid w:val="6D910891"/>
    <w:rsid w:val="6D922457"/>
    <w:rsid w:val="6D937175"/>
    <w:rsid w:val="6D976DC8"/>
    <w:rsid w:val="6D995269"/>
    <w:rsid w:val="6D997745"/>
    <w:rsid w:val="6D9A4A8C"/>
    <w:rsid w:val="6D9A6DE4"/>
    <w:rsid w:val="6D9A79D3"/>
    <w:rsid w:val="6D9F775B"/>
    <w:rsid w:val="6DA52838"/>
    <w:rsid w:val="6DA5433C"/>
    <w:rsid w:val="6DA55245"/>
    <w:rsid w:val="6DA63D6E"/>
    <w:rsid w:val="6DA700B4"/>
    <w:rsid w:val="6DA854AB"/>
    <w:rsid w:val="6DA94B4F"/>
    <w:rsid w:val="6DA953DB"/>
    <w:rsid w:val="6DA9581A"/>
    <w:rsid w:val="6DAB603C"/>
    <w:rsid w:val="6DAC1F0A"/>
    <w:rsid w:val="6DAD1058"/>
    <w:rsid w:val="6DAE5F31"/>
    <w:rsid w:val="6DB04B77"/>
    <w:rsid w:val="6DB12942"/>
    <w:rsid w:val="6DB12CE1"/>
    <w:rsid w:val="6DB57457"/>
    <w:rsid w:val="6DB71556"/>
    <w:rsid w:val="6DB73862"/>
    <w:rsid w:val="6DB74F1E"/>
    <w:rsid w:val="6DB95988"/>
    <w:rsid w:val="6DC249BF"/>
    <w:rsid w:val="6DC25BD3"/>
    <w:rsid w:val="6DC30C08"/>
    <w:rsid w:val="6DC56001"/>
    <w:rsid w:val="6DC674B5"/>
    <w:rsid w:val="6DC72505"/>
    <w:rsid w:val="6DC870F0"/>
    <w:rsid w:val="6DD07C1D"/>
    <w:rsid w:val="6DD23D56"/>
    <w:rsid w:val="6DD63018"/>
    <w:rsid w:val="6DD662A4"/>
    <w:rsid w:val="6DD778D7"/>
    <w:rsid w:val="6DD864C0"/>
    <w:rsid w:val="6DDE1315"/>
    <w:rsid w:val="6DDE7219"/>
    <w:rsid w:val="6DDF7C7F"/>
    <w:rsid w:val="6DE035C6"/>
    <w:rsid w:val="6DE20811"/>
    <w:rsid w:val="6DE25509"/>
    <w:rsid w:val="6DE52B9B"/>
    <w:rsid w:val="6DE677B8"/>
    <w:rsid w:val="6DEB13CD"/>
    <w:rsid w:val="6DEB2757"/>
    <w:rsid w:val="6DEC3D19"/>
    <w:rsid w:val="6DED426D"/>
    <w:rsid w:val="6DEE4EB4"/>
    <w:rsid w:val="6DEE4FF3"/>
    <w:rsid w:val="6DF130DE"/>
    <w:rsid w:val="6DF162FB"/>
    <w:rsid w:val="6DF350A8"/>
    <w:rsid w:val="6DF55946"/>
    <w:rsid w:val="6DF5784D"/>
    <w:rsid w:val="6DF6676A"/>
    <w:rsid w:val="6DF6759C"/>
    <w:rsid w:val="6DF826BE"/>
    <w:rsid w:val="6DF861CE"/>
    <w:rsid w:val="6DFA650F"/>
    <w:rsid w:val="6E01724F"/>
    <w:rsid w:val="6E0252EB"/>
    <w:rsid w:val="6E032E11"/>
    <w:rsid w:val="6E053030"/>
    <w:rsid w:val="6E055C01"/>
    <w:rsid w:val="6E0607D2"/>
    <w:rsid w:val="6E070B53"/>
    <w:rsid w:val="6E072901"/>
    <w:rsid w:val="6E0948CB"/>
    <w:rsid w:val="6E0B7442"/>
    <w:rsid w:val="6E0C084E"/>
    <w:rsid w:val="6E0C2F03"/>
    <w:rsid w:val="6E0C43BB"/>
    <w:rsid w:val="6E103E75"/>
    <w:rsid w:val="6E114E80"/>
    <w:rsid w:val="6E125634"/>
    <w:rsid w:val="6E13574A"/>
    <w:rsid w:val="6E1374F8"/>
    <w:rsid w:val="6E157015"/>
    <w:rsid w:val="6E161E3D"/>
    <w:rsid w:val="6E1A20B1"/>
    <w:rsid w:val="6E1B25FD"/>
    <w:rsid w:val="6E1B4250"/>
    <w:rsid w:val="6E1D0376"/>
    <w:rsid w:val="6E1D2C4F"/>
    <w:rsid w:val="6E1D71DA"/>
    <w:rsid w:val="6E1E6EDE"/>
    <w:rsid w:val="6E2255D4"/>
    <w:rsid w:val="6E22598D"/>
    <w:rsid w:val="6E2434B3"/>
    <w:rsid w:val="6E252894"/>
    <w:rsid w:val="6E2B0912"/>
    <w:rsid w:val="6E2C20FC"/>
    <w:rsid w:val="6E2C2368"/>
    <w:rsid w:val="6E3117E8"/>
    <w:rsid w:val="6E3163FF"/>
    <w:rsid w:val="6E385050"/>
    <w:rsid w:val="6E3A4A84"/>
    <w:rsid w:val="6E3C2375"/>
    <w:rsid w:val="6E3F611F"/>
    <w:rsid w:val="6E414065"/>
    <w:rsid w:val="6E44354C"/>
    <w:rsid w:val="6E445F0F"/>
    <w:rsid w:val="6E4656D8"/>
    <w:rsid w:val="6E477BCA"/>
    <w:rsid w:val="6E481A15"/>
    <w:rsid w:val="6E49116B"/>
    <w:rsid w:val="6E492F1A"/>
    <w:rsid w:val="6E4B6C92"/>
    <w:rsid w:val="6E4C0C5C"/>
    <w:rsid w:val="6E4E136A"/>
    <w:rsid w:val="6E511DCE"/>
    <w:rsid w:val="6E531FEA"/>
    <w:rsid w:val="6E550908"/>
    <w:rsid w:val="6E5673E4"/>
    <w:rsid w:val="6E5A5127"/>
    <w:rsid w:val="6E5A7A44"/>
    <w:rsid w:val="6E5B49FB"/>
    <w:rsid w:val="6E5D69C5"/>
    <w:rsid w:val="6E5F098F"/>
    <w:rsid w:val="6E606A70"/>
    <w:rsid w:val="6E61112C"/>
    <w:rsid w:val="6E637F0C"/>
    <w:rsid w:val="6E647D14"/>
    <w:rsid w:val="6E684EF4"/>
    <w:rsid w:val="6E6935BC"/>
    <w:rsid w:val="6E6C09B6"/>
    <w:rsid w:val="6E6F4BC0"/>
    <w:rsid w:val="6E700D11"/>
    <w:rsid w:val="6E712470"/>
    <w:rsid w:val="6E777A87"/>
    <w:rsid w:val="6E7837FF"/>
    <w:rsid w:val="6E7B0238"/>
    <w:rsid w:val="6E80181D"/>
    <w:rsid w:val="6E803ADA"/>
    <w:rsid w:val="6E812CF0"/>
    <w:rsid w:val="6E8201DA"/>
    <w:rsid w:val="6E82467D"/>
    <w:rsid w:val="6E847097"/>
    <w:rsid w:val="6E8912E4"/>
    <w:rsid w:val="6E8937F7"/>
    <w:rsid w:val="6E8B3532"/>
    <w:rsid w:val="6E8B3D8C"/>
    <w:rsid w:val="6E8C1D6D"/>
    <w:rsid w:val="6E8E36E5"/>
    <w:rsid w:val="6E9522E5"/>
    <w:rsid w:val="6E967D6B"/>
    <w:rsid w:val="6E9A5A4E"/>
    <w:rsid w:val="6EA23008"/>
    <w:rsid w:val="6EA629F5"/>
    <w:rsid w:val="6EA650A5"/>
    <w:rsid w:val="6EAA039C"/>
    <w:rsid w:val="6EAB6BCF"/>
    <w:rsid w:val="6EB22BCB"/>
    <w:rsid w:val="6EB26201"/>
    <w:rsid w:val="6EB5599A"/>
    <w:rsid w:val="6EB56801"/>
    <w:rsid w:val="6EB71F26"/>
    <w:rsid w:val="6EB90D41"/>
    <w:rsid w:val="6EBC7B8F"/>
    <w:rsid w:val="6EBF78EC"/>
    <w:rsid w:val="6EBF7C57"/>
    <w:rsid w:val="6EBF7E0D"/>
    <w:rsid w:val="6EC46A44"/>
    <w:rsid w:val="6EC559BA"/>
    <w:rsid w:val="6EC627BC"/>
    <w:rsid w:val="6EC7064B"/>
    <w:rsid w:val="6EC71234"/>
    <w:rsid w:val="6EC81378"/>
    <w:rsid w:val="6EC82EAB"/>
    <w:rsid w:val="6EC85F3C"/>
    <w:rsid w:val="6EC93824"/>
    <w:rsid w:val="6ECB0F91"/>
    <w:rsid w:val="6ECB402E"/>
    <w:rsid w:val="6ECC76A7"/>
    <w:rsid w:val="6ECF78C3"/>
    <w:rsid w:val="6ED022D0"/>
    <w:rsid w:val="6ED02D70"/>
    <w:rsid w:val="6ED342CF"/>
    <w:rsid w:val="6ED8429D"/>
    <w:rsid w:val="6ED96943"/>
    <w:rsid w:val="6EDB4DC7"/>
    <w:rsid w:val="6EDC1FE0"/>
    <w:rsid w:val="6EDC3D8E"/>
    <w:rsid w:val="6EDF1C33"/>
    <w:rsid w:val="6EDF695F"/>
    <w:rsid w:val="6EDF73DA"/>
    <w:rsid w:val="6EDF7EC6"/>
    <w:rsid w:val="6EE113A4"/>
    <w:rsid w:val="6EE25A7E"/>
    <w:rsid w:val="6EE80984"/>
    <w:rsid w:val="6EE844E0"/>
    <w:rsid w:val="6EE92007"/>
    <w:rsid w:val="6EEB3FD1"/>
    <w:rsid w:val="6EEC1F11"/>
    <w:rsid w:val="6EED4B84"/>
    <w:rsid w:val="6EEE18DD"/>
    <w:rsid w:val="6EF035FA"/>
    <w:rsid w:val="6EF06C9C"/>
    <w:rsid w:val="6EF2300D"/>
    <w:rsid w:val="6EF235B1"/>
    <w:rsid w:val="6EF41EE0"/>
    <w:rsid w:val="6EF7681F"/>
    <w:rsid w:val="6EF870FE"/>
    <w:rsid w:val="6EF966EE"/>
    <w:rsid w:val="6EFB1BC9"/>
    <w:rsid w:val="6EFC17EB"/>
    <w:rsid w:val="6EFC4FCE"/>
    <w:rsid w:val="6EFE3B7D"/>
    <w:rsid w:val="6F005C39"/>
    <w:rsid w:val="6F044EAD"/>
    <w:rsid w:val="6F045092"/>
    <w:rsid w:val="6F0521AC"/>
    <w:rsid w:val="6F052E95"/>
    <w:rsid w:val="6F0648CA"/>
    <w:rsid w:val="6F082FF2"/>
    <w:rsid w:val="6F0D64AE"/>
    <w:rsid w:val="6F0E458B"/>
    <w:rsid w:val="6F0F1D22"/>
    <w:rsid w:val="6F116467"/>
    <w:rsid w:val="6F1352D6"/>
    <w:rsid w:val="6F135AF0"/>
    <w:rsid w:val="6F15104E"/>
    <w:rsid w:val="6F15211F"/>
    <w:rsid w:val="6F1654F2"/>
    <w:rsid w:val="6F173018"/>
    <w:rsid w:val="6F1C23DC"/>
    <w:rsid w:val="6F1C7A8B"/>
    <w:rsid w:val="6F1F399F"/>
    <w:rsid w:val="6F1F3C7A"/>
    <w:rsid w:val="6F20011E"/>
    <w:rsid w:val="6F213E96"/>
    <w:rsid w:val="6F2264B6"/>
    <w:rsid w:val="6F2319BD"/>
    <w:rsid w:val="6F235519"/>
    <w:rsid w:val="6F245233"/>
    <w:rsid w:val="6F255735"/>
    <w:rsid w:val="6F2614AD"/>
    <w:rsid w:val="6F282B2F"/>
    <w:rsid w:val="6F2D283B"/>
    <w:rsid w:val="6F2D6397"/>
    <w:rsid w:val="6F2E492E"/>
    <w:rsid w:val="6F310257"/>
    <w:rsid w:val="6F321C00"/>
    <w:rsid w:val="6F35349E"/>
    <w:rsid w:val="6F35524C"/>
    <w:rsid w:val="6F3652F2"/>
    <w:rsid w:val="6F38357B"/>
    <w:rsid w:val="6F3A592B"/>
    <w:rsid w:val="6F3B465D"/>
    <w:rsid w:val="6F3B6FBD"/>
    <w:rsid w:val="6F3C2A7E"/>
    <w:rsid w:val="6F3C6291"/>
    <w:rsid w:val="6F3F5052"/>
    <w:rsid w:val="6F4003BF"/>
    <w:rsid w:val="6F411E43"/>
    <w:rsid w:val="6F424265"/>
    <w:rsid w:val="6F43235A"/>
    <w:rsid w:val="6F433BCC"/>
    <w:rsid w:val="6F444811"/>
    <w:rsid w:val="6F484F7F"/>
    <w:rsid w:val="6F4A7584"/>
    <w:rsid w:val="6F4C3EA0"/>
    <w:rsid w:val="6F4D3531"/>
    <w:rsid w:val="6F5079E2"/>
    <w:rsid w:val="6F54640F"/>
    <w:rsid w:val="6F562C47"/>
    <w:rsid w:val="6F572C2C"/>
    <w:rsid w:val="6F581532"/>
    <w:rsid w:val="6F59436A"/>
    <w:rsid w:val="6F594B85"/>
    <w:rsid w:val="6F5A4CB2"/>
    <w:rsid w:val="6F5A4D44"/>
    <w:rsid w:val="6F5D3607"/>
    <w:rsid w:val="6F6126BA"/>
    <w:rsid w:val="6F616377"/>
    <w:rsid w:val="6F6563A0"/>
    <w:rsid w:val="6F6618A9"/>
    <w:rsid w:val="6F690481"/>
    <w:rsid w:val="6F697C94"/>
    <w:rsid w:val="6F6A75EB"/>
    <w:rsid w:val="6F6B0C0B"/>
    <w:rsid w:val="6F6C1F70"/>
    <w:rsid w:val="6F6F3CAE"/>
    <w:rsid w:val="6F704DD5"/>
    <w:rsid w:val="6F71097A"/>
    <w:rsid w:val="6F712728"/>
    <w:rsid w:val="6F7154AE"/>
    <w:rsid w:val="6F760B43"/>
    <w:rsid w:val="6F775864"/>
    <w:rsid w:val="6F780769"/>
    <w:rsid w:val="6F78316E"/>
    <w:rsid w:val="6F78417D"/>
    <w:rsid w:val="6F791447"/>
    <w:rsid w:val="6F7A7103"/>
    <w:rsid w:val="6F7B39AF"/>
    <w:rsid w:val="6F7B5355"/>
    <w:rsid w:val="6F826DF1"/>
    <w:rsid w:val="6F834209"/>
    <w:rsid w:val="6F855772"/>
    <w:rsid w:val="6F860D65"/>
    <w:rsid w:val="6F891280"/>
    <w:rsid w:val="6F89488A"/>
    <w:rsid w:val="6F8A37EA"/>
    <w:rsid w:val="6F8F13F5"/>
    <w:rsid w:val="6F8F2BAE"/>
    <w:rsid w:val="6F8F7052"/>
    <w:rsid w:val="6F924300"/>
    <w:rsid w:val="6F936B31"/>
    <w:rsid w:val="6F96218E"/>
    <w:rsid w:val="6F99049D"/>
    <w:rsid w:val="6F9B4DC7"/>
    <w:rsid w:val="6F9E54E7"/>
    <w:rsid w:val="6F9E7295"/>
    <w:rsid w:val="6FA04DBB"/>
    <w:rsid w:val="6FA06B69"/>
    <w:rsid w:val="6FA26D85"/>
    <w:rsid w:val="6FA56B6C"/>
    <w:rsid w:val="6FA64AAB"/>
    <w:rsid w:val="6FA83C70"/>
    <w:rsid w:val="6FAB776F"/>
    <w:rsid w:val="6FAD74D8"/>
    <w:rsid w:val="6FAF3250"/>
    <w:rsid w:val="6FB03EF7"/>
    <w:rsid w:val="6FB0729E"/>
    <w:rsid w:val="6FB16FC8"/>
    <w:rsid w:val="6FB22D40"/>
    <w:rsid w:val="6FB31EBB"/>
    <w:rsid w:val="6FB409BE"/>
    <w:rsid w:val="6FB563EA"/>
    <w:rsid w:val="6FB66A1C"/>
    <w:rsid w:val="6FBC381A"/>
    <w:rsid w:val="6FBD0423"/>
    <w:rsid w:val="6FBD79DA"/>
    <w:rsid w:val="6FC00223"/>
    <w:rsid w:val="6FC14D32"/>
    <w:rsid w:val="6FC30C3C"/>
    <w:rsid w:val="6FC5169B"/>
    <w:rsid w:val="6FC772D4"/>
    <w:rsid w:val="6FCC795E"/>
    <w:rsid w:val="6FCF744E"/>
    <w:rsid w:val="6FD111A8"/>
    <w:rsid w:val="6FD34732"/>
    <w:rsid w:val="6FD5763E"/>
    <w:rsid w:val="6FD66A2F"/>
    <w:rsid w:val="6FD809F9"/>
    <w:rsid w:val="6FD84D69"/>
    <w:rsid w:val="6FDA4984"/>
    <w:rsid w:val="6FDB5DF3"/>
    <w:rsid w:val="6FDD4CDB"/>
    <w:rsid w:val="6FDD600F"/>
    <w:rsid w:val="6FDE3B35"/>
    <w:rsid w:val="6FE2212D"/>
    <w:rsid w:val="6FE50A20"/>
    <w:rsid w:val="6FE5261E"/>
    <w:rsid w:val="6FE5305E"/>
    <w:rsid w:val="6FE705AF"/>
    <w:rsid w:val="6FE80510"/>
    <w:rsid w:val="6FE85F9F"/>
    <w:rsid w:val="6FE938A9"/>
    <w:rsid w:val="6FEC0A99"/>
    <w:rsid w:val="6FEF5D43"/>
    <w:rsid w:val="6FF21C22"/>
    <w:rsid w:val="6FF24F26"/>
    <w:rsid w:val="6FF330B2"/>
    <w:rsid w:val="6FF369BE"/>
    <w:rsid w:val="6FF505A3"/>
    <w:rsid w:val="6FF65770"/>
    <w:rsid w:val="6FF833E2"/>
    <w:rsid w:val="6FF9096F"/>
    <w:rsid w:val="6FF965B8"/>
    <w:rsid w:val="6FFB5C1B"/>
    <w:rsid w:val="6FFD045F"/>
    <w:rsid w:val="70003AAC"/>
    <w:rsid w:val="700215D2"/>
    <w:rsid w:val="7004359C"/>
    <w:rsid w:val="70044D71"/>
    <w:rsid w:val="70057314"/>
    <w:rsid w:val="700B1339"/>
    <w:rsid w:val="700C27C9"/>
    <w:rsid w:val="700D22AE"/>
    <w:rsid w:val="70102D06"/>
    <w:rsid w:val="70130B70"/>
    <w:rsid w:val="70182405"/>
    <w:rsid w:val="701A2DBF"/>
    <w:rsid w:val="701B05B9"/>
    <w:rsid w:val="701B321F"/>
    <w:rsid w:val="701D465E"/>
    <w:rsid w:val="701E1890"/>
    <w:rsid w:val="701E3C66"/>
    <w:rsid w:val="70215C2C"/>
    <w:rsid w:val="70231548"/>
    <w:rsid w:val="7023759F"/>
    <w:rsid w:val="70241414"/>
    <w:rsid w:val="70241EE0"/>
    <w:rsid w:val="70254AB1"/>
    <w:rsid w:val="702552C0"/>
    <w:rsid w:val="702739E6"/>
    <w:rsid w:val="702A5D52"/>
    <w:rsid w:val="702A7370"/>
    <w:rsid w:val="702D024A"/>
    <w:rsid w:val="702E686B"/>
    <w:rsid w:val="702F7EED"/>
    <w:rsid w:val="703A06F5"/>
    <w:rsid w:val="703B7E4E"/>
    <w:rsid w:val="703C6146"/>
    <w:rsid w:val="70411BBE"/>
    <w:rsid w:val="70416FE8"/>
    <w:rsid w:val="70433998"/>
    <w:rsid w:val="70436C5E"/>
    <w:rsid w:val="70440FD4"/>
    <w:rsid w:val="70453900"/>
    <w:rsid w:val="704812DB"/>
    <w:rsid w:val="7048463F"/>
    <w:rsid w:val="70495916"/>
    <w:rsid w:val="70496CE8"/>
    <w:rsid w:val="704B67CC"/>
    <w:rsid w:val="704F058F"/>
    <w:rsid w:val="7053303C"/>
    <w:rsid w:val="705339AF"/>
    <w:rsid w:val="705617C0"/>
    <w:rsid w:val="70580DD0"/>
    <w:rsid w:val="705A7C83"/>
    <w:rsid w:val="705B0CE2"/>
    <w:rsid w:val="705D0C74"/>
    <w:rsid w:val="705D4A5A"/>
    <w:rsid w:val="705F2A36"/>
    <w:rsid w:val="70623AE7"/>
    <w:rsid w:val="706406DD"/>
    <w:rsid w:val="70673123"/>
    <w:rsid w:val="706A0EAE"/>
    <w:rsid w:val="706A3251"/>
    <w:rsid w:val="706B15E0"/>
    <w:rsid w:val="706D0989"/>
    <w:rsid w:val="706E4EB9"/>
    <w:rsid w:val="70700C31"/>
    <w:rsid w:val="707253E8"/>
    <w:rsid w:val="70733469"/>
    <w:rsid w:val="70741DA4"/>
    <w:rsid w:val="70751619"/>
    <w:rsid w:val="70755745"/>
    <w:rsid w:val="70765B1C"/>
    <w:rsid w:val="70785216"/>
    <w:rsid w:val="707903FB"/>
    <w:rsid w:val="7079173E"/>
    <w:rsid w:val="707A560C"/>
    <w:rsid w:val="707B1384"/>
    <w:rsid w:val="707C2004"/>
    <w:rsid w:val="707F5456"/>
    <w:rsid w:val="7082580C"/>
    <w:rsid w:val="708446DD"/>
    <w:rsid w:val="7084521C"/>
    <w:rsid w:val="70856BD9"/>
    <w:rsid w:val="70892C7C"/>
    <w:rsid w:val="708B5A6B"/>
    <w:rsid w:val="708C3591"/>
    <w:rsid w:val="708D13B9"/>
    <w:rsid w:val="709011B0"/>
    <w:rsid w:val="70921CB5"/>
    <w:rsid w:val="7093076C"/>
    <w:rsid w:val="70934920"/>
    <w:rsid w:val="70936354"/>
    <w:rsid w:val="709366CE"/>
    <w:rsid w:val="70944183"/>
    <w:rsid w:val="709C09E2"/>
    <w:rsid w:val="709C55C5"/>
    <w:rsid w:val="709E4A5F"/>
    <w:rsid w:val="709F2893"/>
    <w:rsid w:val="709F32C5"/>
    <w:rsid w:val="70A03B9F"/>
    <w:rsid w:val="70A10254"/>
    <w:rsid w:val="70A15E85"/>
    <w:rsid w:val="70A17D74"/>
    <w:rsid w:val="70A84568"/>
    <w:rsid w:val="70AB06C0"/>
    <w:rsid w:val="70AB1B08"/>
    <w:rsid w:val="70AC59E2"/>
    <w:rsid w:val="70AE175A"/>
    <w:rsid w:val="70AE3DF5"/>
    <w:rsid w:val="70AF3667"/>
    <w:rsid w:val="70AF3E88"/>
    <w:rsid w:val="70B02A6A"/>
    <w:rsid w:val="70B05C73"/>
    <w:rsid w:val="70B07280"/>
    <w:rsid w:val="70B52AE8"/>
    <w:rsid w:val="70B70FFC"/>
    <w:rsid w:val="70B766E5"/>
    <w:rsid w:val="70BA3694"/>
    <w:rsid w:val="70BD7BEF"/>
    <w:rsid w:val="70BF3385"/>
    <w:rsid w:val="70C3502C"/>
    <w:rsid w:val="70C536AB"/>
    <w:rsid w:val="70C8271B"/>
    <w:rsid w:val="70C87ECB"/>
    <w:rsid w:val="70CA35FF"/>
    <w:rsid w:val="70CB019F"/>
    <w:rsid w:val="70CB2754"/>
    <w:rsid w:val="70CC45E4"/>
    <w:rsid w:val="70CD7E32"/>
    <w:rsid w:val="70CE5958"/>
    <w:rsid w:val="70D016D0"/>
    <w:rsid w:val="70D10A62"/>
    <w:rsid w:val="70D434ED"/>
    <w:rsid w:val="70D50A94"/>
    <w:rsid w:val="70D770AA"/>
    <w:rsid w:val="70DA5D42"/>
    <w:rsid w:val="70DA6015"/>
    <w:rsid w:val="70DD3FC2"/>
    <w:rsid w:val="70DF2FD7"/>
    <w:rsid w:val="70E2757C"/>
    <w:rsid w:val="70E34865"/>
    <w:rsid w:val="70E5048C"/>
    <w:rsid w:val="70E837EB"/>
    <w:rsid w:val="70E879C2"/>
    <w:rsid w:val="70E91431"/>
    <w:rsid w:val="70E9415A"/>
    <w:rsid w:val="70EB6F9A"/>
    <w:rsid w:val="70ED2282"/>
    <w:rsid w:val="70EF10D2"/>
    <w:rsid w:val="70EF40E2"/>
    <w:rsid w:val="70EF67C2"/>
    <w:rsid w:val="70F03B20"/>
    <w:rsid w:val="70F514DC"/>
    <w:rsid w:val="70F548AB"/>
    <w:rsid w:val="70F96386"/>
    <w:rsid w:val="70FA19B0"/>
    <w:rsid w:val="70FB534E"/>
    <w:rsid w:val="70FF7809"/>
    <w:rsid w:val="7101188A"/>
    <w:rsid w:val="71022650"/>
    <w:rsid w:val="7103525E"/>
    <w:rsid w:val="71035E4D"/>
    <w:rsid w:val="71070C41"/>
    <w:rsid w:val="7107121A"/>
    <w:rsid w:val="7107536F"/>
    <w:rsid w:val="71092E34"/>
    <w:rsid w:val="71094BE2"/>
    <w:rsid w:val="710A2D55"/>
    <w:rsid w:val="710B44B6"/>
    <w:rsid w:val="710B56DB"/>
    <w:rsid w:val="710E21F8"/>
    <w:rsid w:val="710F1020"/>
    <w:rsid w:val="710F56D1"/>
    <w:rsid w:val="71107825"/>
    <w:rsid w:val="71107FA0"/>
    <w:rsid w:val="711205DD"/>
    <w:rsid w:val="71123A97"/>
    <w:rsid w:val="711315BD"/>
    <w:rsid w:val="71155335"/>
    <w:rsid w:val="711E068D"/>
    <w:rsid w:val="711E24EB"/>
    <w:rsid w:val="71200D23"/>
    <w:rsid w:val="7121200D"/>
    <w:rsid w:val="71213AE5"/>
    <w:rsid w:val="71220721"/>
    <w:rsid w:val="71220EF5"/>
    <w:rsid w:val="71221842"/>
    <w:rsid w:val="71267542"/>
    <w:rsid w:val="71290DE0"/>
    <w:rsid w:val="71325EE7"/>
    <w:rsid w:val="713559D7"/>
    <w:rsid w:val="71385C9A"/>
    <w:rsid w:val="713925E8"/>
    <w:rsid w:val="713971BD"/>
    <w:rsid w:val="713A4D9B"/>
    <w:rsid w:val="713B6F26"/>
    <w:rsid w:val="713F0A11"/>
    <w:rsid w:val="714025F2"/>
    <w:rsid w:val="714300F4"/>
    <w:rsid w:val="71434477"/>
    <w:rsid w:val="71462BA9"/>
    <w:rsid w:val="71463740"/>
    <w:rsid w:val="7147742F"/>
    <w:rsid w:val="71477B07"/>
    <w:rsid w:val="71495199"/>
    <w:rsid w:val="714B67BB"/>
    <w:rsid w:val="714C3197"/>
    <w:rsid w:val="714D7563"/>
    <w:rsid w:val="714E016F"/>
    <w:rsid w:val="714F4CEB"/>
    <w:rsid w:val="714F52AF"/>
    <w:rsid w:val="7150485D"/>
    <w:rsid w:val="7151085E"/>
    <w:rsid w:val="71564A6C"/>
    <w:rsid w:val="715670DA"/>
    <w:rsid w:val="715721C1"/>
    <w:rsid w:val="715C0B78"/>
    <w:rsid w:val="715F23C5"/>
    <w:rsid w:val="71600CA6"/>
    <w:rsid w:val="716061FF"/>
    <w:rsid w:val="716245B3"/>
    <w:rsid w:val="716532B0"/>
    <w:rsid w:val="716B764B"/>
    <w:rsid w:val="716C6DC1"/>
    <w:rsid w:val="716D0AB4"/>
    <w:rsid w:val="716F0EE9"/>
    <w:rsid w:val="716F6B00"/>
    <w:rsid w:val="71704AAF"/>
    <w:rsid w:val="717056C7"/>
    <w:rsid w:val="71706A0F"/>
    <w:rsid w:val="717268BD"/>
    <w:rsid w:val="71752277"/>
    <w:rsid w:val="717670E7"/>
    <w:rsid w:val="717A163C"/>
    <w:rsid w:val="717E7E33"/>
    <w:rsid w:val="717F53C3"/>
    <w:rsid w:val="71810C1C"/>
    <w:rsid w:val="71826B5A"/>
    <w:rsid w:val="71842B0A"/>
    <w:rsid w:val="7184767E"/>
    <w:rsid w:val="71853292"/>
    <w:rsid w:val="7187323E"/>
    <w:rsid w:val="718A7AD1"/>
    <w:rsid w:val="718C1A9B"/>
    <w:rsid w:val="718D2D18"/>
    <w:rsid w:val="718F50E7"/>
    <w:rsid w:val="71912BB1"/>
    <w:rsid w:val="71950224"/>
    <w:rsid w:val="71956476"/>
    <w:rsid w:val="7196718A"/>
    <w:rsid w:val="719721EE"/>
    <w:rsid w:val="719752D9"/>
    <w:rsid w:val="7199701D"/>
    <w:rsid w:val="719A0077"/>
    <w:rsid w:val="719B18E2"/>
    <w:rsid w:val="71A22E1F"/>
    <w:rsid w:val="71A339C3"/>
    <w:rsid w:val="71A50E8A"/>
    <w:rsid w:val="71A5284B"/>
    <w:rsid w:val="71A566B9"/>
    <w:rsid w:val="71A633FF"/>
    <w:rsid w:val="71A75801"/>
    <w:rsid w:val="71AA1F21"/>
    <w:rsid w:val="71AF7537"/>
    <w:rsid w:val="71B047FB"/>
    <w:rsid w:val="71B15270"/>
    <w:rsid w:val="71B46975"/>
    <w:rsid w:val="71B52674"/>
    <w:rsid w:val="71B72363"/>
    <w:rsid w:val="71B92164"/>
    <w:rsid w:val="71B97C16"/>
    <w:rsid w:val="71BD32DF"/>
    <w:rsid w:val="71BE3C1E"/>
    <w:rsid w:val="71BF6659"/>
    <w:rsid w:val="71C254BD"/>
    <w:rsid w:val="71C31235"/>
    <w:rsid w:val="71C42A1A"/>
    <w:rsid w:val="71C4397A"/>
    <w:rsid w:val="71C56D5B"/>
    <w:rsid w:val="71C66819"/>
    <w:rsid w:val="71C668D2"/>
    <w:rsid w:val="71C7125F"/>
    <w:rsid w:val="71CA4371"/>
    <w:rsid w:val="71CB5825"/>
    <w:rsid w:val="71CB5AA2"/>
    <w:rsid w:val="71CC34BB"/>
    <w:rsid w:val="71CD20B4"/>
    <w:rsid w:val="71CE309C"/>
    <w:rsid w:val="71D022E5"/>
    <w:rsid w:val="71D5602A"/>
    <w:rsid w:val="71D61633"/>
    <w:rsid w:val="71D62EFF"/>
    <w:rsid w:val="71D652AD"/>
    <w:rsid w:val="71D92C5E"/>
    <w:rsid w:val="71D97200"/>
    <w:rsid w:val="71DB5158"/>
    <w:rsid w:val="71DC5E53"/>
    <w:rsid w:val="71DD0E59"/>
    <w:rsid w:val="71DE64B7"/>
    <w:rsid w:val="71E01DE7"/>
    <w:rsid w:val="71E116BB"/>
    <w:rsid w:val="71E2790D"/>
    <w:rsid w:val="71E35433"/>
    <w:rsid w:val="71E371E1"/>
    <w:rsid w:val="71E755E1"/>
    <w:rsid w:val="71E847F7"/>
    <w:rsid w:val="71EA1CB0"/>
    <w:rsid w:val="71EB06FF"/>
    <w:rsid w:val="71EC06D0"/>
    <w:rsid w:val="71ED2B06"/>
    <w:rsid w:val="71EF1365"/>
    <w:rsid w:val="71F47640"/>
    <w:rsid w:val="71F66F14"/>
    <w:rsid w:val="71F82718"/>
    <w:rsid w:val="71F87130"/>
    <w:rsid w:val="71F879F0"/>
    <w:rsid w:val="71FA6539"/>
    <w:rsid w:val="71FB277D"/>
    <w:rsid w:val="71FB452B"/>
    <w:rsid w:val="71FC2504"/>
    <w:rsid w:val="71FC36C2"/>
    <w:rsid w:val="71FD4747"/>
    <w:rsid w:val="7202741E"/>
    <w:rsid w:val="7205184D"/>
    <w:rsid w:val="720553A9"/>
    <w:rsid w:val="72085364"/>
    <w:rsid w:val="720A714F"/>
    <w:rsid w:val="720C58E5"/>
    <w:rsid w:val="720E2CF2"/>
    <w:rsid w:val="72146CC5"/>
    <w:rsid w:val="721655C9"/>
    <w:rsid w:val="721C0167"/>
    <w:rsid w:val="721C461A"/>
    <w:rsid w:val="72203CCC"/>
    <w:rsid w:val="72210DBE"/>
    <w:rsid w:val="722241AD"/>
    <w:rsid w:val="72227D09"/>
    <w:rsid w:val="72233A82"/>
    <w:rsid w:val="72266C97"/>
    <w:rsid w:val="72292A73"/>
    <w:rsid w:val="722A12B4"/>
    <w:rsid w:val="722B70F5"/>
    <w:rsid w:val="722C0832"/>
    <w:rsid w:val="723034E9"/>
    <w:rsid w:val="72312642"/>
    <w:rsid w:val="72335600"/>
    <w:rsid w:val="7234129A"/>
    <w:rsid w:val="72370434"/>
    <w:rsid w:val="72391C56"/>
    <w:rsid w:val="7239220A"/>
    <w:rsid w:val="723E08BB"/>
    <w:rsid w:val="723E589A"/>
    <w:rsid w:val="72417202"/>
    <w:rsid w:val="724265FE"/>
    <w:rsid w:val="72436665"/>
    <w:rsid w:val="72473C14"/>
    <w:rsid w:val="72491374"/>
    <w:rsid w:val="724D7835"/>
    <w:rsid w:val="724F4877"/>
    <w:rsid w:val="72501AA2"/>
    <w:rsid w:val="72507619"/>
    <w:rsid w:val="72510F42"/>
    <w:rsid w:val="7252722B"/>
    <w:rsid w:val="72531363"/>
    <w:rsid w:val="72531AE1"/>
    <w:rsid w:val="72562CD2"/>
    <w:rsid w:val="72572EF3"/>
    <w:rsid w:val="72577050"/>
    <w:rsid w:val="725C6020"/>
    <w:rsid w:val="72600832"/>
    <w:rsid w:val="7262438C"/>
    <w:rsid w:val="726245AA"/>
    <w:rsid w:val="72633795"/>
    <w:rsid w:val="72634067"/>
    <w:rsid w:val="72640322"/>
    <w:rsid w:val="72651EBC"/>
    <w:rsid w:val="72673B98"/>
    <w:rsid w:val="726A2AAA"/>
    <w:rsid w:val="726C524E"/>
    <w:rsid w:val="726C5429"/>
    <w:rsid w:val="726F7FEC"/>
    <w:rsid w:val="72710C91"/>
    <w:rsid w:val="72714BAA"/>
    <w:rsid w:val="727349D0"/>
    <w:rsid w:val="7273672B"/>
    <w:rsid w:val="72746662"/>
    <w:rsid w:val="72757DB1"/>
    <w:rsid w:val="727813E9"/>
    <w:rsid w:val="72786E47"/>
    <w:rsid w:val="7278770A"/>
    <w:rsid w:val="727918F3"/>
    <w:rsid w:val="727A5D97"/>
    <w:rsid w:val="727E0E37"/>
    <w:rsid w:val="72802C82"/>
    <w:rsid w:val="72821BB0"/>
    <w:rsid w:val="728335E8"/>
    <w:rsid w:val="72841B17"/>
    <w:rsid w:val="72850298"/>
    <w:rsid w:val="72860AAC"/>
    <w:rsid w:val="72861963"/>
    <w:rsid w:val="728B1D53"/>
    <w:rsid w:val="728B4C4F"/>
    <w:rsid w:val="728C471B"/>
    <w:rsid w:val="728C6641"/>
    <w:rsid w:val="728D396E"/>
    <w:rsid w:val="728E539F"/>
    <w:rsid w:val="72934D39"/>
    <w:rsid w:val="72960637"/>
    <w:rsid w:val="729843E7"/>
    <w:rsid w:val="729A1756"/>
    <w:rsid w:val="729B5674"/>
    <w:rsid w:val="729C5DE0"/>
    <w:rsid w:val="729D1A86"/>
    <w:rsid w:val="729E6841"/>
    <w:rsid w:val="72A4298A"/>
    <w:rsid w:val="72A4786C"/>
    <w:rsid w:val="72A526E9"/>
    <w:rsid w:val="72A57DCD"/>
    <w:rsid w:val="72A72905"/>
    <w:rsid w:val="72A7312D"/>
    <w:rsid w:val="72A83B07"/>
    <w:rsid w:val="72AB21A5"/>
    <w:rsid w:val="72AC7C6E"/>
    <w:rsid w:val="72AF0710"/>
    <w:rsid w:val="72B34E05"/>
    <w:rsid w:val="72B4247F"/>
    <w:rsid w:val="72B506A1"/>
    <w:rsid w:val="72B50B7E"/>
    <w:rsid w:val="72B8241C"/>
    <w:rsid w:val="72B853C3"/>
    <w:rsid w:val="72BA0B6E"/>
    <w:rsid w:val="72BA6194"/>
    <w:rsid w:val="72BD5C84"/>
    <w:rsid w:val="72C04E41"/>
    <w:rsid w:val="72C23716"/>
    <w:rsid w:val="72C27654"/>
    <w:rsid w:val="72C2773E"/>
    <w:rsid w:val="72C377FA"/>
    <w:rsid w:val="72C62D8B"/>
    <w:rsid w:val="72C6583F"/>
    <w:rsid w:val="72C90909"/>
    <w:rsid w:val="72CB7A20"/>
    <w:rsid w:val="72CD6775"/>
    <w:rsid w:val="72CE1C3F"/>
    <w:rsid w:val="72CE60E3"/>
    <w:rsid w:val="72D00293"/>
    <w:rsid w:val="72D24ACF"/>
    <w:rsid w:val="72D325AA"/>
    <w:rsid w:val="72D32AB9"/>
    <w:rsid w:val="72D336FA"/>
    <w:rsid w:val="72D52FCE"/>
    <w:rsid w:val="72D60001"/>
    <w:rsid w:val="72D66F5A"/>
    <w:rsid w:val="72DD6326"/>
    <w:rsid w:val="72DD66F5"/>
    <w:rsid w:val="72E17BC5"/>
    <w:rsid w:val="72E256EB"/>
    <w:rsid w:val="72E26D08"/>
    <w:rsid w:val="72E42010"/>
    <w:rsid w:val="72E476B5"/>
    <w:rsid w:val="72E74AAF"/>
    <w:rsid w:val="72E8027E"/>
    <w:rsid w:val="72EB6860"/>
    <w:rsid w:val="72EC007F"/>
    <w:rsid w:val="72EC0727"/>
    <w:rsid w:val="72EC1491"/>
    <w:rsid w:val="72F01BB6"/>
    <w:rsid w:val="72F028D5"/>
    <w:rsid w:val="72F1649D"/>
    <w:rsid w:val="72F53670"/>
    <w:rsid w:val="72F71196"/>
    <w:rsid w:val="72F77D07"/>
    <w:rsid w:val="72FA0103"/>
    <w:rsid w:val="72FA493A"/>
    <w:rsid w:val="72FA6ED8"/>
    <w:rsid w:val="72FD0776"/>
    <w:rsid w:val="72FD189E"/>
    <w:rsid w:val="730218E9"/>
    <w:rsid w:val="73040267"/>
    <w:rsid w:val="730A2F2B"/>
    <w:rsid w:val="730B2E93"/>
    <w:rsid w:val="730B69EF"/>
    <w:rsid w:val="730E404D"/>
    <w:rsid w:val="731178E3"/>
    <w:rsid w:val="7313699F"/>
    <w:rsid w:val="731421C6"/>
    <w:rsid w:val="7315161C"/>
    <w:rsid w:val="73162BB4"/>
    <w:rsid w:val="73192CB3"/>
    <w:rsid w:val="731B0BDB"/>
    <w:rsid w:val="731D383A"/>
    <w:rsid w:val="731D6723"/>
    <w:rsid w:val="731F249B"/>
    <w:rsid w:val="732301DD"/>
    <w:rsid w:val="73245D03"/>
    <w:rsid w:val="732775A1"/>
    <w:rsid w:val="73283969"/>
    <w:rsid w:val="732B24E8"/>
    <w:rsid w:val="732C0596"/>
    <w:rsid w:val="732E1563"/>
    <w:rsid w:val="732E4873"/>
    <w:rsid w:val="732F669B"/>
    <w:rsid w:val="733221CE"/>
    <w:rsid w:val="73332318"/>
    <w:rsid w:val="73337E12"/>
    <w:rsid w:val="73346738"/>
    <w:rsid w:val="733608CC"/>
    <w:rsid w:val="73383726"/>
    <w:rsid w:val="73395BAF"/>
    <w:rsid w:val="733A5FB3"/>
    <w:rsid w:val="733E5017"/>
    <w:rsid w:val="733F0D8F"/>
    <w:rsid w:val="733F48EB"/>
    <w:rsid w:val="734168B5"/>
    <w:rsid w:val="73426189"/>
    <w:rsid w:val="7347308A"/>
    <w:rsid w:val="73475952"/>
    <w:rsid w:val="73487C44"/>
    <w:rsid w:val="734939BC"/>
    <w:rsid w:val="734B1B9C"/>
    <w:rsid w:val="734C360E"/>
    <w:rsid w:val="734F50AE"/>
    <w:rsid w:val="734F7FB8"/>
    <w:rsid w:val="73507F24"/>
    <w:rsid w:val="735320A9"/>
    <w:rsid w:val="73542C1A"/>
    <w:rsid w:val="735465E8"/>
    <w:rsid w:val="73591E51"/>
    <w:rsid w:val="735A0609"/>
    <w:rsid w:val="735C4F2D"/>
    <w:rsid w:val="735E1215"/>
    <w:rsid w:val="735F4A72"/>
    <w:rsid w:val="73610D05"/>
    <w:rsid w:val="736342A3"/>
    <w:rsid w:val="73642743"/>
    <w:rsid w:val="73655C2D"/>
    <w:rsid w:val="73665103"/>
    <w:rsid w:val="73681D7A"/>
    <w:rsid w:val="73683E42"/>
    <w:rsid w:val="73697BBA"/>
    <w:rsid w:val="736B3932"/>
    <w:rsid w:val="736C1266"/>
    <w:rsid w:val="736D1458"/>
    <w:rsid w:val="736E0C22"/>
    <w:rsid w:val="736F3422"/>
    <w:rsid w:val="736F7822"/>
    <w:rsid w:val="737231D6"/>
    <w:rsid w:val="73726706"/>
    <w:rsid w:val="73731315"/>
    <w:rsid w:val="73740A39"/>
    <w:rsid w:val="7376359C"/>
    <w:rsid w:val="73765D11"/>
    <w:rsid w:val="73772D8B"/>
    <w:rsid w:val="73793384"/>
    <w:rsid w:val="73794114"/>
    <w:rsid w:val="737B4D98"/>
    <w:rsid w:val="737C77CB"/>
    <w:rsid w:val="737D1AF3"/>
    <w:rsid w:val="73834F01"/>
    <w:rsid w:val="7385118A"/>
    <w:rsid w:val="73861D54"/>
    <w:rsid w:val="7386251A"/>
    <w:rsid w:val="738844E4"/>
    <w:rsid w:val="73895904"/>
    <w:rsid w:val="738B6471"/>
    <w:rsid w:val="738F5872"/>
    <w:rsid w:val="73927CFE"/>
    <w:rsid w:val="73934B26"/>
    <w:rsid w:val="73942E89"/>
    <w:rsid w:val="739437DC"/>
    <w:rsid w:val="7397233B"/>
    <w:rsid w:val="739B24E3"/>
    <w:rsid w:val="739B4217"/>
    <w:rsid w:val="739B53E3"/>
    <w:rsid w:val="739F538A"/>
    <w:rsid w:val="73A0182E"/>
    <w:rsid w:val="73A0234B"/>
    <w:rsid w:val="73A11056"/>
    <w:rsid w:val="73AC7AA8"/>
    <w:rsid w:val="73AD70AD"/>
    <w:rsid w:val="73AF35B5"/>
    <w:rsid w:val="73B34DAA"/>
    <w:rsid w:val="73B40E35"/>
    <w:rsid w:val="73B6668D"/>
    <w:rsid w:val="73B70495"/>
    <w:rsid w:val="73B928EF"/>
    <w:rsid w:val="73B974DB"/>
    <w:rsid w:val="73BA4DD1"/>
    <w:rsid w:val="73BC23E0"/>
    <w:rsid w:val="73BD03A9"/>
    <w:rsid w:val="73BE1E90"/>
    <w:rsid w:val="73BF77DA"/>
    <w:rsid w:val="73C35D2F"/>
    <w:rsid w:val="73C36AF8"/>
    <w:rsid w:val="73C44343"/>
    <w:rsid w:val="73C450C7"/>
    <w:rsid w:val="73C61077"/>
    <w:rsid w:val="73C7661F"/>
    <w:rsid w:val="73CD2B97"/>
    <w:rsid w:val="73CE2E79"/>
    <w:rsid w:val="73CE6BCB"/>
    <w:rsid w:val="73CF2113"/>
    <w:rsid w:val="73D174F2"/>
    <w:rsid w:val="73D414D7"/>
    <w:rsid w:val="73D4233E"/>
    <w:rsid w:val="73D4523C"/>
    <w:rsid w:val="73D62817"/>
    <w:rsid w:val="73DA4614"/>
    <w:rsid w:val="73DA4BFF"/>
    <w:rsid w:val="73DC4504"/>
    <w:rsid w:val="73E01C2A"/>
    <w:rsid w:val="73E21412"/>
    <w:rsid w:val="73E21E46"/>
    <w:rsid w:val="73E47E00"/>
    <w:rsid w:val="73E747FE"/>
    <w:rsid w:val="73E76F23"/>
    <w:rsid w:val="73E84F83"/>
    <w:rsid w:val="73F01250"/>
    <w:rsid w:val="73F12089"/>
    <w:rsid w:val="73F152F7"/>
    <w:rsid w:val="73F16C50"/>
    <w:rsid w:val="73F263EC"/>
    <w:rsid w:val="73F41B79"/>
    <w:rsid w:val="73F5341C"/>
    <w:rsid w:val="73F64BC3"/>
    <w:rsid w:val="73F82EA2"/>
    <w:rsid w:val="73F84386"/>
    <w:rsid w:val="73F85B5B"/>
    <w:rsid w:val="73F97190"/>
    <w:rsid w:val="73FE47A6"/>
    <w:rsid w:val="74000C22"/>
    <w:rsid w:val="740161E0"/>
    <w:rsid w:val="74024296"/>
    <w:rsid w:val="74026030"/>
    <w:rsid w:val="74035919"/>
    <w:rsid w:val="740578E3"/>
    <w:rsid w:val="74065409"/>
    <w:rsid w:val="74097195"/>
    <w:rsid w:val="740B04E1"/>
    <w:rsid w:val="740B27B8"/>
    <w:rsid w:val="740C5415"/>
    <w:rsid w:val="740E3D5D"/>
    <w:rsid w:val="74102BF5"/>
    <w:rsid w:val="74104FB0"/>
    <w:rsid w:val="741331F4"/>
    <w:rsid w:val="74160DED"/>
    <w:rsid w:val="741619FD"/>
    <w:rsid w:val="74166A12"/>
    <w:rsid w:val="74177616"/>
    <w:rsid w:val="7419513C"/>
    <w:rsid w:val="741B7D08"/>
    <w:rsid w:val="741C5549"/>
    <w:rsid w:val="741C662A"/>
    <w:rsid w:val="741E09A4"/>
    <w:rsid w:val="741E7762"/>
    <w:rsid w:val="741F45B7"/>
    <w:rsid w:val="7420296E"/>
    <w:rsid w:val="74202F0F"/>
    <w:rsid w:val="74223F88"/>
    <w:rsid w:val="742324DB"/>
    <w:rsid w:val="7426442E"/>
    <w:rsid w:val="74273CFD"/>
    <w:rsid w:val="742835D1"/>
    <w:rsid w:val="74292334"/>
    <w:rsid w:val="742B55EC"/>
    <w:rsid w:val="742D0BBB"/>
    <w:rsid w:val="743106C6"/>
    <w:rsid w:val="74321DEE"/>
    <w:rsid w:val="74347A9E"/>
    <w:rsid w:val="74370FB5"/>
    <w:rsid w:val="74381E70"/>
    <w:rsid w:val="743946A8"/>
    <w:rsid w:val="7439633A"/>
    <w:rsid w:val="743A1908"/>
    <w:rsid w:val="743C0E2B"/>
    <w:rsid w:val="744043A2"/>
    <w:rsid w:val="74411F41"/>
    <w:rsid w:val="74424693"/>
    <w:rsid w:val="7443040B"/>
    <w:rsid w:val="74446AC0"/>
    <w:rsid w:val="74454183"/>
    <w:rsid w:val="74457419"/>
    <w:rsid w:val="74485B23"/>
    <w:rsid w:val="744966C1"/>
    <w:rsid w:val="744A2189"/>
    <w:rsid w:val="744A6ED7"/>
    <w:rsid w:val="744C72C0"/>
    <w:rsid w:val="744F0B5E"/>
    <w:rsid w:val="745052AB"/>
    <w:rsid w:val="74524843"/>
    <w:rsid w:val="745258D8"/>
    <w:rsid w:val="74550C50"/>
    <w:rsid w:val="74564AE7"/>
    <w:rsid w:val="745967C2"/>
    <w:rsid w:val="745A3E4A"/>
    <w:rsid w:val="745B1903"/>
    <w:rsid w:val="745B7503"/>
    <w:rsid w:val="745C7671"/>
    <w:rsid w:val="74611D80"/>
    <w:rsid w:val="7461716C"/>
    <w:rsid w:val="74674E7F"/>
    <w:rsid w:val="746D7236"/>
    <w:rsid w:val="746F1200"/>
    <w:rsid w:val="746F5D9E"/>
    <w:rsid w:val="747009E3"/>
    <w:rsid w:val="747138B7"/>
    <w:rsid w:val="7472358F"/>
    <w:rsid w:val="747405C4"/>
    <w:rsid w:val="74744A68"/>
    <w:rsid w:val="74745CE3"/>
    <w:rsid w:val="747607E0"/>
    <w:rsid w:val="747800B5"/>
    <w:rsid w:val="74795BDB"/>
    <w:rsid w:val="747A7072"/>
    <w:rsid w:val="74820F33"/>
    <w:rsid w:val="74830E88"/>
    <w:rsid w:val="74850A24"/>
    <w:rsid w:val="748526D5"/>
    <w:rsid w:val="74880144"/>
    <w:rsid w:val="74894EF3"/>
    <w:rsid w:val="74895648"/>
    <w:rsid w:val="748A0351"/>
    <w:rsid w:val="748A18D8"/>
    <w:rsid w:val="748B71CF"/>
    <w:rsid w:val="748F408B"/>
    <w:rsid w:val="74920CF6"/>
    <w:rsid w:val="749312B1"/>
    <w:rsid w:val="749347B2"/>
    <w:rsid w:val="749649DF"/>
    <w:rsid w:val="74970563"/>
    <w:rsid w:val="7497281D"/>
    <w:rsid w:val="749731C9"/>
    <w:rsid w:val="74980757"/>
    <w:rsid w:val="749A60CA"/>
    <w:rsid w:val="749B74FC"/>
    <w:rsid w:val="749C0762"/>
    <w:rsid w:val="749D5D6D"/>
    <w:rsid w:val="74A529D7"/>
    <w:rsid w:val="74A536E0"/>
    <w:rsid w:val="74A54E21"/>
    <w:rsid w:val="74A72014"/>
    <w:rsid w:val="74A964C0"/>
    <w:rsid w:val="74AA048A"/>
    <w:rsid w:val="74AC4202"/>
    <w:rsid w:val="74AC5FB0"/>
    <w:rsid w:val="74AE3AD6"/>
    <w:rsid w:val="74AE59DA"/>
    <w:rsid w:val="74B11819"/>
    <w:rsid w:val="74B160DE"/>
    <w:rsid w:val="74B26768"/>
    <w:rsid w:val="74B310ED"/>
    <w:rsid w:val="74B530B7"/>
    <w:rsid w:val="74B63C57"/>
    <w:rsid w:val="74B75C4E"/>
    <w:rsid w:val="74B968D5"/>
    <w:rsid w:val="74BA0FD5"/>
    <w:rsid w:val="74BD4538"/>
    <w:rsid w:val="74C13EEB"/>
    <w:rsid w:val="74C55B4B"/>
    <w:rsid w:val="74C72825"/>
    <w:rsid w:val="74CA5026"/>
    <w:rsid w:val="74CA5788"/>
    <w:rsid w:val="74CB0B2C"/>
    <w:rsid w:val="74CB28DA"/>
    <w:rsid w:val="74CC659F"/>
    <w:rsid w:val="74CE36AA"/>
    <w:rsid w:val="74D56200"/>
    <w:rsid w:val="74DA0B15"/>
    <w:rsid w:val="74DA2B1D"/>
    <w:rsid w:val="74DB5323"/>
    <w:rsid w:val="74DB62F0"/>
    <w:rsid w:val="74DB6895"/>
    <w:rsid w:val="74DE21B8"/>
    <w:rsid w:val="74DF6C21"/>
    <w:rsid w:val="74E0215D"/>
    <w:rsid w:val="74E03EAC"/>
    <w:rsid w:val="74E131DB"/>
    <w:rsid w:val="74E724EC"/>
    <w:rsid w:val="74E74BD4"/>
    <w:rsid w:val="74E90FB2"/>
    <w:rsid w:val="74E92D60"/>
    <w:rsid w:val="74EA4FC7"/>
    <w:rsid w:val="74EB4160"/>
    <w:rsid w:val="74EC0AA3"/>
    <w:rsid w:val="74EC2851"/>
    <w:rsid w:val="74F26362"/>
    <w:rsid w:val="74F55BA9"/>
    <w:rsid w:val="74F6543C"/>
    <w:rsid w:val="74F76F03"/>
    <w:rsid w:val="74F83DEE"/>
    <w:rsid w:val="74F94BA3"/>
    <w:rsid w:val="74FD086C"/>
    <w:rsid w:val="74FD1921"/>
    <w:rsid w:val="74FD2A1F"/>
    <w:rsid w:val="74FE7C75"/>
    <w:rsid w:val="750162FC"/>
    <w:rsid w:val="750220FC"/>
    <w:rsid w:val="75041948"/>
    <w:rsid w:val="75046A40"/>
    <w:rsid w:val="75047B9A"/>
    <w:rsid w:val="75063912"/>
    <w:rsid w:val="750676B8"/>
    <w:rsid w:val="75080A92"/>
    <w:rsid w:val="750A0CB1"/>
    <w:rsid w:val="750A2943"/>
    <w:rsid w:val="750B31FF"/>
    <w:rsid w:val="750D2EF3"/>
    <w:rsid w:val="750E120F"/>
    <w:rsid w:val="75114065"/>
    <w:rsid w:val="75143CB6"/>
    <w:rsid w:val="75150730"/>
    <w:rsid w:val="75175143"/>
    <w:rsid w:val="75175B20"/>
    <w:rsid w:val="751865D3"/>
    <w:rsid w:val="75190078"/>
    <w:rsid w:val="751A01C1"/>
    <w:rsid w:val="751B5A58"/>
    <w:rsid w:val="751C68C3"/>
    <w:rsid w:val="752403DF"/>
    <w:rsid w:val="75253016"/>
    <w:rsid w:val="752A7E05"/>
    <w:rsid w:val="75306588"/>
    <w:rsid w:val="75312C9B"/>
    <w:rsid w:val="75315CE9"/>
    <w:rsid w:val="75330480"/>
    <w:rsid w:val="7533150D"/>
    <w:rsid w:val="7533222E"/>
    <w:rsid w:val="75334E74"/>
    <w:rsid w:val="7533674F"/>
    <w:rsid w:val="753A0622"/>
    <w:rsid w:val="753A2B30"/>
    <w:rsid w:val="753A6D9B"/>
    <w:rsid w:val="753C37D8"/>
    <w:rsid w:val="753C676E"/>
    <w:rsid w:val="753C7334"/>
    <w:rsid w:val="753F0BD2"/>
    <w:rsid w:val="754206C3"/>
    <w:rsid w:val="75426C6E"/>
    <w:rsid w:val="7545449B"/>
    <w:rsid w:val="75460907"/>
    <w:rsid w:val="75496A2B"/>
    <w:rsid w:val="754B401C"/>
    <w:rsid w:val="754B7577"/>
    <w:rsid w:val="754C28F1"/>
    <w:rsid w:val="754C6448"/>
    <w:rsid w:val="75526E59"/>
    <w:rsid w:val="755475E5"/>
    <w:rsid w:val="75555C41"/>
    <w:rsid w:val="75574EA5"/>
    <w:rsid w:val="75575526"/>
    <w:rsid w:val="75581C94"/>
    <w:rsid w:val="75642436"/>
    <w:rsid w:val="7564688B"/>
    <w:rsid w:val="756602CF"/>
    <w:rsid w:val="75660855"/>
    <w:rsid w:val="75662603"/>
    <w:rsid w:val="75690ED6"/>
    <w:rsid w:val="7569498A"/>
    <w:rsid w:val="756D1BE3"/>
    <w:rsid w:val="756D2843"/>
    <w:rsid w:val="756D649C"/>
    <w:rsid w:val="757012D6"/>
    <w:rsid w:val="75702F73"/>
    <w:rsid w:val="75765FF3"/>
    <w:rsid w:val="75795EB8"/>
    <w:rsid w:val="757C1E26"/>
    <w:rsid w:val="75811BDF"/>
    <w:rsid w:val="75824BE5"/>
    <w:rsid w:val="75826D11"/>
    <w:rsid w:val="75877F73"/>
    <w:rsid w:val="75880FCC"/>
    <w:rsid w:val="758A62EE"/>
    <w:rsid w:val="758D4EA4"/>
    <w:rsid w:val="758F6705"/>
    <w:rsid w:val="75915376"/>
    <w:rsid w:val="75915FDB"/>
    <w:rsid w:val="75917CED"/>
    <w:rsid w:val="75976C60"/>
    <w:rsid w:val="759A6860"/>
    <w:rsid w:val="759B0AE7"/>
    <w:rsid w:val="759B75AD"/>
    <w:rsid w:val="759D16D5"/>
    <w:rsid w:val="759D1E72"/>
    <w:rsid w:val="75A1363B"/>
    <w:rsid w:val="75A21C7D"/>
    <w:rsid w:val="75A24D45"/>
    <w:rsid w:val="75A27994"/>
    <w:rsid w:val="75A3343A"/>
    <w:rsid w:val="75A35605"/>
    <w:rsid w:val="75A40319"/>
    <w:rsid w:val="75A578BA"/>
    <w:rsid w:val="75A61D5A"/>
    <w:rsid w:val="75A66EA3"/>
    <w:rsid w:val="75A77847"/>
    <w:rsid w:val="75A9073C"/>
    <w:rsid w:val="75A96335"/>
    <w:rsid w:val="75A974DF"/>
    <w:rsid w:val="75AD1FE0"/>
    <w:rsid w:val="75AF3FAA"/>
    <w:rsid w:val="75B3511C"/>
    <w:rsid w:val="75B35B00"/>
    <w:rsid w:val="75B40ED9"/>
    <w:rsid w:val="75B55338"/>
    <w:rsid w:val="75B74481"/>
    <w:rsid w:val="75BD1783"/>
    <w:rsid w:val="75BD7F3E"/>
    <w:rsid w:val="75BE42F1"/>
    <w:rsid w:val="75C3416E"/>
    <w:rsid w:val="75C5557C"/>
    <w:rsid w:val="75C817BE"/>
    <w:rsid w:val="75CB6EB8"/>
    <w:rsid w:val="75D03F20"/>
    <w:rsid w:val="75D05CCE"/>
    <w:rsid w:val="75D1773C"/>
    <w:rsid w:val="75D21089"/>
    <w:rsid w:val="75D44B1A"/>
    <w:rsid w:val="75D57F4E"/>
    <w:rsid w:val="75D74ABA"/>
    <w:rsid w:val="75D8320B"/>
    <w:rsid w:val="75D91BB6"/>
    <w:rsid w:val="75D94C4A"/>
    <w:rsid w:val="75D9781B"/>
    <w:rsid w:val="75DA08FB"/>
    <w:rsid w:val="75DE03EB"/>
    <w:rsid w:val="75DE663D"/>
    <w:rsid w:val="75E21B92"/>
    <w:rsid w:val="75E3349E"/>
    <w:rsid w:val="75E65816"/>
    <w:rsid w:val="75E66401"/>
    <w:rsid w:val="75E66459"/>
    <w:rsid w:val="75E74C1F"/>
    <w:rsid w:val="75E93EAD"/>
    <w:rsid w:val="75EB0D5A"/>
    <w:rsid w:val="75EB18CD"/>
    <w:rsid w:val="75EC48A9"/>
    <w:rsid w:val="75EE4748"/>
    <w:rsid w:val="75F0011F"/>
    <w:rsid w:val="75F22484"/>
    <w:rsid w:val="75F25C45"/>
    <w:rsid w:val="75F45E61"/>
    <w:rsid w:val="75F57C88"/>
    <w:rsid w:val="75F701D3"/>
    <w:rsid w:val="75F81663"/>
    <w:rsid w:val="75FC6AF9"/>
    <w:rsid w:val="75FD5E24"/>
    <w:rsid w:val="75FE0A8D"/>
    <w:rsid w:val="75FF2C8D"/>
    <w:rsid w:val="75FF4200"/>
    <w:rsid w:val="760017AF"/>
    <w:rsid w:val="76015597"/>
    <w:rsid w:val="760360A4"/>
    <w:rsid w:val="76036970"/>
    <w:rsid w:val="760836BA"/>
    <w:rsid w:val="760A11B1"/>
    <w:rsid w:val="760A7432"/>
    <w:rsid w:val="760F4A49"/>
    <w:rsid w:val="76157B85"/>
    <w:rsid w:val="76164029"/>
    <w:rsid w:val="76191423"/>
    <w:rsid w:val="761D4C22"/>
    <w:rsid w:val="761E0EAB"/>
    <w:rsid w:val="761F73DF"/>
    <w:rsid w:val="76216828"/>
    <w:rsid w:val="762235CA"/>
    <w:rsid w:val="76236746"/>
    <w:rsid w:val="76291BD2"/>
    <w:rsid w:val="762B3D48"/>
    <w:rsid w:val="762C03C9"/>
    <w:rsid w:val="762F0C47"/>
    <w:rsid w:val="762F6E99"/>
    <w:rsid w:val="763028C2"/>
    <w:rsid w:val="7630676D"/>
    <w:rsid w:val="76307D38"/>
    <w:rsid w:val="76312F35"/>
    <w:rsid w:val="763224E5"/>
    <w:rsid w:val="76322C84"/>
    <w:rsid w:val="76342701"/>
    <w:rsid w:val="76361C8F"/>
    <w:rsid w:val="763A3F76"/>
    <w:rsid w:val="763B7EA7"/>
    <w:rsid w:val="763C54EF"/>
    <w:rsid w:val="763E2D92"/>
    <w:rsid w:val="763E597F"/>
    <w:rsid w:val="763E70DC"/>
    <w:rsid w:val="76402E54"/>
    <w:rsid w:val="76421559"/>
    <w:rsid w:val="764424B8"/>
    <w:rsid w:val="7646201B"/>
    <w:rsid w:val="764C557E"/>
    <w:rsid w:val="764D47D1"/>
    <w:rsid w:val="764E30F5"/>
    <w:rsid w:val="764F1B67"/>
    <w:rsid w:val="764F480F"/>
    <w:rsid w:val="764F64BE"/>
    <w:rsid w:val="764F7206"/>
    <w:rsid w:val="765243AF"/>
    <w:rsid w:val="7653148C"/>
    <w:rsid w:val="76544B51"/>
    <w:rsid w:val="76547324"/>
    <w:rsid w:val="76557746"/>
    <w:rsid w:val="765661D4"/>
    <w:rsid w:val="765820A3"/>
    <w:rsid w:val="765863F0"/>
    <w:rsid w:val="76595CC4"/>
    <w:rsid w:val="765B7F10"/>
    <w:rsid w:val="765D0C6F"/>
    <w:rsid w:val="76620B69"/>
    <w:rsid w:val="76634D94"/>
    <w:rsid w:val="76655B13"/>
    <w:rsid w:val="7667475E"/>
    <w:rsid w:val="76680CF1"/>
    <w:rsid w:val="76697065"/>
    <w:rsid w:val="766A7ED1"/>
    <w:rsid w:val="766B6638"/>
    <w:rsid w:val="76700A71"/>
    <w:rsid w:val="76724FD8"/>
    <w:rsid w:val="76746FA2"/>
    <w:rsid w:val="76752907"/>
    <w:rsid w:val="76767CB6"/>
    <w:rsid w:val="76794E52"/>
    <w:rsid w:val="767B3E8C"/>
    <w:rsid w:val="767B4B32"/>
    <w:rsid w:val="767D0641"/>
    <w:rsid w:val="76805946"/>
    <w:rsid w:val="76817D63"/>
    <w:rsid w:val="7682134D"/>
    <w:rsid w:val="7682521B"/>
    <w:rsid w:val="7683109C"/>
    <w:rsid w:val="76854D0B"/>
    <w:rsid w:val="768604E4"/>
    <w:rsid w:val="76870A83"/>
    <w:rsid w:val="768947FB"/>
    <w:rsid w:val="768F2682"/>
    <w:rsid w:val="768F268A"/>
    <w:rsid w:val="769136B0"/>
    <w:rsid w:val="76921006"/>
    <w:rsid w:val="76957293"/>
    <w:rsid w:val="769709A2"/>
    <w:rsid w:val="769874C9"/>
    <w:rsid w:val="769907B6"/>
    <w:rsid w:val="76992564"/>
    <w:rsid w:val="769B62DC"/>
    <w:rsid w:val="76A13992"/>
    <w:rsid w:val="76A25F09"/>
    <w:rsid w:val="76A55B76"/>
    <w:rsid w:val="76A74601"/>
    <w:rsid w:val="76AB5888"/>
    <w:rsid w:val="76AB6DEC"/>
    <w:rsid w:val="76AC673B"/>
    <w:rsid w:val="76AE0EDE"/>
    <w:rsid w:val="76AE0F04"/>
    <w:rsid w:val="76AE24B4"/>
    <w:rsid w:val="76AE6010"/>
    <w:rsid w:val="76B0642C"/>
    <w:rsid w:val="76B949B4"/>
    <w:rsid w:val="76BA4A98"/>
    <w:rsid w:val="76BB24DB"/>
    <w:rsid w:val="76BC535E"/>
    <w:rsid w:val="76BD26F7"/>
    <w:rsid w:val="76BD3E54"/>
    <w:rsid w:val="76BD44A5"/>
    <w:rsid w:val="76BD5FA4"/>
    <w:rsid w:val="76C05D43"/>
    <w:rsid w:val="76C06CCE"/>
    <w:rsid w:val="76C174E4"/>
    <w:rsid w:val="76C20247"/>
    <w:rsid w:val="76C21ABB"/>
    <w:rsid w:val="76C375E1"/>
    <w:rsid w:val="76C53359"/>
    <w:rsid w:val="76C93B58"/>
    <w:rsid w:val="76CC3D0D"/>
    <w:rsid w:val="76CC4B2A"/>
    <w:rsid w:val="76CD29F0"/>
    <w:rsid w:val="76CF7746"/>
    <w:rsid w:val="76D21D3E"/>
    <w:rsid w:val="76D50D6E"/>
    <w:rsid w:val="76D534E5"/>
    <w:rsid w:val="76D70DF5"/>
    <w:rsid w:val="76D80004"/>
    <w:rsid w:val="76E06E8B"/>
    <w:rsid w:val="76E25746"/>
    <w:rsid w:val="76E43BB8"/>
    <w:rsid w:val="76E557A9"/>
    <w:rsid w:val="76E56E2D"/>
    <w:rsid w:val="76E83614"/>
    <w:rsid w:val="76EC01D5"/>
    <w:rsid w:val="76EC46EF"/>
    <w:rsid w:val="76EC61DE"/>
    <w:rsid w:val="76EF1037"/>
    <w:rsid w:val="76F85475"/>
    <w:rsid w:val="770245AD"/>
    <w:rsid w:val="770937CE"/>
    <w:rsid w:val="770A30FC"/>
    <w:rsid w:val="770C61B4"/>
    <w:rsid w:val="770D0D85"/>
    <w:rsid w:val="770D2649"/>
    <w:rsid w:val="770E6AAE"/>
    <w:rsid w:val="771213DC"/>
    <w:rsid w:val="77126911"/>
    <w:rsid w:val="77131AFC"/>
    <w:rsid w:val="77132317"/>
    <w:rsid w:val="77136751"/>
    <w:rsid w:val="7718792D"/>
    <w:rsid w:val="771A18F7"/>
    <w:rsid w:val="771C566F"/>
    <w:rsid w:val="771D13E7"/>
    <w:rsid w:val="771D4568"/>
    <w:rsid w:val="771D7139"/>
    <w:rsid w:val="7720462A"/>
    <w:rsid w:val="77212C85"/>
    <w:rsid w:val="77230C98"/>
    <w:rsid w:val="772327F8"/>
    <w:rsid w:val="772622B3"/>
    <w:rsid w:val="77266343"/>
    <w:rsid w:val="77277D4B"/>
    <w:rsid w:val="77286DE9"/>
    <w:rsid w:val="772B58B2"/>
    <w:rsid w:val="772D7053"/>
    <w:rsid w:val="772E0EFE"/>
    <w:rsid w:val="772F0D1E"/>
    <w:rsid w:val="77306AB7"/>
    <w:rsid w:val="77343F30"/>
    <w:rsid w:val="77366005"/>
    <w:rsid w:val="77374BED"/>
    <w:rsid w:val="77375D74"/>
    <w:rsid w:val="773B361B"/>
    <w:rsid w:val="773C186D"/>
    <w:rsid w:val="773D55E5"/>
    <w:rsid w:val="773E6472"/>
    <w:rsid w:val="773E7BB3"/>
    <w:rsid w:val="774424D0"/>
    <w:rsid w:val="77444BC6"/>
    <w:rsid w:val="7746111D"/>
    <w:rsid w:val="77461551"/>
    <w:rsid w:val="7746449A"/>
    <w:rsid w:val="774B52CF"/>
    <w:rsid w:val="774B6117"/>
    <w:rsid w:val="774B7285"/>
    <w:rsid w:val="774B730C"/>
    <w:rsid w:val="774C7410"/>
    <w:rsid w:val="774E15A1"/>
    <w:rsid w:val="7751062B"/>
    <w:rsid w:val="77551288"/>
    <w:rsid w:val="775748F9"/>
    <w:rsid w:val="775766A7"/>
    <w:rsid w:val="77585C18"/>
    <w:rsid w:val="7759426C"/>
    <w:rsid w:val="775B1CAC"/>
    <w:rsid w:val="775C3CBE"/>
    <w:rsid w:val="775D016B"/>
    <w:rsid w:val="775D19FB"/>
    <w:rsid w:val="775D3592"/>
    <w:rsid w:val="775D45CC"/>
    <w:rsid w:val="775E402C"/>
    <w:rsid w:val="775E5C88"/>
    <w:rsid w:val="775F555C"/>
    <w:rsid w:val="7762482A"/>
    <w:rsid w:val="776460C1"/>
    <w:rsid w:val="77691CC9"/>
    <w:rsid w:val="77695D86"/>
    <w:rsid w:val="776C7C79"/>
    <w:rsid w:val="776D76CE"/>
    <w:rsid w:val="776F461F"/>
    <w:rsid w:val="777032C5"/>
    <w:rsid w:val="77752853"/>
    <w:rsid w:val="777917F3"/>
    <w:rsid w:val="777A0BD9"/>
    <w:rsid w:val="777B0502"/>
    <w:rsid w:val="777C33B2"/>
    <w:rsid w:val="777C6CD1"/>
    <w:rsid w:val="777D1E86"/>
    <w:rsid w:val="777E28EC"/>
    <w:rsid w:val="777E6238"/>
    <w:rsid w:val="777F5BFE"/>
    <w:rsid w:val="77820A6F"/>
    <w:rsid w:val="778356EE"/>
    <w:rsid w:val="77840F89"/>
    <w:rsid w:val="77846CDF"/>
    <w:rsid w:val="77881F42"/>
    <w:rsid w:val="778960A9"/>
    <w:rsid w:val="778C3E77"/>
    <w:rsid w:val="778D0B76"/>
    <w:rsid w:val="778D6294"/>
    <w:rsid w:val="778D78FD"/>
    <w:rsid w:val="778E33FA"/>
    <w:rsid w:val="778E5349"/>
    <w:rsid w:val="778E6C38"/>
    <w:rsid w:val="77903967"/>
    <w:rsid w:val="77905715"/>
    <w:rsid w:val="779171C4"/>
    <w:rsid w:val="77985E5E"/>
    <w:rsid w:val="7798639C"/>
    <w:rsid w:val="779C1231"/>
    <w:rsid w:val="779C40BA"/>
    <w:rsid w:val="779D4095"/>
    <w:rsid w:val="779F39A0"/>
    <w:rsid w:val="77A37E61"/>
    <w:rsid w:val="77AA4336"/>
    <w:rsid w:val="77AB4063"/>
    <w:rsid w:val="77AD4FDD"/>
    <w:rsid w:val="77B22134"/>
    <w:rsid w:val="77B22DCD"/>
    <w:rsid w:val="77B27C24"/>
    <w:rsid w:val="77B70DCC"/>
    <w:rsid w:val="77BB0B67"/>
    <w:rsid w:val="77BB3C0E"/>
    <w:rsid w:val="77BF0D29"/>
    <w:rsid w:val="77C0555A"/>
    <w:rsid w:val="77C2362B"/>
    <w:rsid w:val="77C83CDC"/>
    <w:rsid w:val="77CA3210"/>
    <w:rsid w:val="77CA4EC1"/>
    <w:rsid w:val="77CC4224"/>
    <w:rsid w:val="77CC5C78"/>
    <w:rsid w:val="77CE649F"/>
    <w:rsid w:val="77D5581E"/>
    <w:rsid w:val="77D704AF"/>
    <w:rsid w:val="77D72F08"/>
    <w:rsid w:val="77D73344"/>
    <w:rsid w:val="77D777E8"/>
    <w:rsid w:val="77D9530E"/>
    <w:rsid w:val="77DA0EB7"/>
    <w:rsid w:val="77E02B9B"/>
    <w:rsid w:val="77E048EF"/>
    <w:rsid w:val="77E10838"/>
    <w:rsid w:val="77E32D64"/>
    <w:rsid w:val="77E43CB3"/>
    <w:rsid w:val="77E5555E"/>
    <w:rsid w:val="77E85551"/>
    <w:rsid w:val="77EB5041"/>
    <w:rsid w:val="77EB6DF0"/>
    <w:rsid w:val="77F008AA"/>
    <w:rsid w:val="77F11C9F"/>
    <w:rsid w:val="77F34167"/>
    <w:rsid w:val="77F37D3B"/>
    <w:rsid w:val="77F42EB2"/>
    <w:rsid w:val="77F46E9A"/>
    <w:rsid w:val="77F779FD"/>
    <w:rsid w:val="77F80C6B"/>
    <w:rsid w:val="77F923B9"/>
    <w:rsid w:val="77F96AC5"/>
    <w:rsid w:val="77FA119B"/>
    <w:rsid w:val="77FB2E6A"/>
    <w:rsid w:val="780037E6"/>
    <w:rsid w:val="78006D3F"/>
    <w:rsid w:val="78012A39"/>
    <w:rsid w:val="78026BE5"/>
    <w:rsid w:val="78054355"/>
    <w:rsid w:val="78066D81"/>
    <w:rsid w:val="78096F14"/>
    <w:rsid w:val="780B1240"/>
    <w:rsid w:val="780D1F41"/>
    <w:rsid w:val="780D320A"/>
    <w:rsid w:val="780D41B1"/>
    <w:rsid w:val="780E4529"/>
    <w:rsid w:val="780E7D94"/>
    <w:rsid w:val="78106856"/>
    <w:rsid w:val="78110F88"/>
    <w:rsid w:val="781A1483"/>
    <w:rsid w:val="781C3334"/>
    <w:rsid w:val="781D00C9"/>
    <w:rsid w:val="781D2065"/>
    <w:rsid w:val="781E4B10"/>
    <w:rsid w:val="781E71C5"/>
    <w:rsid w:val="78202F3D"/>
    <w:rsid w:val="78216CB5"/>
    <w:rsid w:val="782234E4"/>
    <w:rsid w:val="78236AB5"/>
    <w:rsid w:val="782377C2"/>
    <w:rsid w:val="78252301"/>
    <w:rsid w:val="78267E28"/>
    <w:rsid w:val="78280044"/>
    <w:rsid w:val="782C6EB1"/>
    <w:rsid w:val="782D7408"/>
    <w:rsid w:val="782F049B"/>
    <w:rsid w:val="7830139F"/>
    <w:rsid w:val="78311AB8"/>
    <w:rsid w:val="783469E8"/>
    <w:rsid w:val="7835260B"/>
    <w:rsid w:val="78411105"/>
    <w:rsid w:val="78422750"/>
    <w:rsid w:val="78426447"/>
    <w:rsid w:val="78436C0F"/>
    <w:rsid w:val="78465777"/>
    <w:rsid w:val="78484242"/>
    <w:rsid w:val="784862A4"/>
    <w:rsid w:val="78491F11"/>
    <w:rsid w:val="78496FD5"/>
    <w:rsid w:val="784D1364"/>
    <w:rsid w:val="784F3A2A"/>
    <w:rsid w:val="7852300F"/>
    <w:rsid w:val="78544995"/>
    <w:rsid w:val="78551B30"/>
    <w:rsid w:val="78556EF6"/>
    <w:rsid w:val="785735A0"/>
    <w:rsid w:val="7857488E"/>
    <w:rsid w:val="785901FD"/>
    <w:rsid w:val="785B3F75"/>
    <w:rsid w:val="785E5212"/>
    <w:rsid w:val="78624008"/>
    <w:rsid w:val="78632E2A"/>
    <w:rsid w:val="786471CD"/>
    <w:rsid w:val="78654DF4"/>
    <w:rsid w:val="78670B6C"/>
    <w:rsid w:val="786848E4"/>
    <w:rsid w:val="786872CE"/>
    <w:rsid w:val="786A5B72"/>
    <w:rsid w:val="786B761E"/>
    <w:rsid w:val="786C3B6A"/>
    <w:rsid w:val="78705A85"/>
    <w:rsid w:val="787068ED"/>
    <w:rsid w:val="78714A90"/>
    <w:rsid w:val="78727E6D"/>
    <w:rsid w:val="78747525"/>
    <w:rsid w:val="78762B5D"/>
    <w:rsid w:val="787943FB"/>
    <w:rsid w:val="787A654A"/>
    <w:rsid w:val="788075B7"/>
    <w:rsid w:val="7882517F"/>
    <w:rsid w:val="78827E52"/>
    <w:rsid w:val="788465FD"/>
    <w:rsid w:val="78846F19"/>
    <w:rsid w:val="788A0834"/>
    <w:rsid w:val="788A2AAC"/>
    <w:rsid w:val="788C4B6A"/>
    <w:rsid w:val="788C5047"/>
    <w:rsid w:val="789254BD"/>
    <w:rsid w:val="78954206"/>
    <w:rsid w:val="78981BAF"/>
    <w:rsid w:val="789A6BE8"/>
    <w:rsid w:val="789D304F"/>
    <w:rsid w:val="789D7429"/>
    <w:rsid w:val="78A000BA"/>
    <w:rsid w:val="78A0516A"/>
    <w:rsid w:val="78A06406"/>
    <w:rsid w:val="78A1153F"/>
    <w:rsid w:val="78A305F6"/>
    <w:rsid w:val="78A30BD9"/>
    <w:rsid w:val="78A31322"/>
    <w:rsid w:val="78A376CA"/>
    <w:rsid w:val="78A51ACC"/>
    <w:rsid w:val="78A5543C"/>
    <w:rsid w:val="78A94DBA"/>
    <w:rsid w:val="78AA77B7"/>
    <w:rsid w:val="78AB4800"/>
    <w:rsid w:val="78B10039"/>
    <w:rsid w:val="78B45559"/>
    <w:rsid w:val="78B56487"/>
    <w:rsid w:val="78B638A1"/>
    <w:rsid w:val="78B73537"/>
    <w:rsid w:val="78B813C8"/>
    <w:rsid w:val="78BC77A1"/>
    <w:rsid w:val="78BE1364"/>
    <w:rsid w:val="78BF0401"/>
    <w:rsid w:val="78C102AD"/>
    <w:rsid w:val="78C1440E"/>
    <w:rsid w:val="78C23FF4"/>
    <w:rsid w:val="78C47284"/>
    <w:rsid w:val="78C516CE"/>
    <w:rsid w:val="78C65643"/>
    <w:rsid w:val="78CA10FB"/>
    <w:rsid w:val="78CB1F87"/>
    <w:rsid w:val="78CC4207"/>
    <w:rsid w:val="78D1399C"/>
    <w:rsid w:val="78D43D28"/>
    <w:rsid w:val="78D5702C"/>
    <w:rsid w:val="78D6422C"/>
    <w:rsid w:val="78D75080"/>
    <w:rsid w:val="78D925C4"/>
    <w:rsid w:val="78DD2BDC"/>
    <w:rsid w:val="78DE0DEC"/>
    <w:rsid w:val="78DE2F23"/>
    <w:rsid w:val="78E20DFA"/>
    <w:rsid w:val="78E311AF"/>
    <w:rsid w:val="78E565E6"/>
    <w:rsid w:val="78E57F6C"/>
    <w:rsid w:val="78E748E0"/>
    <w:rsid w:val="78E84C32"/>
    <w:rsid w:val="78E86D7F"/>
    <w:rsid w:val="78E953A8"/>
    <w:rsid w:val="78E96619"/>
    <w:rsid w:val="78EB16C9"/>
    <w:rsid w:val="78EC3D17"/>
    <w:rsid w:val="78F578A0"/>
    <w:rsid w:val="78F72A63"/>
    <w:rsid w:val="78F77206"/>
    <w:rsid w:val="78FF53A5"/>
    <w:rsid w:val="79035E58"/>
    <w:rsid w:val="79053EE1"/>
    <w:rsid w:val="79060E41"/>
    <w:rsid w:val="79061C08"/>
    <w:rsid w:val="79065074"/>
    <w:rsid w:val="79073098"/>
    <w:rsid w:val="790775B9"/>
    <w:rsid w:val="79091C23"/>
    <w:rsid w:val="790939D1"/>
    <w:rsid w:val="790B45EA"/>
    <w:rsid w:val="790E2B9A"/>
    <w:rsid w:val="79112F30"/>
    <w:rsid w:val="79122DEB"/>
    <w:rsid w:val="79183C14"/>
    <w:rsid w:val="7919798C"/>
    <w:rsid w:val="791B4726"/>
    <w:rsid w:val="791E4FA3"/>
    <w:rsid w:val="791E61D1"/>
    <w:rsid w:val="79211986"/>
    <w:rsid w:val="792151BF"/>
    <w:rsid w:val="79224A93"/>
    <w:rsid w:val="792348AC"/>
    <w:rsid w:val="792355C5"/>
    <w:rsid w:val="792427A7"/>
    <w:rsid w:val="79243966"/>
    <w:rsid w:val="792532AC"/>
    <w:rsid w:val="7925751A"/>
    <w:rsid w:val="79257F12"/>
    <w:rsid w:val="792720A9"/>
    <w:rsid w:val="79273E57"/>
    <w:rsid w:val="792859B1"/>
    <w:rsid w:val="792866E3"/>
    <w:rsid w:val="792C3B64"/>
    <w:rsid w:val="792C76C0"/>
    <w:rsid w:val="79311061"/>
    <w:rsid w:val="79335E8C"/>
    <w:rsid w:val="79366790"/>
    <w:rsid w:val="793712FB"/>
    <w:rsid w:val="79385410"/>
    <w:rsid w:val="793B065C"/>
    <w:rsid w:val="793D18CD"/>
    <w:rsid w:val="793D3ADF"/>
    <w:rsid w:val="793F04FE"/>
    <w:rsid w:val="793F73F3"/>
    <w:rsid w:val="79442C5B"/>
    <w:rsid w:val="794644CA"/>
    <w:rsid w:val="794909BC"/>
    <w:rsid w:val="79492020"/>
    <w:rsid w:val="79501600"/>
    <w:rsid w:val="795051C3"/>
    <w:rsid w:val="79505710"/>
    <w:rsid w:val="79565B55"/>
    <w:rsid w:val="79584684"/>
    <w:rsid w:val="7958499B"/>
    <w:rsid w:val="795A2CF9"/>
    <w:rsid w:val="795C61F7"/>
    <w:rsid w:val="795F1A52"/>
    <w:rsid w:val="796055BB"/>
    <w:rsid w:val="7961380D"/>
    <w:rsid w:val="79615944"/>
    <w:rsid w:val="796208E9"/>
    <w:rsid w:val="79642844"/>
    <w:rsid w:val="79647F07"/>
    <w:rsid w:val="79671C54"/>
    <w:rsid w:val="796926C2"/>
    <w:rsid w:val="796A0DDC"/>
    <w:rsid w:val="796A6496"/>
    <w:rsid w:val="796B468C"/>
    <w:rsid w:val="796C04E5"/>
    <w:rsid w:val="796E26C8"/>
    <w:rsid w:val="796E7CD8"/>
    <w:rsid w:val="79705DEF"/>
    <w:rsid w:val="79711576"/>
    <w:rsid w:val="79766B8D"/>
    <w:rsid w:val="797960A2"/>
    <w:rsid w:val="797A042B"/>
    <w:rsid w:val="797E3990"/>
    <w:rsid w:val="798017B9"/>
    <w:rsid w:val="798021F2"/>
    <w:rsid w:val="79836B0A"/>
    <w:rsid w:val="79894B12"/>
    <w:rsid w:val="798B075D"/>
    <w:rsid w:val="79952B92"/>
    <w:rsid w:val="79960FDD"/>
    <w:rsid w:val="7997722F"/>
    <w:rsid w:val="79984BD1"/>
    <w:rsid w:val="79994543"/>
    <w:rsid w:val="799D236B"/>
    <w:rsid w:val="799E27B4"/>
    <w:rsid w:val="799E680F"/>
    <w:rsid w:val="79A4490F"/>
    <w:rsid w:val="79A96F62"/>
    <w:rsid w:val="79AB6C35"/>
    <w:rsid w:val="79AB790B"/>
    <w:rsid w:val="79AD6A52"/>
    <w:rsid w:val="79AF588E"/>
    <w:rsid w:val="79B102D4"/>
    <w:rsid w:val="79B40D24"/>
    <w:rsid w:val="79B416E2"/>
    <w:rsid w:val="79B55907"/>
    <w:rsid w:val="79B765F5"/>
    <w:rsid w:val="79B80CEF"/>
    <w:rsid w:val="79B95C7B"/>
    <w:rsid w:val="79B9785D"/>
    <w:rsid w:val="79BD46DA"/>
    <w:rsid w:val="79BD47BC"/>
    <w:rsid w:val="79BF6786"/>
    <w:rsid w:val="79C124FE"/>
    <w:rsid w:val="79C2046E"/>
    <w:rsid w:val="79C2668F"/>
    <w:rsid w:val="79C30024"/>
    <w:rsid w:val="79C34796"/>
    <w:rsid w:val="79C70B90"/>
    <w:rsid w:val="79CB0C87"/>
    <w:rsid w:val="79CD432C"/>
    <w:rsid w:val="79D20946"/>
    <w:rsid w:val="79D25E11"/>
    <w:rsid w:val="79D319C8"/>
    <w:rsid w:val="79D33A2B"/>
    <w:rsid w:val="79D43BE1"/>
    <w:rsid w:val="79D510B7"/>
    <w:rsid w:val="79D512B7"/>
    <w:rsid w:val="79D8175C"/>
    <w:rsid w:val="79D9785A"/>
    <w:rsid w:val="79DA35C0"/>
    <w:rsid w:val="79DD3184"/>
    <w:rsid w:val="79DF2801"/>
    <w:rsid w:val="79E14685"/>
    <w:rsid w:val="79E203AB"/>
    <w:rsid w:val="79E35415"/>
    <w:rsid w:val="79E75F2E"/>
    <w:rsid w:val="79E85CDC"/>
    <w:rsid w:val="79E87A8A"/>
    <w:rsid w:val="79E9735F"/>
    <w:rsid w:val="79EB224B"/>
    <w:rsid w:val="79EC54FB"/>
    <w:rsid w:val="79EC5843"/>
    <w:rsid w:val="79ED369C"/>
    <w:rsid w:val="79EF5956"/>
    <w:rsid w:val="79F0261A"/>
    <w:rsid w:val="79F200F0"/>
    <w:rsid w:val="79F45962"/>
    <w:rsid w:val="79F521A7"/>
    <w:rsid w:val="79F530BD"/>
    <w:rsid w:val="79F53F55"/>
    <w:rsid w:val="79F8376D"/>
    <w:rsid w:val="79F9156E"/>
    <w:rsid w:val="79FB7128"/>
    <w:rsid w:val="79FC0C24"/>
    <w:rsid w:val="79FD490D"/>
    <w:rsid w:val="79FE36B6"/>
    <w:rsid w:val="79FE4C10"/>
    <w:rsid w:val="7A0B5188"/>
    <w:rsid w:val="7A0C1D06"/>
    <w:rsid w:val="7A0E47C7"/>
    <w:rsid w:val="7A13262E"/>
    <w:rsid w:val="7A15123D"/>
    <w:rsid w:val="7A19268B"/>
    <w:rsid w:val="7A1940E8"/>
    <w:rsid w:val="7A1A6B3F"/>
    <w:rsid w:val="7A217FB1"/>
    <w:rsid w:val="7A244624"/>
    <w:rsid w:val="7A262361"/>
    <w:rsid w:val="7A277702"/>
    <w:rsid w:val="7A2860D9"/>
    <w:rsid w:val="7A291E51"/>
    <w:rsid w:val="7A2C0B6E"/>
    <w:rsid w:val="7A2E3003"/>
    <w:rsid w:val="7A335A87"/>
    <w:rsid w:val="7A361C0C"/>
    <w:rsid w:val="7A3B7C05"/>
    <w:rsid w:val="7A3C3932"/>
    <w:rsid w:val="7A3E0998"/>
    <w:rsid w:val="7A3E2F83"/>
    <w:rsid w:val="7A3E76AA"/>
    <w:rsid w:val="7A4078C7"/>
    <w:rsid w:val="7A423251"/>
    <w:rsid w:val="7A425A38"/>
    <w:rsid w:val="7A463AB8"/>
    <w:rsid w:val="7A464A5D"/>
    <w:rsid w:val="7A4836AF"/>
    <w:rsid w:val="7A49604F"/>
    <w:rsid w:val="7A4A38F6"/>
    <w:rsid w:val="7A4C3137"/>
    <w:rsid w:val="7A4D2339"/>
    <w:rsid w:val="7A4E37FA"/>
    <w:rsid w:val="7A5039A1"/>
    <w:rsid w:val="7A5142FF"/>
    <w:rsid w:val="7A534623"/>
    <w:rsid w:val="7A555F56"/>
    <w:rsid w:val="7A55793A"/>
    <w:rsid w:val="7A572E56"/>
    <w:rsid w:val="7A5C3FD5"/>
    <w:rsid w:val="7A5D3449"/>
    <w:rsid w:val="7A637111"/>
    <w:rsid w:val="7A652E89"/>
    <w:rsid w:val="7A684727"/>
    <w:rsid w:val="7A6D4025"/>
    <w:rsid w:val="7A6F3B2A"/>
    <w:rsid w:val="7A6F7EB4"/>
    <w:rsid w:val="7A702DD0"/>
    <w:rsid w:val="7A715CD2"/>
    <w:rsid w:val="7A726EF5"/>
    <w:rsid w:val="7A7452F3"/>
    <w:rsid w:val="7A755C23"/>
    <w:rsid w:val="7A7607F4"/>
    <w:rsid w:val="7A774405"/>
    <w:rsid w:val="7A7B0AEF"/>
    <w:rsid w:val="7A7B1AF9"/>
    <w:rsid w:val="7A7E2D00"/>
    <w:rsid w:val="7A824F2F"/>
    <w:rsid w:val="7A8A0002"/>
    <w:rsid w:val="7A8A28F0"/>
    <w:rsid w:val="7A8B6668"/>
    <w:rsid w:val="7A8E3B73"/>
    <w:rsid w:val="7A94376E"/>
    <w:rsid w:val="7A950319"/>
    <w:rsid w:val="7A97325F"/>
    <w:rsid w:val="7A974A40"/>
    <w:rsid w:val="7A9A4E6B"/>
    <w:rsid w:val="7A9D69F8"/>
    <w:rsid w:val="7A9D7D73"/>
    <w:rsid w:val="7A9F4CE9"/>
    <w:rsid w:val="7AA13C93"/>
    <w:rsid w:val="7AA15E8B"/>
    <w:rsid w:val="7AA16381"/>
    <w:rsid w:val="7AA3688D"/>
    <w:rsid w:val="7AA5597C"/>
    <w:rsid w:val="7AA634A2"/>
    <w:rsid w:val="7AA8105B"/>
    <w:rsid w:val="7AA83683"/>
    <w:rsid w:val="7AA8546C"/>
    <w:rsid w:val="7AA86C05"/>
    <w:rsid w:val="7AA92801"/>
    <w:rsid w:val="7AAB4D1D"/>
    <w:rsid w:val="7AAB7196"/>
    <w:rsid w:val="7AAC0949"/>
    <w:rsid w:val="7AAC35A8"/>
    <w:rsid w:val="7AAF05A8"/>
    <w:rsid w:val="7AB01E15"/>
    <w:rsid w:val="7AB22D86"/>
    <w:rsid w:val="7AB45BBF"/>
    <w:rsid w:val="7AB47064"/>
    <w:rsid w:val="7AB56621"/>
    <w:rsid w:val="7AB60964"/>
    <w:rsid w:val="7AB7745D"/>
    <w:rsid w:val="7AB83901"/>
    <w:rsid w:val="7AB849B6"/>
    <w:rsid w:val="7AB97E6D"/>
    <w:rsid w:val="7ABE4C8F"/>
    <w:rsid w:val="7AC17647"/>
    <w:rsid w:val="7AC25D8D"/>
    <w:rsid w:val="7AC2652D"/>
    <w:rsid w:val="7AC357D7"/>
    <w:rsid w:val="7AC5146A"/>
    <w:rsid w:val="7AC73B44"/>
    <w:rsid w:val="7AC837A8"/>
    <w:rsid w:val="7AC940BD"/>
    <w:rsid w:val="7ACA3D38"/>
    <w:rsid w:val="7ACB3368"/>
    <w:rsid w:val="7ACC115A"/>
    <w:rsid w:val="7ACC2F08"/>
    <w:rsid w:val="7ACD0A2E"/>
    <w:rsid w:val="7ACF4AE6"/>
    <w:rsid w:val="7AD1051F"/>
    <w:rsid w:val="7AD518F0"/>
    <w:rsid w:val="7AD5266E"/>
    <w:rsid w:val="7AD74FC0"/>
    <w:rsid w:val="7AD924B1"/>
    <w:rsid w:val="7ADA3D34"/>
    <w:rsid w:val="7ADB0C07"/>
    <w:rsid w:val="7AE0544F"/>
    <w:rsid w:val="7AE213CC"/>
    <w:rsid w:val="7AE25F39"/>
    <w:rsid w:val="7AE34C88"/>
    <w:rsid w:val="7AE604B0"/>
    <w:rsid w:val="7AE70F19"/>
    <w:rsid w:val="7AE75F94"/>
    <w:rsid w:val="7AE83ABA"/>
    <w:rsid w:val="7AE853FE"/>
    <w:rsid w:val="7AE92ED8"/>
    <w:rsid w:val="7AEC1933"/>
    <w:rsid w:val="7AED76A0"/>
    <w:rsid w:val="7AEF2177"/>
    <w:rsid w:val="7AF10EC4"/>
    <w:rsid w:val="7AF15FF9"/>
    <w:rsid w:val="7AF30510"/>
    <w:rsid w:val="7AF406B1"/>
    <w:rsid w:val="7AF4420D"/>
    <w:rsid w:val="7AFC0863"/>
    <w:rsid w:val="7AFE016B"/>
    <w:rsid w:val="7B0216BD"/>
    <w:rsid w:val="7B036ACB"/>
    <w:rsid w:val="7B05003E"/>
    <w:rsid w:val="7B066FB2"/>
    <w:rsid w:val="7B095F8D"/>
    <w:rsid w:val="7B0A57DF"/>
    <w:rsid w:val="7B0E3521"/>
    <w:rsid w:val="7B1041D5"/>
    <w:rsid w:val="7B111571"/>
    <w:rsid w:val="7B1342E1"/>
    <w:rsid w:val="7B1448AF"/>
    <w:rsid w:val="7B152B01"/>
    <w:rsid w:val="7B197943"/>
    <w:rsid w:val="7B1D12C2"/>
    <w:rsid w:val="7B1F336E"/>
    <w:rsid w:val="7B2014A6"/>
    <w:rsid w:val="7B213C70"/>
    <w:rsid w:val="7B243380"/>
    <w:rsid w:val="7B252618"/>
    <w:rsid w:val="7B2C48D6"/>
    <w:rsid w:val="7B2E3D1F"/>
    <w:rsid w:val="7B302FF9"/>
    <w:rsid w:val="7B3040C7"/>
    <w:rsid w:val="7B315B6D"/>
    <w:rsid w:val="7B3411CB"/>
    <w:rsid w:val="7B3D01B3"/>
    <w:rsid w:val="7B3F0E5E"/>
    <w:rsid w:val="7B3F0F4B"/>
    <w:rsid w:val="7B3F192C"/>
    <w:rsid w:val="7B3F492D"/>
    <w:rsid w:val="7B3F72C3"/>
    <w:rsid w:val="7B4038F6"/>
    <w:rsid w:val="7B42141C"/>
    <w:rsid w:val="7B430CF1"/>
    <w:rsid w:val="7B43462F"/>
    <w:rsid w:val="7B4707E1"/>
    <w:rsid w:val="7B513A73"/>
    <w:rsid w:val="7B521D46"/>
    <w:rsid w:val="7B553327"/>
    <w:rsid w:val="7B566C76"/>
    <w:rsid w:val="7B593278"/>
    <w:rsid w:val="7B593826"/>
    <w:rsid w:val="7B5A3695"/>
    <w:rsid w:val="7B5C534E"/>
    <w:rsid w:val="7B5E6AE3"/>
    <w:rsid w:val="7B62561B"/>
    <w:rsid w:val="7B626777"/>
    <w:rsid w:val="7B630A59"/>
    <w:rsid w:val="7B687274"/>
    <w:rsid w:val="7B6E2211"/>
    <w:rsid w:val="7B75534E"/>
    <w:rsid w:val="7B780783"/>
    <w:rsid w:val="7B780D38"/>
    <w:rsid w:val="7B7913C9"/>
    <w:rsid w:val="7B7B063B"/>
    <w:rsid w:val="7B7B1CB4"/>
    <w:rsid w:val="7B7E3E42"/>
    <w:rsid w:val="7B7F124A"/>
    <w:rsid w:val="7B7F5186"/>
    <w:rsid w:val="7B7F7F7B"/>
    <w:rsid w:val="7B841A35"/>
    <w:rsid w:val="7B875283"/>
    <w:rsid w:val="7B876E2F"/>
    <w:rsid w:val="7B8D2885"/>
    <w:rsid w:val="7B8E2F52"/>
    <w:rsid w:val="7B9041FB"/>
    <w:rsid w:val="7B9164E3"/>
    <w:rsid w:val="7B937ECA"/>
    <w:rsid w:val="7B964C3D"/>
    <w:rsid w:val="7B9854E0"/>
    <w:rsid w:val="7B98728E"/>
    <w:rsid w:val="7B9C50BE"/>
    <w:rsid w:val="7BA05373"/>
    <w:rsid w:val="7BA07EF1"/>
    <w:rsid w:val="7BA1088A"/>
    <w:rsid w:val="7BA162FE"/>
    <w:rsid w:val="7BA20143"/>
    <w:rsid w:val="7BA23C69"/>
    <w:rsid w:val="7BA63759"/>
    <w:rsid w:val="7BA63EE6"/>
    <w:rsid w:val="7BA934F5"/>
    <w:rsid w:val="7BA95789"/>
    <w:rsid w:val="7BAB4A6E"/>
    <w:rsid w:val="7BAE4972"/>
    <w:rsid w:val="7BB00C9D"/>
    <w:rsid w:val="7BB07D9F"/>
    <w:rsid w:val="7BB120FE"/>
    <w:rsid w:val="7BB265A2"/>
    <w:rsid w:val="7BB340C8"/>
    <w:rsid w:val="7BB3768A"/>
    <w:rsid w:val="7BB5399C"/>
    <w:rsid w:val="7BBA02FB"/>
    <w:rsid w:val="7BBC19FB"/>
    <w:rsid w:val="7BBC256C"/>
    <w:rsid w:val="7BBD197E"/>
    <w:rsid w:val="7BC049B4"/>
    <w:rsid w:val="7BC13C07"/>
    <w:rsid w:val="7BC203DF"/>
    <w:rsid w:val="7BC40083"/>
    <w:rsid w:val="7BC819EB"/>
    <w:rsid w:val="7BCE2CB0"/>
    <w:rsid w:val="7BD125D7"/>
    <w:rsid w:val="7BD302C6"/>
    <w:rsid w:val="7BD42D6C"/>
    <w:rsid w:val="7BD4780C"/>
    <w:rsid w:val="7BDE0A0C"/>
    <w:rsid w:val="7BDE57E8"/>
    <w:rsid w:val="7BDE62A8"/>
    <w:rsid w:val="7BDF310F"/>
    <w:rsid w:val="7BE02E34"/>
    <w:rsid w:val="7BE35048"/>
    <w:rsid w:val="7BE40725"/>
    <w:rsid w:val="7BE44DAE"/>
    <w:rsid w:val="7BE67FFA"/>
    <w:rsid w:val="7BEA7D4F"/>
    <w:rsid w:val="7BED2CC8"/>
    <w:rsid w:val="7BED5740"/>
    <w:rsid w:val="7BEE611A"/>
    <w:rsid w:val="7BF0326C"/>
    <w:rsid w:val="7BF22E42"/>
    <w:rsid w:val="7BF63B38"/>
    <w:rsid w:val="7BF73FB5"/>
    <w:rsid w:val="7BF74863"/>
    <w:rsid w:val="7BF87D2D"/>
    <w:rsid w:val="7BFA69D2"/>
    <w:rsid w:val="7BFC1355"/>
    <w:rsid w:val="7BFC6208"/>
    <w:rsid w:val="7BFF2E69"/>
    <w:rsid w:val="7BFF3DDF"/>
    <w:rsid w:val="7C0146FA"/>
    <w:rsid w:val="7C0252A9"/>
    <w:rsid w:val="7C04450D"/>
    <w:rsid w:val="7C044924"/>
    <w:rsid w:val="7C0526B8"/>
    <w:rsid w:val="7C0A3B9C"/>
    <w:rsid w:val="7C0B3F04"/>
    <w:rsid w:val="7C122B9D"/>
    <w:rsid w:val="7C1508DF"/>
    <w:rsid w:val="7C1510B8"/>
    <w:rsid w:val="7C152E9F"/>
    <w:rsid w:val="7C171BC6"/>
    <w:rsid w:val="7C174C26"/>
    <w:rsid w:val="7C176405"/>
    <w:rsid w:val="7C18217D"/>
    <w:rsid w:val="7C195B55"/>
    <w:rsid w:val="7C1B48DE"/>
    <w:rsid w:val="7C1E6545"/>
    <w:rsid w:val="7C200809"/>
    <w:rsid w:val="7C2103AE"/>
    <w:rsid w:val="7C211032"/>
    <w:rsid w:val="7C225600"/>
    <w:rsid w:val="7C232E7D"/>
    <w:rsid w:val="7C236C3C"/>
    <w:rsid w:val="7C286864"/>
    <w:rsid w:val="7C29201E"/>
    <w:rsid w:val="7C2A4222"/>
    <w:rsid w:val="7C2B0102"/>
    <w:rsid w:val="7C2B6866"/>
    <w:rsid w:val="7C2C0434"/>
    <w:rsid w:val="7C2C3544"/>
    <w:rsid w:val="7C2C4F72"/>
    <w:rsid w:val="7C2E374F"/>
    <w:rsid w:val="7C372603"/>
    <w:rsid w:val="7C393F9F"/>
    <w:rsid w:val="7C3A6597"/>
    <w:rsid w:val="7C3E6ED5"/>
    <w:rsid w:val="7C3F3B33"/>
    <w:rsid w:val="7C3F3BAE"/>
    <w:rsid w:val="7C3F3CD9"/>
    <w:rsid w:val="7C3F770A"/>
    <w:rsid w:val="7C400E8E"/>
    <w:rsid w:val="7C4116D4"/>
    <w:rsid w:val="7C41507A"/>
    <w:rsid w:val="7C4371FA"/>
    <w:rsid w:val="7C46607D"/>
    <w:rsid w:val="7C475D65"/>
    <w:rsid w:val="7C492337"/>
    <w:rsid w:val="7C4A0CA0"/>
    <w:rsid w:val="7C4A67DB"/>
    <w:rsid w:val="7C4D62CB"/>
    <w:rsid w:val="7C4D6B63"/>
    <w:rsid w:val="7C4E0D5F"/>
    <w:rsid w:val="7C4E4C8C"/>
    <w:rsid w:val="7C5113ED"/>
    <w:rsid w:val="7C514068"/>
    <w:rsid w:val="7C547659"/>
    <w:rsid w:val="7C574A54"/>
    <w:rsid w:val="7C5950EA"/>
    <w:rsid w:val="7C5F1B5A"/>
    <w:rsid w:val="7C5F3142"/>
    <w:rsid w:val="7C607FF3"/>
    <w:rsid w:val="7C621B09"/>
    <w:rsid w:val="7C6303BA"/>
    <w:rsid w:val="7C634F26"/>
    <w:rsid w:val="7C635F3A"/>
    <w:rsid w:val="7C696F46"/>
    <w:rsid w:val="7C6B04FF"/>
    <w:rsid w:val="7C6B0CED"/>
    <w:rsid w:val="7C6D24C9"/>
    <w:rsid w:val="7C6F1157"/>
    <w:rsid w:val="7C773348"/>
    <w:rsid w:val="7C7E2011"/>
    <w:rsid w:val="7C7E6484"/>
    <w:rsid w:val="7C7E7A66"/>
    <w:rsid w:val="7C843B4D"/>
    <w:rsid w:val="7C8810B1"/>
    <w:rsid w:val="7C88221D"/>
    <w:rsid w:val="7C8A7F20"/>
    <w:rsid w:val="7C8C0B9E"/>
    <w:rsid w:val="7C8E31B6"/>
    <w:rsid w:val="7C8F156E"/>
    <w:rsid w:val="7C947A56"/>
    <w:rsid w:val="7C95557C"/>
    <w:rsid w:val="7C9619C8"/>
    <w:rsid w:val="7C975798"/>
    <w:rsid w:val="7C99467F"/>
    <w:rsid w:val="7C99522A"/>
    <w:rsid w:val="7C9B7036"/>
    <w:rsid w:val="7C9D00EC"/>
    <w:rsid w:val="7C9D7F46"/>
    <w:rsid w:val="7CA53A11"/>
    <w:rsid w:val="7CA83501"/>
    <w:rsid w:val="7CAA0983"/>
    <w:rsid w:val="7CAA3E05"/>
    <w:rsid w:val="7CAB4D9F"/>
    <w:rsid w:val="7CAD41E9"/>
    <w:rsid w:val="7CB023B6"/>
    <w:rsid w:val="7CB3005B"/>
    <w:rsid w:val="7CB50DE1"/>
    <w:rsid w:val="7CB56BBF"/>
    <w:rsid w:val="7CB63E70"/>
    <w:rsid w:val="7CB65C1E"/>
    <w:rsid w:val="7CB974BC"/>
    <w:rsid w:val="7CBA3C1C"/>
    <w:rsid w:val="7CBC27B6"/>
    <w:rsid w:val="7CC0265F"/>
    <w:rsid w:val="7CC16371"/>
    <w:rsid w:val="7CC23DFD"/>
    <w:rsid w:val="7CC25031"/>
    <w:rsid w:val="7CC540B3"/>
    <w:rsid w:val="7CC84945"/>
    <w:rsid w:val="7CCA1DE0"/>
    <w:rsid w:val="7CCD740C"/>
    <w:rsid w:val="7CD14C41"/>
    <w:rsid w:val="7CD24A22"/>
    <w:rsid w:val="7CD36E45"/>
    <w:rsid w:val="7CD42548"/>
    <w:rsid w:val="7CD4702A"/>
    <w:rsid w:val="7CD51E1C"/>
    <w:rsid w:val="7CD60753"/>
    <w:rsid w:val="7CD62485"/>
    <w:rsid w:val="7CD662C0"/>
    <w:rsid w:val="7CD6707B"/>
    <w:rsid w:val="7CD90186"/>
    <w:rsid w:val="7CDD1B87"/>
    <w:rsid w:val="7CDE078F"/>
    <w:rsid w:val="7CE0713F"/>
    <w:rsid w:val="7CE15036"/>
    <w:rsid w:val="7CE309DD"/>
    <w:rsid w:val="7CE420E4"/>
    <w:rsid w:val="7CE65DD7"/>
    <w:rsid w:val="7CE75F92"/>
    <w:rsid w:val="7CE86B63"/>
    <w:rsid w:val="7CEA3B1A"/>
    <w:rsid w:val="7CEC561B"/>
    <w:rsid w:val="7CEE1CDF"/>
    <w:rsid w:val="7CEF1130"/>
    <w:rsid w:val="7CEF76C0"/>
    <w:rsid w:val="7CF130FA"/>
    <w:rsid w:val="7CF3630F"/>
    <w:rsid w:val="7CF36E72"/>
    <w:rsid w:val="7CF404F4"/>
    <w:rsid w:val="7CF71406"/>
    <w:rsid w:val="7CF76237"/>
    <w:rsid w:val="7CFB24BA"/>
    <w:rsid w:val="7CFB5D27"/>
    <w:rsid w:val="7CFD4042"/>
    <w:rsid w:val="7CFD49B9"/>
    <w:rsid w:val="7D00333D"/>
    <w:rsid w:val="7D0366B0"/>
    <w:rsid w:val="7D07647A"/>
    <w:rsid w:val="7D09797F"/>
    <w:rsid w:val="7D0A056B"/>
    <w:rsid w:val="7D0A5EA3"/>
    <w:rsid w:val="7D0C3A90"/>
    <w:rsid w:val="7D0C7F34"/>
    <w:rsid w:val="7D0F3523"/>
    <w:rsid w:val="7D0F3580"/>
    <w:rsid w:val="7D0F6CD1"/>
    <w:rsid w:val="7D123619"/>
    <w:rsid w:val="7D17636B"/>
    <w:rsid w:val="7D185A54"/>
    <w:rsid w:val="7D1B37C8"/>
    <w:rsid w:val="7D1D6077"/>
    <w:rsid w:val="7D1F2D8B"/>
    <w:rsid w:val="7D2012E9"/>
    <w:rsid w:val="7D20753B"/>
    <w:rsid w:val="7D225061"/>
    <w:rsid w:val="7D230DDA"/>
    <w:rsid w:val="7D2B4FB3"/>
    <w:rsid w:val="7D2C5EE0"/>
    <w:rsid w:val="7D2D046E"/>
    <w:rsid w:val="7D2D7187"/>
    <w:rsid w:val="7D2E685E"/>
    <w:rsid w:val="7D2F59D0"/>
    <w:rsid w:val="7D311748"/>
    <w:rsid w:val="7D31799A"/>
    <w:rsid w:val="7D3361D6"/>
    <w:rsid w:val="7D343275"/>
    <w:rsid w:val="7D3445AB"/>
    <w:rsid w:val="7D3468FC"/>
    <w:rsid w:val="7D365042"/>
    <w:rsid w:val="7D366731"/>
    <w:rsid w:val="7D3905FD"/>
    <w:rsid w:val="7D3A47AA"/>
    <w:rsid w:val="7D3B041C"/>
    <w:rsid w:val="7D3B72F3"/>
    <w:rsid w:val="7D401CB4"/>
    <w:rsid w:val="7D4274B2"/>
    <w:rsid w:val="7D43322A"/>
    <w:rsid w:val="7D447364"/>
    <w:rsid w:val="7D450BB5"/>
    <w:rsid w:val="7D4704B1"/>
    <w:rsid w:val="7D476486"/>
    <w:rsid w:val="7D482418"/>
    <w:rsid w:val="7D4A0B2A"/>
    <w:rsid w:val="7D4A0F45"/>
    <w:rsid w:val="7D4B31AF"/>
    <w:rsid w:val="7D4C0002"/>
    <w:rsid w:val="7D4C7496"/>
    <w:rsid w:val="7D4D0BA1"/>
    <w:rsid w:val="7D4D649F"/>
    <w:rsid w:val="7D4F1BCF"/>
    <w:rsid w:val="7D517982"/>
    <w:rsid w:val="7D517992"/>
    <w:rsid w:val="7D537911"/>
    <w:rsid w:val="7D5564EA"/>
    <w:rsid w:val="7D574369"/>
    <w:rsid w:val="7D592A4D"/>
    <w:rsid w:val="7D597C0A"/>
    <w:rsid w:val="7D5B0573"/>
    <w:rsid w:val="7D5B22F4"/>
    <w:rsid w:val="7D612765"/>
    <w:rsid w:val="7D620317"/>
    <w:rsid w:val="7D6531A0"/>
    <w:rsid w:val="7D6534ED"/>
    <w:rsid w:val="7D667F1E"/>
    <w:rsid w:val="7D676E06"/>
    <w:rsid w:val="7D6A07B6"/>
    <w:rsid w:val="7D6C2781"/>
    <w:rsid w:val="7D6D13D1"/>
    <w:rsid w:val="7D6F401F"/>
    <w:rsid w:val="7D725683"/>
    <w:rsid w:val="7D7366D3"/>
    <w:rsid w:val="7D747887"/>
    <w:rsid w:val="7D761278"/>
    <w:rsid w:val="7D7635FF"/>
    <w:rsid w:val="7D7963D5"/>
    <w:rsid w:val="7D7D2BE0"/>
    <w:rsid w:val="7D7D498E"/>
    <w:rsid w:val="7D7F51E6"/>
    <w:rsid w:val="7D821FA4"/>
    <w:rsid w:val="7D881A1A"/>
    <w:rsid w:val="7D8E7B5B"/>
    <w:rsid w:val="7D8F646F"/>
    <w:rsid w:val="7D910439"/>
    <w:rsid w:val="7D913835"/>
    <w:rsid w:val="7D934365"/>
    <w:rsid w:val="7D935F5F"/>
    <w:rsid w:val="7D93730F"/>
    <w:rsid w:val="7D9509FF"/>
    <w:rsid w:val="7D967BE4"/>
    <w:rsid w:val="7D9A3DCA"/>
    <w:rsid w:val="7D9A6D34"/>
    <w:rsid w:val="7D9A72EE"/>
    <w:rsid w:val="7D9B5E77"/>
    <w:rsid w:val="7D9D008E"/>
    <w:rsid w:val="7D9F2260"/>
    <w:rsid w:val="7DA21434"/>
    <w:rsid w:val="7DA500D2"/>
    <w:rsid w:val="7DA513CC"/>
    <w:rsid w:val="7DAB1AA8"/>
    <w:rsid w:val="7DAB2199"/>
    <w:rsid w:val="7DAF3C2E"/>
    <w:rsid w:val="7DB13D21"/>
    <w:rsid w:val="7DB14637"/>
    <w:rsid w:val="7DB36682"/>
    <w:rsid w:val="7DB76FD2"/>
    <w:rsid w:val="7DBC3708"/>
    <w:rsid w:val="7DBD122E"/>
    <w:rsid w:val="7DBE59C9"/>
    <w:rsid w:val="7DBF4546"/>
    <w:rsid w:val="7DBF45B6"/>
    <w:rsid w:val="7DC01584"/>
    <w:rsid w:val="7DC37CA5"/>
    <w:rsid w:val="7DC66335"/>
    <w:rsid w:val="7DC85FE4"/>
    <w:rsid w:val="7DC97124"/>
    <w:rsid w:val="7DCA72FC"/>
    <w:rsid w:val="7DCE170A"/>
    <w:rsid w:val="7DCE5884"/>
    <w:rsid w:val="7DCE69B8"/>
    <w:rsid w:val="7DD120F0"/>
    <w:rsid w:val="7DD22877"/>
    <w:rsid w:val="7DD32D8D"/>
    <w:rsid w:val="7DD523BC"/>
    <w:rsid w:val="7DD81BC4"/>
    <w:rsid w:val="7DD95AE0"/>
    <w:rsid w:val="7DDA1DE0"/>
    <w:rsid w:val="7DDA5A6B"/>
    <w:rsid w:val="7DDB1BD7"/>
    <w:rsid w:val="7DDD09C9"/>
    <w:rsid w:val="7DDF77C5"/>
    <w:rsid w:val="7DE41651"/>
    <w:rsid w:val="7DE42994"/>
    <w:rsid w:val="7DE653B4"/>
    <w:rsid w:val="7DE74C5E"/>
    <w:rsid w:val="7DEC4EFA"/>
    <w:rsid w:val="7DEC566F"/>
    <w:rsid w:val="7DEE3196"/>
    <w:rsid w:val="7DEF37C6"/>
    <w:rsid w:val="7DF06F0E"/>
    <w:rsid w:val="7DF22173"/>
    <w:rsid w:val="7DF32EA2"/>
    <w:rsid w:val="7DF331DB"/>
    <w:rsid w:val="7DF5264F"/>
    <w:rsid w:val="7DF84743"/>
    <w:rsid w:val="7DF956FF"/>
    <w:rsid w:val="7DF9614F"/>
    <w:rsid w:val="7DFA5D55"/>
    <w:rsid w:val="7DFD7110"/>
    <w:rsid w:val="7DFF1847"/>
    <w:rsid w:val="7E000943"/>
    <w:rsid w:val="7E026C41"/>
    <w:rsid w:val="7E046552"/>
    <w:rsid w:val="7E046E5D"/>
    <w:rsid w:val="7E052DBB"/>
    <w:rsid w:val="7E05340D"/>
    <w:rsid w:val="7E060918"/>
    <w:rsid w:val="7E074257"/>
    <w:rsid w:val="7E0A1D1D"/>
    <w:rsid w:val="7E0A340A"/>
    <w:rsid w:val="7E0B46AE"/>
    <w:rsid w:val="7E0C7AC0"/>
    <w:rsid w:val="7E0E3E08"/>
    <w:rsid w:val="7E0E64D2"/>
    <w:rsid w:val="7E0F3402"/>
    <w:rsid w:val="7E122E40"/>
    <w:rsid w:val="7E15202D"/>
    <w:rsid w:val="7E156AA6"/>
    <w:rsid w:val="7E161957"/>
    <w:rsid w:val="7E164242"/>
    <w:rsid w:val="7E1A2A46"/>
    <w:rsid w:val="7E1B3E9D"/>
    <w:rsid w:val="7E1C3341"/>
    <w:rsid w:val="7E1D1CCD"/>
    <w:rsid w:val="7E1E56F5"/>
    <w:rsid w:val="7E1E7F1F"/>
    <w:rsid w:val="7E223CBB"/>
    <w:rsid w:val="7E266DD3"/>
    <w:rsid w:val="7E271DD0"/>
    <w:rsid w:val="7E2748F9"/>
    <w:rsid w:val="7E292823"/>
    <w:rsid w:val="7E2A0282"/>
    <w:rsid w:val="7E2C3CBE"/>
    <w:rsid w:val="7E2C54CD"/>
    <w:rsid w:val="7E2D569D"/>
    <w:rsid w:val="7E2D7EC0"/>
    <w:rsid w:val="7E300297"/>
    <w:rsid w:val="7E304D7A"/>
    <w:rsid w:val="7E322DFD"/>
    <w:rsid w:val="7E3239CA"/>
    <w:rsid w:val="7E3314F0"/>
    <w:rsid w:val="7E372D8F"/>
    <w:rsid w:val="7E385A44"/>
    <w:rsid w:val="7E394D59"/>
    <w:rsid w:val="7E3A5E1C"/>
    <w:rsid w:val="7E3C65F7"/>
    <w:rsid w:val="7E3E1799"/>
    <w:rsid w:val="7E3F4209"/>
    <w:rsid w:val="7E3F7E95"/>
    <w:rsid w:val="7E411AF4"/>
    <w:rsid w:val="7E491E00"/>
    <w:rsid w:val="7E492973"/>
    <w:rsid w:val="7E4A39A0"/>
    <w:rsid w:val="7E4A749A"/>
    <w:rsid w:val="7E4E00D8"/>
    <w:rsid w:val="7E503E50"/>
    <w:rsid w:val="7E50553E"/>
    <w:rsid w:val="7E505BFE"/>
    <w:rsid w:val="7E5202D3"/>
    <w:rsid w:val="7E532EA4"/>
    <w:rsid w:val="7E575BD6"/>
    <w:rsid w:val="7E5772D6"/>
    <w:rsid w:val="7E5D03E0"/>
    <w:rsid w:val="7E5E5C24"/>
    <w:rsid w:val="7E5F57A9"/>
    <w:rsid w:val="7E5F6E9E"/>
    <w:rsid w:val="7E602C44"/>
    <w:rsid w:val="7E650781"/>
    <w:rsid w:val="7E663674"/>
    <w:rsid w:val="7E68119A"/>
    <w:rsid w:val="7E6873EC"/>
    <w:rsid w:val="7E68780B"/>
    <w:rsid w:val="7E6A3164"/>
    <w:rsid w:val="7E6B2A38"/>
    <w:rsid w:val="7E6C5545"/>
    <w:rsid w:val="7E6D055E"/>
    <w:rsid w:val="7E723DC7"/>
    <w:rsid w:val="7E724215"/>
    <w:rsid w:val="7E74391E"/>
    <w:rsid w:val="7E750E92"/>
    <w:rsid w:val="7E762DB4"/>
    <w:rsid w:val="7E785CB9"/>
    <w:rsid w:val="7E7A0ECD"/>
    <w:rsid w:val="7E7A604F"/>
    <w:rsid w:val="7E7E3CF9"/>
    <w:rsid w:val="7E7E6C0F"/>
    <w:rsid w:val="7E7E75A1"/>
    <w:rsid w:val="7E800A2D"/>
    <w:rsid w:val="7E815E0D"/>
    <w:rsid w:val="7E835E22"/>
    <w:rsid w:val="7E8458A8"/>
    <w:rsid w:val="7E875989"/>
    <w:rsid w:val="7E885398"/>
    <w:rsid w:val="7E8A5121"/>
    <w:rsid w:val="7E8A6760"/>
    <w:rsid w:val="7E8A77B1"/>
    <w:rsid w:val="7E8F4979"/>
    <w:rsid w:val="7E8F5012"/>
    <w:rsid w:val="7E9006F1"/>
    <w:rsid w:val="7E925484"/>
    <w:rsid w:val="7E9262B9"/>
    <w:rsid w:val="7E9271C8"/>
    <w:rsid w:val="7E966C18"/>
    <w:rsid w:val="7E9800F5"/>
    <w:rsid w:val="7E9957F7"/>
    <w:rsid w:val="7E9A50CB"/>
    <w:rsid w:val="7E9B6AC9"/>
    <w:rsid w:val="7EA06B86"/>
    <w:rsid w:val="7EA1645A"/>
    <w:rsid w:val="7EA30424"/>
    <w:rsid w:val="7EA36676"/>
    <w:rsid w:val="7EA37E2C"/>
    <w:rsid w:val="7EA56780"/>
    <w:rsid w:val="7EA6685A"/>
    <w:rsid w:val="7EA67F14"/>
    <w:rsid w:val="7EA76F1D"/>
    <w:rsid w:val="7EA83C8C"/>
    <w:rsid w:val="7EA84765"/>
    <w:rsid w:val="7EA90030"/>
    <w:rsid w:val="7EAA7A04"/>
    <w:rsid w:val="7EAC4E84"/>
    <w:rsid w:val="7EAD0CDE"/>
    <w:rsid w:val="7EAD3051"/>
    <w:rsid w:val="7EAD40CE"/>
    <w:rsid w:val="7EAD4DFF"/>
    <w:rsid w:val="7EAF0B77"/>
    <w:rsid w:val="7EB268B9"/>
    <w:rsid w:val="7EB40DB1"/>
    <w:rsid w:val="7EB60DD0"/>
    <w:rsid w:val="7EB63962"/>
    <w:rsid w:val="7EB663A9"/>
    <w:rsid w:val="7EB807C8"/>
    <w:rsid w:val="7EB838C2"/>
    <w:rsid w:val="7EBB1694"/>
    <w:rsid w:val="7EBE32F3"/>
    <w:rsid w:val="7EBE525E"/>
    <w:rsid w:val="7EBF37C9"/>
    <w:rsid w:val="7EC31FF2"/>
    <w:rsid w:val="7EC3792E"/>
    <w:rsid w:val="7EC439C6"/>
    <w:rsid w:val="7EC55DD4"/>
    <w:rsid w:val="7EC576BA"/>
    <w:rsid w:val="7EC64C74"/>
    <w:rsid w:val="7EC65EC0"/>
    <w:rsid w:val="7EC6688B"/>
    <w:rsid w:val="7EC75C50"/>
    <w:rsid w:val="7EC873B0"/>
    <w:rsid w:val="7EC87E8B"/>
    <w:rsid w:val="7ECB4904"/>
    <w:rsid w:val="7ECC7863"/>
    <w:rsid w:val="7ECE16D3"/>
    <w:rsid w:val="7ED30AD2"/>
    <w:rsid w:val="7ED405DD"/>
    <w:rsid w:val="7ED6157A"/>
    <w:rsid w:val="7ED90A98"/>
    <w:rsid w:val="7EDC644C"/>
    <w:rsid w:val="7EDC7492"/>
    <w:rsid w:val="7EDE320A"/>
    <w:rsid w:val="7EE36A72"/>
    <w:rsid w:val="7EE467F9"/>
    <w:rsid w:val="7EE60311"/>
    <w:rsid w:val="7EE7398F"/>
    <w:rsid w:val="7EE86C9A"/>
    <w:rsid w:val="7EE97D42"/>
    <w:rsid w:val="7EEA0399"/>
    <w:rsid w:val="7EEB1E36"/>
    <w:rsid w:val="7EEE31C2"/>
    <w:rsid w:val="7EEF18BB"/>
    <w:rsid w:val="7EEF7C44"/>
    <w:rsid w:val="7EF0118F"/>
    <w:rsid w:val="7EF14CDF"/>
    <w:rsid w:val="7EF201E7"/>
    <w:rsid w:val="7EF339A5"/>
    <w:rsid w:val="7EF40C80"/>
    <w:rsid w:val="7EF449A9"/>
    <w:rsid w:val="7EF46244"/>
    <w:rsid w:val="7EF46ED2"/>
    <w:rsid w:val="7EF556C3"/>
    <w:rsid w:val="7EF65C63"/>
    <w:rsid w:val="7EF766B6"/>
    <w:rsid w:val="7EF96936"/>
    <w:rsid w:val="7EFB4C90"/>
    <w:rsid w:val="7EFD2986"/>
    <w:rsid w:val="7EFD72F6"/>
    <w:rsid w:val="7EFF3357"/>
    <w:rsid w:val="7F004D42"/>
    <w:rsid w:val="7F005876"/>
    <w:rsid w:val="7F010262"/>
    <w:rsid w:val="7F0215EE"/>
    <w:rsid w:val="7F062761"/>
    <w:rsid w:val="7F0703A8"/>
    <w:rsid w:val="7F0709B3"/>
    <w:rsid w:val="7F075EAB"/>
    <w:rsid w:val="7F08472B"/>
    <w:rsid w:val="7F0864D9"/>
    <w:rsid w:val="7F095899"/>
    <w:rsid w:val="7F0A434B"/>
    <w:rsid w:val="7F0B0A5C"/>
    <w:rsid w:val="7F0D4600"/>
    <w:rsid w:val="7F0E4495"/>
    <w:rsid w:val="7F0F5AB9"/>
    <w:rsid w:val="7F101EAE"/>
    <w:rsid w:val="7F137627"/>
    <w:rsid w:val="7F160BF6"/>
    <w:rsid w:val="7F1715F4"/>
    <w:rsid w:val="7F175347"/>
    <w:rsid w:val="7F17534F"/>
    <w:rsid w:val="7F181AE4"/>
    <w:rsid w:val="7F190287"/>
    <w:rsid w:val="7F19333A"/>
    <w:rsid w:val="7F1B5896"/>
    <w:rsid w:val="7F1D09E6"/>
    <w:rsid w:val="7F1D5900"/>
    <w:rsid w:val="7F1E1436"/>
    <w:rsid w:val="7F201138"/>
    <w:rsid w:val="7F207CC7"/>
    <w:rsid w:val="7F2240AA"/>
    <w:rsid w:val="7F234754"/>
    <w:rsid w:val="7F254A59"/>
    <w:rsid w:val="7F271FCF"/>
    <w:rsid w:val="7F29749B"/>
    <w:rsid w:val="7F2A0615"/>
    <w:rsid w:val="7F2B2374"/>
    <w:rsid w:val="7F2D4191"/>
    <w:rsid w:val="7F2D7CEE"/>
    <w:rsid w:val="7F323556"/>
    <w:rsid w:val="7F372876"/>
    <w:rsid w:val="7F386644"/>
    <w:rsid w:val="7F38756D"/>
    <w:rsid w:val="7F3A26F2"/>
    <w:rsid w:val="7F3C6183"/>
    <w:rsid w:val="7F3E6355"/>
    <w:rsid w:val="7F41277A"/>
    <w:rsid w:val="7F435763"/>
    <w:rsid w:val="7F467B2C"/>
    <w:rsid w:val="7F473AE0"/>
    <w:rsid w:val="7F47583B"/>
    <w:rsid w:val="7F477001"/>
    <w:rsid w:val="7F480AB5"/>
    <w:rsid w:val="7F4877D4"/>
    <w:rsid w:val="7F4D0390"/>
    <w:rsid w:val="7F4D213E"/>
    <w:rsid w:val="7F504C24"/>
    <w:rsid w:val="7F5259A6"/>
    <w:rsid w:val="7F552C9C"/>
    <w:rsid w:val="7F58120E"/>
    <w:rsid w:val="7F593EE9"/>
    <w:rsid w:val="7F597C55"/>
    <w:rsid w:val="7F5B0CFF"/>
    <w:rsid w:val="7F5B5D7F"/>
    <w:rsid w:val="7F5D66F3"/>
    <w:rsid w:val="7F5D7F57"/>
    <w:rsid w:val="7F5F7E25"/>
    <w:rsid w:val="7F604567"/>
    <w:rsid w:val="7F6206BF"/>
    <w:rsid w:val="7F62208D"/>
    <w:rsid w:val="7F6556D9"/>
    <w:rsid w:val="7F682C72"/>
    <w:rsid w:val="7F693CB9"/>
    <w:rsid w:val="7F6C7FA9"/>
    <w:rsid w:val="7F6D38A9"/>
    <w:rsid w:val="7F6F0E63"/>
    <w:rsid w:val="7F6F433B"/>
    <w:rsid w:val="7F707FB0"/>
    <w:rsid w:val="7F724BB2"/>
    <w:rsid w:val="7F761695"/>
    <w:rsid w:val="7F775037"/>
    <w:rsid w:val="7F78540D"/>
    <w:rsid w:val="7F807128"/>
    <w:rsid w:val="7F814A6A"/>
    <w:rsid w:val="7F873D31"/>
    <w:rsid w:val="7F8F3D54"/>
    <w:rsid w:val="7F931616"/>
    <w:rsid w:val="7F957552"/>
    <w:rsid w:val="7F9704E0"/>
    <w:rsid w:val="7F9A10B7"/>
    <w:rsid w:val="7F9A5E58"/>
    <w:rsid w:val="7F9E12A2"/>
    <w:rsid w:val="7F9F797B"/>
    <w:rsid w:val="7FA1528B"/>
    <w:rsid w:val="7FA426A6"/>
    <w:rsid w:val="7FA51F7A"/>
    <w:rsid w:val="7FA773CD"/>
    <w:rsid w:val="7FA77AA0"/>
    <w:rsid w:val="7FA94392"/>
    <w:rsid w:val="7FAA57E2"/>
    <w:rsid w:val="7FAB3A34"/>
    <w:rsid w:val="7FB05AA5"/>
    <w:rsid w:val="7FB4040F"/>
    <w:rsid w:val="7FB5196B"/>
    <w:rsid w:val="7FB5461B"/>
    <w:rsid w:val="7FBD72C3"/>
    <w:rsid w:val="7FC27A71"/>
    <w:rsid w:val="7FC55D23"/>
    <w:rsid w:val="7FC63C6D"/>
    <w:rsid w:val="7FC66D63"/>
    <w:rsid w:val="7FC77CA9"/>
    <w:rsid w:val="7FC82489"/>
    <w:rsid w:val="7FC87497"/>
    <w:rsid w:val="7FCB5E84"/>
    <w:rsid w:val="7FCE1433"/>
    <w:rsid w:val="7FCE327F"/>
    <w:rsid w:val="7FCE7723"/>
    <w:rsid w:val="7FD350D8"/>
    <w:rsid w:val="7FD42D0C"/>
    <w:rsid w:val="7FD5285F"/>
    <w:rsid w:val="7FD92A36"/>
    <w:rsid w:val="7FDA60C7"/>
    <w:rsid w:val="7FDC1E3F"/>
    <w:rsid w:val="7FDD02DE"/>
    <w:rsid w:val="7FDD1769"/>
    <w:rsid w:val="7FDD5BB8"/>
    <w:rsid w:val="7FDD6547"/>
    <w:rsid w:val="7FDD7966"/>
    <w:rsid w:val="7FE40CF4"/>
    <w:rsid w:val="7FE565DC"/>
    <w:rsid w:val="7FE630FB"/>
    <w:rsid w:val="7FE657FB"/>
    <w:rsid w:val="7FE65FC0"/>
    <w:rsid w:val="7FE661CF"/>
    <w:rsid w:val="7FE70C11"/>
    <w:rsid w:val="7FE8226B"/>
    <w:rsid w:val="7FE84467"/>
    <w:rsid w:val="7FE84E34"/>
    <w:rsid w:val="7FEE03A6"/>
    <w:rsid w:val="7FEE2F94"/>
    <w:rsid w:val="7FF12F08"/>
    <w:rsid w:val="7FF16F6D"/>
    <w:rsid w:val="7FF476AA"/>
    <w:rsid w:val="7FFB0761"/>
    <w:rsid w:val="7FFB7413"/>
    <w:rsid w:val="7FFE41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qFormat="1" w:unhideWhenUsed="0" w:uiPriority="99"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spacing w:line="400" w:lineRule="exact"/>
      <w:jc w:val="center"/>
      <w:outlineLvl w:val="0"/>
    </w:pPr>
    <w:rPr>
      <w:sz w:val="28"/>
    </w:rPr>
  </w:style>
  <w:style w:type="paragraph" w:styleId="4">
    <w:name w:val="heading 2"/>
    <w:basedOn w:val="1"/>
    <w:next w:val="1"/>
    <w:semiHidden/>
    <w:unhideWhenUsed/>
    <w:qFormat/>
    <w:uiPriority w:val="0"/>
    <w:pPr>
      <w:spacing w:beforeAutospacing="1" w:afterAutospacing="1"/>
      <w:jc w:val="left"/>
      <w:outlineLvl w:val="1"/>
    </w:pPr>
    <w:rPr>
      <w:rFonts w:hint="eastAsia" w:ascii="宋体" w:hAnsi="宋体" w:eastAsia="宋体" w:cs="Times New Roman"/>
      <w:b/>
      <w:bCs/>
      <w:kern w:val="0"/>
      <w:sz w:val="36"/>
      <w:szCs w:val="36"/>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paragraph" w:styleId="6">
    <w:name w:val="heading 4"/>
    <w:basedOn w:val="1"/>
    <w:next w:val="1"/>
    <w:qFormat/>
    <w:uiPriority w:val="9"/>
    <w:pPr>
      <w:keepNext/>
      <w:keepLines/>
      <w:spacing w:before="240" w:after="120"/>
      <w:jc w:val="center"/>
      <w:outlineLvl w:val="3"/>
    </w:pPr>
    <w:rPr>
      <w:rFonts w:ascii="Arial" w:hAnsi="Arial" w:eastAsia="仿宋_GB2312"/>
      <w:b/>
      <w:sz w:val="24"/>
      <w:szCs w:val="20"/>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2">
    <w:name w:val="Block Text"/>
    <w:basedOn w:val="1"/>
    <w:qFormat/>
    <w:uiPriority w:val="99"/>
    <w:pPr>
      <w:adjustRightInd w:val="0"/>
      <w:spacing w:line="500" w:lineRule="exact"/>
      <w:ind w:left="147" w:leftChars="70" w:right="160" w:rightChars="76"/>
    </w:pPr>
    <w:rPr>
      <w:rFonts w:ascii="宋体" w:hAnsi="宋体" w:cs="宋体"/>
    </w:rPr>
  </w:style>
  <w:style w:type="paragraph" w:styleId="7">
    <w:name w:val="List 3"/>
    <w:basedOn w:val="1"/>
    <w:next w:val="1"/>
    <w:qFormat/>
    <w:uiPriority w:val="0"/>
    <w:pPr>
      <w:autoSpaceDE w:val="0"/>
      <w:autoSpaceDN w:val="0"/>
      <w:adjustRightInd w:val="0"/>
      <w:spacing w:line="288" w:lineRule="auto"/>
      <w:ind w:left="1260" w:hanging="420"/>
      <w:jc w:val="left"/>
      <w:textAlignment w:val="baseline"/>
    </w:pPr>
    <w:rPr>
      <w:kern w:val="0"/>
      <w:sz w:val="24"/>
      <w:szCs w:val="20"/>
    </w:rPr>
  </w:style>
  <w:style w:type="paragraph" w:styleId="8">
    <w:name w:val="Normal Indent"/>
    <w:basedOn w:val="1"/>
    <w:next w:val="9"/>
    <w:unhideWhenUsed/>
    <w:qFormat/>
    <w:uiPriority w:val="99"/>
    <w:pPr>
      <w:ind w:firstLine="420" w:firstLineChars="200"/>
    </w:pPr>
  </w:style>
  <w:style w:type="paragraph" w:styleId="9">
    <w:name w:val="Body Text First Indent 2"/>
    <w:basedOn w:val="10"/>
    <w:next w:val="1"/>
    <w:qFormat/>
    <w:uiPriority w:val="0"/>
    <w:pPr>
      <w:ind w:firstLine="420" w:firstLineChars="200"/>
    </w:pPr>
    <w:rPr>
      <w:sz w:val="21"/>
    </w:rPr>
  </w:style>
  <w:style w:type="paragraph" w:styleId="10">
    <w:name w:val="Body Text Indent"/>
    <w:basedOn w:val="1"/>
    <w:next w:val="11"/>
    <w:qFormat/>
    <w:uiPriority w:val="0"/>
    <w:pPr>
      <w:spacing w:after="120"/>
      <w:ind w:left="420" w:leftChars="200"/>
    </w:pPr>
    <w:rPr>
      <w:kern w:val="0"/>
      <w:sz w:val="24"/>
      <w:szCs w:val="20"/>
    </w:rPr>
  </w:style>
  <w:style w:type="paragraph" w:styleId="11">
    <w:name w:val="header"/>
    <w:basedOn w:val="1"/>
    <w:next w:val="12"/>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Body Text"/>
    <w:basedOn w:val="1"/>
    <w:next w:val="13"/>
    <w:qFormat/>
    <w:uiPriority w:val="0"/>
    <w:pPr>
      <w:spacing w:after="120"/>
    </w:pPr>
    <w:rPr>
      <w:rFonts w:ascii="Calibri" w:hAnsi="Calibri" w:eastAsia="宋体" w:cs="Times New Roman"/>
    </w:rPr>
  </w:style>
  <w:style w:type="paragraph" w:customStyle="1" w:styleId="13">
    <w:name w:val="xl27"/>
    <w:basedOn w:val="1"/>
    <w:next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styleId="14">
    <w:name w:val="caption"/>
    <w:basedOn w:val="1"/>
    <w:next w:val="1"/>
    <w:qFormat/>
    <w:uiPriority w:val="0"/>
    <w:pPr>
      <w:jc w:val="center"/>
    </w:pPr>
    <w:rPr>
      <w:rFonts w:ascii="Cambria" w:hAnsi="Cambria"/>
      <w:b/>
      <w:sz w:val="24"/>
      <w:szCs w:val="20"/>
    </w:rPr>
  </w:style>
  <w:style w:type="paragraph" w:styleId="15">
    <w:name w:val="annotation text"/>
    <w:basedOn w:val="1"/>
    <w:link w:val="71"/>
    <w:qFormat/>
    <w:uiPriority w:val="0"/>
    <w:pPr>
      <w:jc w:val="left"/>
    </w:pPr>
  </w:style>
  <w:style w:type="paragraph" w:styleId="16">
    <w:name w:val="Salutation"/>
    <w:basedOn w:val="1"/>
    <w:next w:val="1"/>
    <w:qFormat/>
    <w:uiPriority w:val="0"/>
    <w:rPr>
      <w:sz w:val="28"/>
      <w:szCs w:val="20"/>
    </w:rPr>
  </w:style>
  <w:style w:type="paragraph" w:styleId="17">
    <w:name w:val="Plain Text"/>
    <w:basedOn w:val="1"/>
    <w:next w:val="16"/>
    <w:qFormat/>
    <w:uiPriority w:val="0"/>
    <w:rPr>
      <w:rFonts w:ascii="宋体" w:hAnsi="Courier New"/>
    </w:rPr>
  </w:style>
  <w:style w:type="paragraph" w:styleId="18">
    <w:name w:val="List Bullet 5"/>
    <w:basedOn w:val="1"/>
    <w:qFormat/>
    <w:uiPriority w:val="0"/>
    <w:pPr>
      <w:numPr>
        <w:ilvl w:val="0"/>
        <w:numId w:val="1"/>
      </w:numPr>
    </w:pPr>
  </w:style>
  <w:style w:type="paragraph" w:styleId="19">
    <w:name w:val="Body Text Indent 2"/>
    <w:basedOn w:val="1"/>
    <w:next w:val="9"/>
    <w:unhideWhenUsed/>
    <w:qFormat/>
    <w:uiPriority w:val="99"/>
    <w:pPr>
      <w:spacing w:after="120" w:line="480" w:lineRule="auto"/>
      <w:ind w:left="420" w:leftChars="200"/>
    </w:pPr>
  </w:style>
  <w:style w:type="paragraph" w:styleId="20">
    <w:name w:val="footer"/>
    <w:basedOn w:val="1"/>
    <w:qFormat/>
    <w:uiPriority w:val="0"/>
    <w:pPr>
      <w:tabs>
        <w:tab w:val="center" w:pos="4153"/>
        <w:tab w:val="right" w:pos="8306"/>
      </w:tabs>
      <w:snapToGrid w:val="0"/>
      <w:jc w:val="left"/>
    </w:pPr>
    <w:rPr>
      <w:sz w:val="18"/>
    </w:rPr>
  </w:style>
  <w:style w:type="paragraph" w:styleId="21">
    <w:name w:val="index heading"/>
    <w:basedOn w:val="1"/>
    <w:next w:val="22"/>
    <w:qFormat/>
    <w:uiPriority w:val="0"/>
    <w:rPr>
      <w:rFonts w:ascii="Arial" w:hAnsi="Arial"/>
      <w:b/>
    </w:rPr>
  </w:style>
  <w:style w:type="paragraph" w:styleId="22">
    <w:name w:val="index 1"/>
    <w:basedOn w:val="1"/>
    <w:next w:val="1"/>
    <w:qFormat/>
    <w:uiPriority w:val="0"/>
  </w:style>
  <w:style w:type="paragraph" w:styleId="23">
    <w:name w:val="Body Text 2"/>
    <w:basedOn w:val="1"/>
    <w:next w:val="1"/>
    <w:qFormat/>
    <w:uiPriority w:val="0"/>
    <w:pPr>
      <w:spacing w:after="120" w:line="480" w:lineRule="auto"/>
    </w:pPr>
    <w:rPr>
      <w:rFonts w:ascii="Times New Roman" w:hAnsi="Times New Roman"/>
    </w:rPr>
  </w:style>
  <w:style w:type="paragraph" w:styleId="24">
    <w:name w:val="Normal (Web)"/>
    <w:basedOn w:val="1"/>
    <w:qFormat/>
    <w:uiPriority w:val="0"/>
    <w:pPr>
      <w:widowControl/>
      <w:spacing w:before="100" w:beforeAutospacing="1" w:after="100" w:afterAutospacing="1"/>
      <w:jc w:val="left"/>
    </w:pPr>
    <w:rPr>
      <w:rFonts w:ascii="宋体" w:hAnsi="宋体" w:eastAsia="宋体" w:cs="宋体"/>
      <w:kern w:val="0"/>
      <w:sz w:val="24"/>
    </w:rPr>
  </w:style>
  <w:style w:type="paragraph" w:styleId="25">
    <w:name w:val="Title"/>
    <w:basedOn w:val="1"/>
    <w:next w:val="1"/>
    <w:qFormat/>
    <w:uiPriority w:val="0"/>
    <w:pPr>
      <w:jc w:val="center"/>
      <w:outlineLvl w:val="3"/>
    </w:pPr>
    <w:rPr>
      <w:bCs/>
      <w:szCs w:val="32"/>
    </w:rPr>
  </w:style>
  <w:style w:type="paragraph" w:styleId="26">
    <w:name w:val="annotation subject"/>
    <w:basedOn w:val="15"/>
    <w:next w:val="15"/>
    <w:link w:val="72"/>
    <w:qFormat/>
    <w:uiPriority w:val="0"/>
    <w:rPr>
      <w:b/>
      <w:bCs/>
    </w:rPr>
  </w:style>
  <w:style w:type="paragraph" w:styleId="27">
    <w:name w:val="Body Text First Indent"/>
    <w:basedOn w:val="12"/>
    <w:next w:val="1"/>
    <w:qFormat/>
    <w:uiPriority w:val="0"/>
    <w:pPr>
      <w:ind w:firstLine="420" w:firstLineChars="100"/>
    </w:pPr>
  </w:style>
  <w:style w:type="table" w:styleId="29">
    <w:name w:val="Table Grid"/>
    <w:basedOn w:val="2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uiPriority w:val="0"/>
    <w:rPr>
      <w:b/>
    </w:rPr>
  </w:style>
  <w:style w:type="character" w:styleId="32">
    <w:name w:val="Hyperlink"/>
    <w:basedOn w:val="30"/>
    <w:qFormat/>
    <w:uiPriority w:val="0"/>
    <w:rPr>
      <w:color w:val="0000FF"/>
      <w:u w:val="single"/>
    </w:rPr>
  </w:style>
  <w:style w:type="character" w:styleId="33">
    <w:name w:val="annotation reference"/>
    <w:semiHidden/>
    <w:qFormat/>
    <w:uiPriority w:val="0"/>
    <w:rPr>
      <w:sz w:val="21"/>
    </w:rPr>
  </w:style>
  <w:style w:type="paragraph" w:customStyle="1" w:styleId="34">
    <w:name w:val="Default"/>
    <w:basedOn w:val="35"/>
    <w:next w:val="36"/>
    <w:qFormat/>
    <w:uiPriority w:val="0"/>
    <w:pPr>
      <w:autoSpaceDE w:val="0"/>
      <w:autoSpaceDN w:val="0"/>
    </w:pPr>
    <w:rPr>
      <w:rFonts w:ascii="Times New Roman" w:hAnsi="Times New Roman" w:eastAsia="宋体" w:cs="Times New Roman"/>
      <w:color w:val="000000"/>
      <w:sz w:val="24"/>
      <w:szCs w:val="24"/>
    </w:rPr>
  </w:style>
  <w:style w:type="paragraph" w:customStyle="1" w:styleId="35">
    <w:name w:val="纯文本1"/>
    <w:basedOn w:val="1"/>
    <w:qFormat/>
    <w:uiPriority w:val="0"/>
    <w:pPr>
      <w:adjustRightInd w:val="0"/>
    </w:pPr>
    <w:rPr>
      <w:rFonts w:ascii="宋体" w:hAnsi="Courier New"/>
      <w:szCs w:val="20"/>
    </w:rPr>
  </w:style>
  <w:style w:type="paragraph" w:customStyle="1" w:styleId="36">
    <w:name w:val="Char Char Char Char Char Char1 Char Char Char Char"/>
    <w:basedOn w:val="1"/>
    <w:next w:val="1"/>
    <w:semiHidden/>
    <w:qFormat/>
    <w:uiPriority w:val="0"/>
    <w:pPr>
      <w:spacing w:line="360" w:lineRule="auto"/>
      <w:ind w:firstLine="200" w:firstLineChars="200"/>
    </w:pPr>
    <w:rPr>
      <w:rFonts w:ascii="宋体" w:hAnsi="宋体" w:cs="宋体"/>
      <w:szCs w:val="21"/>
    </w:rPr>
  </w:style>
  <w:style w:type="paragraph" w:customStyle="1" w:styleId="37">
    <w:name w:val="样式5"/>
    <w:basedOn w:val="38"/>
    <w:qFormat/>
    <w:uiPriority w:val="0"/>
    <w:pPr>
      <w:snapToGrid w:val="0"/>
      <w:spacing w:before="62" w:beforeLines="20" w:after="62" w:afterLines="20" w:line="480" w:lineRule="exact"/>
      <w:ind w:firstLine="523" w:firstLineChars="218"/>
      <w:jc w:val="both"/>
    </w:pPr>
    <w:rPr>
      <w:i/>
      <w:iCs/>
      <w:sz w:val="24"/>
      <w:szCs w:val="20"/>
    </w:rPr>
  </w:style>
  <w:style w:type="paragraph" w:customStyle="1" w:styleId="38">
    <w:name w:val="正文1"/>
    <w:basedOn w:val="1"/>
    <w:next w:val="1"/>
    <w:qFormat/>
    <w:uiPriority w:val="0"/>
    <w:pPr>
      <w:spacing w:line="360" w:lineRule="auto"/>
      <w:ind w:firstLine="567"/>
      <w:jc w:val="center"/>
    </w:pPr>
    <w:rPr>
      <w:sz w:val="28"/>
    </w:rPr>
  </w:style>
  <w:style w:type="paragraph" w:customStyle="1" w:styleId="39">
    <w:name w:val="A正文"/>
    <w:basedOn w:val="1"/>
    <w:next w:val="12"/>
    <w:qFormat/>
    <w:uiPriority w:val="0"/>
    <w:pPr>
      <w:widowControl/>
      <w:overflowPunct w:val="0"/>
      <w:autoSpaceDE w:val="0"/>
      <w:autoSpaceDN w:val="0"/>
      <w:jc w:val="left"/>
      <w:textAlignment w:val="baseline"/>
    </w:pPr>
  </w:style>
  <w:style w:type="paragraph" w:customStyle="1" w:styleId="40">
    <w:name w:val="1正文段落"/>
    <w:basedOn w:val="1"/>
    <w:qFormat/>
    <w:uiPriority w:val="0"/>
    <w:pPr>
      <w:spacing w:line="360" w:lineRule="auto"/>
      <w:ind w:firstLine="480" w:firstLineChars="200"/>
      <w:jc w:val="left"/>
    </w:pPr>
    <w:rPr>
      <w:snapToGrid w:val="0"/>
      <w:kern w:val="0"/>
      <w:sz w:val="24"/>
    </w:rPr>
  </w:style>
  <w:style w:type="paragraph" w:customStyle="1" w:styleId="41">
    <w:name w:val="li_正文"/>
    <w:basedOn w:val="1"/>
    <w:qFormat/>
    <w:uiPriority w:val="0"/>
    <w:pPr>
      <w:tabs>
        <w:tab w:val="left" w:pos="2340"/>
        <w:tab w:val="left" w:pos="4320"/>
      </w:tabs>
      <w:ind w:firstLine="530" w:firstLineChars="200"/>
      <w:jc w:val="left"/>
    </w:pPr>
    <w:rPr>
      <w:rFonts w:ascii="Calibri" w:hAnsi="Calibri"/>
      <w:sz w:val="28"/>
      <w:szCs w:val="28"/>
    </w:rPr>
  </w:style>
  <w:style w:type="paragraph" w:customStyle="1" w:styleId="42">
    <w:name w:val="0正文"/>
    <w:basedOn w:val="24"/>
    <w:qFormat/>
    <w:uiPriority w:val="0"/>
    <w:pPr>
      <w:spacing w:before="0" w:beforeAutospacing="0" w:after="0" w:afterAutospacing="0" w:line="360" w:lineRule="auto"/>
      <w:ind w:firstLine="482"/>
      <w:jc w:val="both"/>
    </w:pPr>
    <w:rPr>
      <w:rFonts w:ascii="Calibri" w:hAnsi="Calibri" w:eastAsia="Arial Unicode MS"/>
      <w:kern w:val="2"/>
    </w:rPr>
  </w:style>
  <w:style w:type="paragraph" w:customStyle="1" w:styleId="43">
    <w:name w:val="表格内容"/>
    <w:basedOn w:val="44"/>
    <w:next w:val="1"/>
    <w:qFormat/>
    <w:uiPriority w:val="0"/>
    <w:pPr>
      <w:spacing w:line="240" w:lineRule="atLeast"/>
    </w:pPr>
    <w:rPr>
      <w:rFonts w:eastAsia="宋体"/>
      <w:sz w:val="21"/>
    </w:rPr>
  </w:style>
  <w:style w:type="paragraph" w:customStyle="1" w:styleId="44">
    <w:name w:val="表格标题"/>
    <w:basedOn w:val="12"/>
    <w:next w:val="43"/>
    <w:qFormat/>
    <w:uiPriority w:val="0"/>
    <w:pPr>
      <w:spacing w:line="360" w:lineRule="auto"/>
      <w:jc w:val="center"/>
    </w:pPr>
    <w:rPr>
      <w:rFonts w:ascii="Times New Roman" w:hAnsi="Times New Roman" w:eastAsia="黑体"/>
      <w:sz w:val="24"/>
      <w:szCs w:val="20"/>
    </w:rPr>
  </w:style>
  <w:style w:type="paragraph" w:customStyle="1" w:styleId="45">
    <w:name w:val="列表段落1"/>
    <w:basedOn w:val="1"/>
    <w:qFormat/>
    <w:uiPriority w:val="0"/>
    <w:pPr>
      <w:ind w:firstLine="420" w:firstLineChars="200"/>
    </w:pPr>
    <w:rPr>
      <w:rFonts w:ascii="Calibri" w:hAnsi="Calibri" w:eastAsia="宋体" w:cs="Times New Roman"/>
    </w:rPr>
  </w:style>
  <w:style w:type="character" w:customStyle="1" w:styleId="46">
    <w:name w:val="font11"/>
    <w:basedOn w:val="30"/>
    <w:qFormat/>
    <w:uiPriority w:val="0"/>
    <w:rPr>
      <w:rFonts w:hint="eastAsia" w:ascii="宋体" w:hAnsi="宋体" w:eastAsia="宋体" w:cs="宋体"/>
      <w:color w:val="000000"/>
      <w:sz w:val="22"/>
      <w:szCs w:val="22"/>
      <w:u w:val="none"/>
    </w:rPr>
  </w:style>
  <w:style w:type="paragraph" w:customStyle="1" w:styleId="47">
    <w:name w:val="表内容"/>
    <w:basedOn w:val="48"/>
    <w:qFormat/>
    <w:uiPriority w:val="0"/>
    <w:pPr>
      <w:spacing w:line="360" w:lineRule="exact"/>
      <w:ind w:firstLine="0" w:firstLineChars="0"/>
      <w:jc w:val="center"/>
    </w:pPr>
    <w:rPr>
      <w:szCs w:val="21"/>
    </w:rPr>
  </w:style>
  <w:style w:type="paragraph" w:customStyle="1" w:styleId="48">
    <w:name w:val="24磅正文"/>
    <w:basedOn w:val="1"/>
    <w:qFormat/>
    <w:uiPriority w:val="0"/>
    <w:pPr>
      <w:spacing w:line="480" w:lineRule="exact"/>
      <w:ind w:firstLine="480" w:firstLineChars="200"/>
    </w:pPr>
    <w:rPr>
      <w:rFonts w:eastAsia="宋体"/>
    </w:rPr>
  </w:style>
  <w:style w:type="paragraph" w:customStyle="1" w:styleId="49">
    <w:name w:val="正文 + 仿宋_GB2312"/>
    <w:basedOn w:val="1"/>
    <w:qFormat/>
    <w:uiPriority w:val="99"/>
    <w:pPr>
      <w:ind w:firstLine="480" w:firstLineChars="200"/>
    </w:pPr>
    <w:rPr>
      <w:rFonts w:ascii="仿宋_GB2312" w:hAnsi="Calibri" w:eastAsia="仿宋_GB2312" w:cs="Times New Roman"/>
      <w:sz w:val="24"/>
    </w:rPr>
  </w:style>
  <w:style w:type="paragraph" w:customStyle="1" w:styleId="50">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51">
    <w:name w:val="胡正文"/>
    <w:basedOn w:val="1"/>
    <w:qFormat/>
    <w:uiPriority w:val="0"/>
    <w:pPr>
      <w:spacing w:line="360" w:lineRule="auto"/>
      <w:ind w:firstLine="200" w:firstLineChars="200"/>
      <w:jc w:val="left"/>
    </w:pPr>
    <w:rPr>
      <w:rFonts w:ascii="宋体" w:hAnsi="宋体"/>
      <w:sz w:val="24"/>
      <w:szCs w:val="28"/>
    </w:rPr>
  </w:style>
  <w:style w:type="paragraph" w:customStyle="1" w:styleId="52">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53">
    <w:name w:val="我的正文"/>
    <w:basedOn w:val="1"/>
    <w:qFormat/>
    <w:uiPriority w:val="0"/>
    <w:pPr>
      <w:spacing w:line="360" w:lineRule="auto"/>
      <w:ind w:firstLine="480" w:firstLineChars="200"/>
      <w:jc w:val="left"/>
    </w:pPr>
    <w:rPr>
      <w:rFonts w:hAnsi="宋体"/>
      <w:bCs/>
      <w:kern w:val="44"/>
      <w:sz w:val="24"/>
    </w:rPr>
  </w:style>
  <w:style w:type="paragraph" w:customStyle="1" w:styleId="54">
    <w:name w:val="环科院正文"/>
    <w:basedOn w:val="1"/>
    <w:semiHidden/>
    <w:qFormat/>
    <w:uiPriority w:val="0"/>
    <w:pPr>
      <w:tabs>
        <w:tab w:val="left" w:pos="5760"/>
      </w:tabs>
      <w:spacing w:line="500" w:lineRule="exact"/>
      <w:ind w:firstLine="480" w:firstLineChars="200"/>
    </w:pPr>
    <w:rPr>
      <w:rFonts w:hAnsi="宋体"/>
      <w:bCs/>
      <w:snapToGrid w:val="0"/>
      <w:kern w:val="0"/>
      <w:sz w:val="24"/>
      <w:u w:color="000000"/>
      <w:lang w:val="zh-CN"/>
    </w:rPr>
  </w:style>
  <w:style w:type="paragraph" w:customStyle="1" w:styleId="55">
    <w:name w:val="文字"/>
    <w:basedOn w:val="1"/>
    <w:qFormat/>
    <w:uiPriority w:val="0"/>
    <w:pPr>
      <w:spacing w:line="360" w:lineRule="auto"/>
    </w:pPr>
  </w:style>
  <w:style w:type="paragraph" w:customStyle="1" w:styleId="56">
    <w:name w:val="fu正文"/>
    <w:basedOn w:val="1"/>
    <w:qFormat/>
    <w:uiPriority w:val="0"/>
    <w:pPr>
      <w:spacing w:line="360" w:lineRule="auto"/>
      <w:ind w:firstLine="200" w:firstLineChars="200"/>
    </w:pPr>
    <w:rPr>
      <w:rFonts w:ascii="宋体" w:hAnsi="宋体" w:eastAsia="宋体" w:cs="Times New Roman"/>
      <w:color w:val="000000"/>
      <w:sz w:val="24"/>
    </w:rPr>
  </w:style>
  <w:style w:type="paragraph" w:customStyle="1" w:styleId="57">
    <w:name w:val="正文修改"/>
    <w:basedOn w:val="1"/>
    <w:qFormat/>
    <w:uiPriority w:val="0"/>
    <w:pPr>
      <w:spacing w:line="360" w:lineRule="auto"/>
      <w:ind w:firstLine="480" w:firstLineChars="200"/>
    </w:pPr>
    <w:rPr>
      <w:rFonts w:cs="宋体"/>
      <w:kern w:val="0"/>
      <w:sz w:val="24"/>
    </w:rPr>
  </w:style>
  <w:style w:type="paragraph" w:customStyle="1" w:styleId="58">
    <w:name w:val="正本文字"/>
    <w:basedOn w:val="1"/>
    <w:qFormat/>
    <w:uiPriority w:val="0"/>
    <w:pPr>
      <w:adjustRightInd w:val="0"/>
      <w:snapToGrid w:val="0"/>
      <w:spacing w:line="360" w:lineRule="auto"/>
      <w:ind w:firstLine="480" w:firstLineChars="200"/>
      <w:jc w:val="left"/>
    </w:pPr>
    <w:rPr>
      <w:rFonts w:cs="宋体"/>
      <w:kern w:val="18"/>
      <w:sz w:val="24"/>
      <w:szCs w:val="20"/>
    </w:rPr>
  </w:style>
  <w:style w:type="paragraph" w:customStyle="1" w:styleId="59">
    <w:name w:val="TH"/>
    <w:basedOn w:val="60"/>
    <w:qFormat/>
    <w:uiPriority w:val="0"/>
    <w:pPr>
      <w:ind w:firstLine="0"/>
      <w:jc w:val="center"/>
    </w:pPr>
    <w:rPr>
      <w:b/>
    </w:rPr>
  </w:style>
  <w:style w:type="paragraph" w:customStyle="1" w:styleId="60">
    <w:name w:val="TW"/>
    <w:basedOn w:val="1"/>
    <w:qFormat/>
    <w:uiPriority w:val="0"/>
    <w:pPr>
      <w:ind w:firstLine="480"/>
    </w:pPr>
    <w:rPr>
      <w:rFonts w:cs="Times New Roman"/>
    </w:rPr>
  </w:style>
  <w:style w:type="character" w:customStyle="1" w:styleId="61">
    <w:name w:val="font21"/>
    <w:basedOn w:val="30"/>
    <w:qFormat/>
    <w:uiPriority w:val="0"/>
    <w:rPr>
      <w:rFonts w:hint="eastAsia" w:ascii="宋体" w:hAnsi="宋体" w:eastAsia="宋体" w:cs="宋体"/>
      <w:color w:val="000000"/>
      <w:sz w:val="21"/>
      <w:szCs w:val="21"/>
      <w:u w:val="none"/>
    </w:rPr>
  </w:style>
  <w:style w:type="paragraph" w:customStyle="1" w:styleId="62">
    <w:name w:val="文本"/>
    <w:basedOn w:val="1"/>
    <w:qFormat/>
    <w:uiPriority w:val="0"/>
    <w:pPr>
      <w:spacing w:line="360" w:lineRule="auto"/>
      <w:ind w:firstLine="480" w:firstLineChars="200"/>
    </w:pPr>
    <w:rPr>
      <w:sz w:val="24"/>
    </w:rPr>
  </w:style>
  <w:style w:type="paragraph" w:customStyle="1" w:styleId="63">
    <w:name w:val="报告表正文"/>
    <w:basedOn w:val="1"/>
    <w:qFormat/>
    <w:uiPriority w:val="0"/>
    <w:pPr>
      <w:overflowPunct w:val="0"/>
      <w:adjustRightInd w:val="0"/>
      <w:snapToGrid w:val="0"/>
      <w:spacing w:line="360" w:lineRule="auto"/>
      <w:ind w:firstLine="200" w:firstLineChars="200"/>
    </w:pPr>
    <w:rPr>
      <w:rFonts w:ascii="Times New Roman" w:hAnsi="Times New Roman" w:eastAsia="仿宋_GB2312"/>
      <w:color w:val="000000"/>
      <w:kern w:val="16"/>
      <w:sz w:val="24"/>
    </w:rPr>
  </w:style>
  <w:style w:type="paragraph" w:customStyle="1" w:styleId="64">
    <w:name w:val="*正文"/>
    <w:qFormat/>
    <w:uiPriority w:val="0"/>
    <w:pPr>
      <w:spacing w:line="360" w:lineRule="auto"/>
      <w:ind w:firstLine="200" w:firstLineChars="200"/>
      <w:jc w:val="both"/>
      <w:textAlignment w:val="baseline"/>
    </w:pPr>
    <w:rPr>
      <w:rFonts w:ascii="Times New Roman" w:hAnsi="Times New Roman" w:eastAsia="宋体" w:cs="Times New Roman"/>
      <w:color w:val="000000"/>
      <w:sz w:val="24"/>
      <w:szCs w:val="22"/>
      <w:lang w:val="en-US" w:eastAsia="zh-CN" w:bidi="ar-SA"/>
    </w:rPr>
  </w:style>
  <w:style w:type="character" w:customStyle="1" w:styleId="65">
    <w:name w:val="font31"/>
    <w:qFormat/>
    <w:uiPriority w:val="0"/>
    <w:rPr>
      <w:rFonts w:hint="eastAsia" w:ascii="宋体" w:hAnsi="宋体" w:eastAsia="宋体" w:cs="宋体"/>
      <w:color w:val="333333"/>
      <w:sz w:val="18"/>
      <w:szCs w:val="18"/>
    </w:rPr>
  </w:style>
  <w:style w:type="paragraph" w:customStyle="1" w:styleId="66">
    <w:name w:val="Table Paragraph"/>
    <w:basedOn w:val="1"/>
    <w:qFormat/>
    <w:uiPriority w:val="1"/>
    <w:rPr>
      <w:rFonts w:ascii="宋体" w:hAnsi="宋体" w:eastAsia="宋体" w:cs="宋体"/>
      <w:lang w:val="zh-CN" w:bidi="zh-CN"/>
    </w:rPr>
  </w:style>
  <w:style w:type="paragraph" w:customStyle="1" w:styleId="67">
    <w:name w:val="谏壁正文chen"/>
    <w:basedOn w:val="1"/>
    <w:qFormat/>
    <w:uiPriority w:val="0"/>
    <w:pPr>
      <w:spacing w:line="360" w:lineRule="auto"/>
      <w:ind w:firstLine="200" w:firstLineChars="200"/>
    </w:pPr>
    <w:rPr>
      <w:rFonts w:ascii="Times New Roman" w:hAnsi="Times New Roman"/>
      <w:sz w:val="24"/>
    </w:rPr>
  </w:style>
  <w:style w:type="paragraph" w:customStyle="1" w:styleId="68">
    <w:name w:val="报告书正文"/>
    <w:basedOn w:val="1"/>
    <w:qFormat/>
    <w:uiPriority w:val="0"/>
    <w:pPr>
      <w:autoSpaceDE w:val="0"/>
      <w:autoSpaceDN w:val="0"/>
      <w:spacing w:line="520" w:lineRule="exact"/>
      <w:ind w:firstLine="200" w:firstLineChars="200"/>
    </w:pPr>
    <w:rPr>
      <w:sz w:val="28"/>
      <w:szCs w:val="28"/>
    </w:rPr>
  </w:style>
  <w:style w:type="paragraph" w:customStyle="1" w:styleId="69">
    <w:name w:val="表标题"/>
    <w:basedOn w:val="1"/>
    <w:next w:val="43"/>
    <w:qFormat/>
    <w:uiPriority w:val="0"/>
    <w:pPr>
      <w:jc w:val="center"/>
    </w:pPr>
    <w:rPr>
      <w:rFonts w:eastAsia="黑体"/>
    </w:rPr>
  </w:style>
  <w:style w:type="paragraph" w:customStyle="1" w:styleId="70">
    <w:name w:val="表格正文"/>
    <w:basedOn w:val="8"/>
    <w:qFormat/>
    <w:uiPriority w:val="0"/>
    <w:pPr>
      <w:widowControl/>
      <w:ind w:firstLine="0" w:firstLineChars="0"/>
      <w:jc w:val="center"/>
    </w:pPr>
  </w:style>
  <w:style w:type="character" w:customStyle="1" w:styleId="71">
    <w:name w:val="批注文字 字符"/>
    <w:basedOn w:val="30"/>
    <w:link w:val="15"/>
    <w:qFormat/>
    <w:uiPriority w:val="0"/>
    <w:rPr>
      <w:rFonts w:asciiTheme="minorHAnsi" w:hAnsiTheme="minorHAnsi" w:eastAsiaTheme="minorEastAsia" w:cstheme="minorBidi"/>
      <w:kern w:val="2"/>
      <w:sz w:val="21"/>
      <w:szCs w:val="24"/>
    </w:rPr>
  </w:style>
  <w:style w:type="character" w:customStyle="1" w:styleId="72">
    <w:name w:val="批注主题 字符"/>
    <w:basedOn w:val="71"/>
    <w:link w:val="26"/>
    <w:qFormat/>
    <w:uiPriority w:val="0"/>
    <w:rPr>
      <w:rFonts w:asciiTheme="minorHAnsi" w:hAnsiTheme="minorHAnsi" w:eastAsiaTheme="minorEastAsia" w:cstheme="minorBidi"/>
      <w:b/>
      <w:bCs/>
      <w:kern w:val="2"/>
      <w:sz w:val="21"/>
      <w:szCs w:val="24"/>
    </w:rPr>
  </w:style>
  <w:style w:type="character" w:customStyle="1" w:styleId="73">
    <w:name w:val="font61"/>
    <w:qFormat/>
    <w:uiPriority w:val="0"/>
    <w:rPr>
      <w:rFonts w:hint="eastAsia" w:ascii="宋体" w:hAnsi="宋体" w:eastAsia="宋体" w:cs="宋体"/>
      <w:color w:val="000000"/>
      <w:sz w:val="22"/>
      <w:szCs w:val="22"/>
      <w:u w:val="none"/>
    </w:rPr>
  </w:style>
  <w:style w:type="paragraph" w:customStyle="1" w:styleId="74">
    <w:name w:val="正式文本"/>
    <w:basedOn w:val="1"/>
    <w:qFormat/>
    <w:uiPriority w:val="0"/>
    <w:pPr>
      <w:adjustRightInd w:val="0"/>
      <w:snapToGrid w:val="0"/>
      <w:spacing w:line="360" w:lineRule="auto"/>
      <w:ind w:firstLine="420" w:firstLineChars="200"/>
      <w:jc w:val="left"/>
    </w:pPr>
    <w:rPr>
      <w:bCs/>
      <w:szCs w:val="21"/>
    </w:rPr>
  </w:style>
  <w:style w:type="paragraph" w:customStyle="1" w:styleId="75">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76">
    <w:name w:val="List Paragraph"/>
    <w:basedOn w:val="1"/>
    <w:qFormat/>
    <w:uiPriority w:val="34"/>
    <w:pPr>
      <w:ind w:firstLine="420" w:firstLineChars="200"/>
    </w:pPr>
  </w:style>
  <w:style w:type="paragraph" w:customStyle="1" w:styleId="77">
    <w:name w:val="表格注释文字"/>
    <w:basedOn w:val="43"/>
    <w:qFormat/>
    <w:uiPriority w:val="0"/>
    <w:pPr>
      <w:ind w:firstLine="720" w:firstLineChars="200"/>
      <w:jc w:val="both"/>
    </w:pPr>
    <w:rPr>
      <w:rFonts w:eastAsia="楷体_GB2312"/>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6" Type="http://schemas.microsoft.com/office/2011/relationships/people" Target="people.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jpe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png"/><Relationship Id="rId35" Type="http://schemas.openxmlformats.org/officeDocument/2006/relationships/hyperlink" Target="http://www.biaozhi.net/eNews/news/200602/0029_0000000909.shtml" TargetMode="External"/><Relationship Id="rId34" Type="http://schemas.openxmlformats.org/officeDocument/2006/relationships/image" Target="media/image26.png"/><Relationship Id="rId33" Type="http://schemas.openxmlformats.org/officeDocument/2006/relationships/hyperlink" Target="http://www.biaozhi.net/eNews/news/200602/0029_0000000907.shtml" TargetMode="External"/><Relationship Id="rId32" Type="http://schemas.openxmlformats.org/officeDocument/2006/relationships/image" Target="media/image25.png"/><Relationship Id="rId31" Type="http://schemas.openxmlformats.org/officeDocument/2006/relationships/hyperlink" Target="http://www.biaozhi.net/eNews/news/200602/0029_0000000905.shtml" TargetMode="External"/><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73</Pages>
  <Words>132</Words>
  <Characters>159</Characters>
  <Lines>545</Lines>
  <Paragraphs>153</Paragraphs>
  <TotalTime>10</TotalTime>
  <ScaleCrop>false</ScaleCrop>
  <LinksUpToDate>false</LinksUpToDate>
  <CharactersWithSpaces>241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2021-01-04T06:22:00Z</dcterms:created>
  <dc:creator>秋风落叶</dc:creator>
  <cp:lastModifiedBy>高勇</cp:lastModifiedBy>
  <dcterms:modified xsi:type="dcterms:W3CDTF">2025-07-10T11:02:32Z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6CE7019387D44FFCB5A9D8CC569AF01D_13</vt:lpwstr>
  </property>
  <property fmtid="{D5CDD505-2E9C-101B-9397-08002B2CF9AE}" pid="4" name="commondata">
    <vt:lpwstr>eyJoZGlkIjoiMjVjNjExOTA1OTlkNGJkNWRlOTdjYTJlN2U3YWIwZjIifQ==</vt:lpwstr>
  </property>
  <property fmtid="{D5CDD505-2E9C-101B-9397-08002B2CF9AE}" pid="5" name="KSOTemplateDocerSaveRecord">
    <vt:lpwstr>eyJoZGlkIjoiYzFhZGY0ZTViYWQyN2I0ZGJhNDk0OThkMjNkNmQ2MDYiLCJ1c2VySWQiOiIzNDE2Mjc2NDAifQ==</vt:lpwstr>
  </property>
</Properties>
</file>