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73CB7D">
      <w:pPr>
        <w:pStyle w:val="3"/>
        <w:spacing w:before="24" w:after="24"/>
        <w:rPr>
          <w:rFonts w:hint="default" w:ascii="Times New Roman" w:hAnsi="Times New Roman" w:eastAsia="仿宋_GB2312" w:cs="Times New Roman"/>
        </w:rPr>
      </w:pPr>
      <w:bookmarkStart w:id="0" w:name="_Hlk57883707"/>
    </w:p>
    <w:p w14:paraId="491CA6E0">
      <w:pPr>
        <w:rPr>
          <w:rFonts w:hint="default" w:ascii="Times New Roman" w:hAnsi="Times New Roman" w:eastAsia="仿宋_GB2312" w:cs="Times New Roman"/>
          <w:color w:val="000000"/>
          <w:sz w:val="36"/>
          <w:szCs w:val="36"/>
        </w:rPr>
      </w:pPr>
    </w:p>
    <w:p w14:paraId="60C0CF42">
      <w:pPr>
        <w:rPr>
          <w:rFonts w:hint="default" w:ascii="Times New Roman" w:hAnsi="Times New Roman" w:eastAsia="仿宋_GB2312" w:cs="Times New Roman"/>
          <w:color w:val="000000"/>
          <w:sz w:val="36"/>
          <w:szCs w:val="36"/>
        </w:rPr>
      </w:pPr>
    </w:p>
    <w:bookmarkEnd w:id="0"/>
    <w:p w14:paraId="3381276E">
      <w:pPr>
        <w:adjustRightInd w:val="0"/>
        <w:snapToGrid w:val="0"/>
        <w:ind w:firstLine="0" w:firstLineChars="0"/>
        <w:jc w:val="center"/>
        <w:outlineLvl w:val="0"/>
        <w:rPr>
          <w:rFonts w:hint="default" w:ascii="Times New Roman" w:hAnsi="Times New Roman" w:eastAsia="仿宋_GB2312" w:cs="Times New Roman"/>
          <w:bCs/>
          <w:color w:val="000000"/>
          <w:sz w:val="72"/>
          <w:szCs w:val="72"/>
        </w:rPr>
      </w:pPr>
      <w:bookmarkStart w:id="1" w:name="_Toc20792"/>
      <w:r>
        <w:rPr>
          <w:rFonts w:hint="default" w:ascii="Times New Roman" w:hAnsi="Times New Roman" w:eastAsia="仿宋_GB2312" w:cs="Times New Roman"/>
          <w:bCs/>
          <w:color w:val="000000"/>
          <w:sz w:val="72"/>
          <w:szCs w:val="72"/>
        </w:rPr>
        <w:t>建设项目环境影响报告表</w:t>
      </w:r>
      <w:bookmarkEnd w:id="1"/>
    </w:p>
    <w:p w14:paraId="35956EE8">
      <w:pPr>
        <w:adjustRightInd w:val="0"/>
        <w:snapToGrid w:val="0"/>
        <w:spacing w:before="192" w:beforeLines="80"/>
        <w:ind w:firstLine="0" w:firstLineChars="0"/>
        <w:jc w:val="center"/>
        <w:rPr>
          <w:rFonts w:hint="default" w:ascii="Times New Roman" w:hAnsi="Times New Roman" w:eastAsia="仿宋_GB2312" w:cs="Times New Roman"/>
          <w:bCs/>
          <w:color w:val="000000"/>
          <w:sz w:val="48"/>
          <w:szCs w:val="48"/>
        </w:rPr>
      </w:pPr>
      <w:r>
        <w:rPr>
          <w:rFonts w:hint="default" w:ascii="Times New Roman" w:hAnsi="Times New Roman" w:eastAsia="仿宋_GB2312" w:cs="Times New Roman"/>
          <w:bCs/>
          <w:color w:val="000000"/>
          <w:sz w:val="48"/>
          <w:szCs w:val="48"/>
        </w:rPr>
        <w:t>（生态影响类）</w:t>
      </w:r>
    </w:p>
    <w:p w14:paraId="1684068B">
      <w:pPr>
        <w:ind w:firstLine="480"/>
        <w:rPr>
          <w:rFonts w:hint="default" w:ascii="Times New Roman" w:hAnsi="Times New Roman" w:eastAsia="仿宋_GB2312" w:cs="Times New Roman"/>
          <w:color w:val="000000"/>
        </w:rPr>
      </w:pPr>
      <w:bookmarkStart w:id="2" w:name="_Hlk57883728"/>
    </w:p>
    <w:p w14:paraId="5C42AB1F">
      <w:pPr>
        <w:ind w:firstLine="1040"/>
        <w:rPr>
          <w:rFonts w:hint="default" w:ascii="Times New Roman" w:hAnsi="Times New Roman" w:eastAsia="仿宋_GB2312" w:cs="Times New Roman"/>
          <w:color w:val="000000"/>
          <w:sz w:val="52"/>
          <w:szCs w:val="52"/>
        </w:rPr>
      </w:pPr>
    </w:p>
    <w:p w14:paraId="14FA60CB">
      <w:pPr>
        <w:ind w:firstLine="480"/>
        <w:rPr>
          <w:rFonts w:hint="default" w:ascii="Times New Roman" w:hAnsi="Times New Roman" w:eastAsia="仿宋_GB2312" w:cs="Times New Roman"/>
          <w:color w:val="000000"/>
        </w:rPr>
      </w:pPr>
    </w:p>
    <w:p w14:paraId="005F10DD">
      <w:pPr>
        <w:ind w:firstLine="480"/>
        <w:rPr>
          <w:rFonts w:hint="default" w:ascii="Times New Roman" w:hAnsi="Times New Roman" w:eastAsia="仿宋_GB2312" w:cs="Times New Roman"/>
          <w:color w:val="000000"/>
        </w:rPr>
      </w:pPr>
    </w:p>
    <w:p w14:paraId="45CB3289">
      <w:pPr>
        <w:ind w:firstLine="880"/>
        <w:rPr>
          <w:rFonts w:hint="default" w:ascii="Times New Roman" w:hAnsi="Times New Roman" w:eastAsia="仿宋_GB2312" w:cs="Times New Roman"/>
          <w:color w:val="000000"/>
          <w:sz w:val="44"/>
          <w:szCs w:val="44"/>
        </w:rPr>
      </w:pPr>
    </w:p>
    <w:bookmarkEnd w:id="2"/>
    <w:p w14:paraId="5A14F019">
      <w:pPr>
        <w:adjustRightInd w:val="0"/>
        <w:snapToGrid w:val="0"/>
        <w:spacing w:line="288" w:lineRule="auto"/>
        <w:ind w:left="0" w:leftChars="0" w:firstLine="320" w:firstLineChars="100"/>
        <w:rPr>
          <w:rFonts w:hint="default" w:ascii="Times New Roman" w:hAnsi="Times New Roman" w:eastAsia="仿宋_GB2312" w:cs="Times New Roman"/>
          <w:color w:val="000000"/>
          <w:sz w:val="32"/>
          <w:szCs w:val="32"/>
          <w:u w:val="single"/>
        </w:rPr>
      </w:pPr>
      <w:r>
        <w:rPr>
          <w:rFonts w:hint="default" w:ascii="Times New Roman" w:hAnsi="Times New Roman" w:eastAsia="仿宋_GB2312" w:cs="Times New Roman"/>
          <w:color w:val="000000"/>
          <w:sz w:val="32"/>
          <w:szCs w:val="32"/>
        </w:rPr>
        <w:t>项目名称：</w:t>
      </w:r>
      <w:r>
        <w:rPr>
          <w:rFonts w:hint="eastAsia" w:cs="Times New Roman"/>
          <w:color w:val="000000"/>
          <w:sz w:val="32"/>
          <w:szCs w:val="32"/>
          <w:u w:val="single"/>
          <w:lang w:val="en-US" w:eastAsia="zh-CN"/>
        </w:rPr>
        <w:t xml:space="preserve">            科创加速器氢气管道项目</w:t>
      </w:r>
      <w:r>
        <w:rPr>
          <w:rFonts w:hint="eastAsia" w:ascii="Times New Roman" w:hAnsi="Times New Roman" w:eastAsia="仿宋_GB2312" w:cs="Times New Roman"/>
          <w:color w:val="000000"/>
          <w:sz w:val="32"/>
          <w:szCs w:val="32"/>
          <w:u w:val="single"/>
          <w:lang w:val="en-US" w:eastAsia="zh-CN"/>
        </w:rPr>
        <w:t xml:space="preserve">         </w:t>
      </w:r>
      <w:r>
        <w:rPr>
          <w:rFonts w:hint="default" w:ascii="Times New Roman" w:hAnsi="Times New Roman" w:eastAsia="仿宋_GB2312" w:cs="Times New Roman"/>
          <w:color w:val="000000"/>
          <w:sz w:val="32"/>
          <w:szCs w:val="32"/>
          <w:u w:val="single"/>
        </w:rPr>
        <w:t xml:space="preserve">                     </w:t>
      </w:r>
    </w:p>
    <w:p w14:paraId="78EA3A70">
      <w:pPr>
        <w:adjustRightInd w:val="0"/>
        <w:snapToGrid w:val="0"/>
        <w:spacing w:line="288" w:lineRule="auto"/>
        <w:ind w:firstLine="320" w:firstLineChars="100"/>
        <w:rPr>
          <w:rFonts w:hint="default" w:ascii="Times New Roman" w:hAnsi="Times New Roman" w:eastAsia="仿宋_GB2312" w:cs="Times New Roman"/>
          <w:color w:val="000000"/>
          <w:sz w:val="32"/>
          <w:szCs w:val="32"/>
          <w:u w:val="single"/>
        </w:rPr>
      </w:pPr>
      <w:r>
        <w:rPr>
          <w:rFonts w:hint="default" w:ascii="Times New Roman" w:hAnsi="Times New Roman" w:eastAsia="仿宋_GB2312" w:cs="Times New Roman"/>
          <w:color w:val="000000"/>
          <w:sz w:val="32"/>
          <w:szCs w:val="32"/>
        </w:rPr>
        <w:t>建设单位</w:t>
      </w:r>
      <w:r>
        <w:rPr>
          <w:rFonts w:hint="eastAsia" w:cs="Times New Roman"/>
          <w:color w:val="000000"/>
          <w:sz w:val="32"/>
          <w:szCs w:val="32"/>
          <w:lang w:val="en-US" w:eastAsia="zh-CN"/>
        </w:rPr>
        <w:t>(</w:t>
      </w:r>
      <w:r>
        <w:rPr>
          <w:rFonts w:hint="default" w:ascii="Times New Roman" w:hAnsi="Times New Roman" w:eastAsia="仿宋_GB2312" w:cs="Times New Roman"/>
          <w:color w:val="000000"/>
          <w:sz w:val="32"/>
          <w:szCs w:val="32"/>
        </w:rPr>
        <w:t>盖章</w:t>
      </w:r>
      <w:r>
        <w:rPr>
          <w:rFonts w:hint="eastAsia" w:cs="Times New Roman"/>
          <w:color w:val="000000"/>
          <w:sz w:val="32"/>
          <w:szCs w:val="32"/>
          <w:lang w:val="en-US" w:eastAsia="zh-CN"/>
        </w:rPr>
        <w:t>)</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u w:val="single"/>
        </w:rPr>
        <w:t xml:space="preserve">   淮北</w:t>
      </w:r>
      <w:r>
        <w:rPr>
          <w:rFonts w:hint="eastAsia" w:cs="Times New Roman"/>
          <w:color w:val="000000"/>
          <w:sz w:val="32"/>
          <w:szCs w:val="32"/>
          <w:u w:val="single"/>
          <w:lang w:val="en-US" w:eastAsia="zh-CN"/>
        </w:rPr>
        <w:t>润土高分子新材料研究院有限公司</w:t>
      </w:r>
      <w:r>
        <w:rPr>
          <w:rFonts w:hint="default" w:ascii="Times New Roman" w:hAnsi="Times New Roman" w:eastAsia="仿宋_GB2312" w:cs="Times New Roman"/>
          <w:color w:val="000000"/>
          <w:sz w:val="32"/>
          <w:szCs w:val="32"/>
          <w:u w:val="single"/>
        </w:rPr>
        <w:t xml:space="preserve">        </w:t>
      </w:r>
    </w:p>
    <w:p w14:paraId="42F69DA5">
      <w:pPr>
        <w:adjustRightInd w:val="0"/>
        <w:snapToGrid w:val="0"/>
        <w:spacing w:line="288" w:lineRule="auto"/>
        <w:ind w:firstLine="320" w:firstLineChars="100"/>
        <w:rPr>
          <w:rFonts w:hint="default" w:ascii="Times New Roman" w:hAnsi="Times New Roman" w:eastAsia="仿宋_GB2312" w:cs="Times New Roman"/>
          <w:color w:val="000000"/>
          <w:sz w:val="36"/>
          <w:szCs w:val="36"/>
          <w:u w:val="single"/>
        </w:rPr>
      </w:pPr>
      <w:r>
        <w:rPr>
          <w:rFonts w:hint="default" w:ascii="Times New Roman" w:hAnsi="Times New Roman" w:eastAsia="仿宋_GB2312" w:cs="Times New Roman"/>
          <w:color w:val="000000"/>
          <w:sz w:val="32"/>
          <w:szCs w:val="32"/>
        </w:rPr>
        <w:t>编制日期：</w:t>
      </w:r>
      <w:r>
        <w:rPr>
          <w:rFonts w:hint="default" w:ascii="Times New Roman" w:hAnsi="Times New Roman" w:eastAsia="仿宋_GB2312" w:cs="Times New Roman"/>
          <w:color w:val="000000"/>
          <w:sz w:val="32"/>
          <w:szCs w:val="32"/>
          <w:u w:val="single"/>
        </w:rPr>
        <w:t xml:space="preserve">                 202</w:t>
      </w:r>
      <w:r>
        <w:rPr>
          <w:rFonts w:hint="eastAsia" w:cs="Times New Roman"/>
          <w:color w:val="000000"/>
          <w:sz w:val="32"/>
          <w:szCs w:val="32"/>
          <w:u w:val="single"/>
          <w:lang w:val="en-US" w:eastAsia="zh-CN"/>
        </w:rPr>
        <w:t>6</w:t>
      </w:r>
      <w:r>
        <w:rPr>
          <w:rFonts w:hint="default" w:ascii="Times New Roman" w:hAnsi="Times New Roman" w:eastAsia="仿宋_GB2312" w:cs="Times New Roman"/>
          <w:color w:val="000000"/>
          <w:sz w:val="32"/>
          <w:szCs w:val="32"/>
          <w:u w:val="single"/>
        </w:rPr>
        <w:t>年</w:t>
      </w:r>
      <w:r>
        <w:rPr>
          <w:rFonts w:hint="eastAsia" w:cs="Times New Roman"/>
          <w:color w:val="000000"/>
          <w:sz w:val="32"/>
          <w:szCs w:val="32"/>
          <w:u w:val="single"/>
          <w:lang w:val="en-US" w:eastAsia="zh-CN"/>
        </w:rPr>
        <w:t>6</w:t>
      </w:r>
      <w:r>
        <w:rPr>
          <w:rFonts w:hint="default" w:ascii="Times New Roman" w:hAnsi="Times New Roman" w:eastAsia="仿宋_GB2312" w:cs="Times New Roman"/>
          <w:color w:val="000000"/>
          <w:sz w:val="32"/>
          <w:szCs w:val="32"/>
          <w:u w:val="single"/>
        </w:rPr>
        <w:t xml:space="preserve">月                  </w:t>
      </w:r>
      <w:r>
        <w:rPr>
          <w:rFonts w:hint="default" w:ascii="Times New Roman" w:hAnsi="Times New Roman" w:eastAsia="仿宋_GB2312" w:cs="Times New Roman"/>
          <w:color w:val="000000"/>
          <w:sz w:val="36"/>
          <w:szCs w:val="36"/>
          <w:u w:val="single"/>
        </w:rPr>
        <w:t xml:space="preserve">   </w:t>
      </w:r>
    </w:p>
    <w:p w14:paraId="457395DA">
      <w:pPr>
        <w:adjustRightInd w:val="0"/>
        <w:snapToGrid w:val="0"/>
        <w:spacing w:line="288" w:lineRule="auto"/>
        <w:rPr>
          <w:rFonts w:hint="default" w:ascii="Times New Roman" w:hAnsi="Times New Roman" w:eastAsia="仿宋_GB2312" w:cs="Times New Roman"/>
          <w:color w:val="000000"/>
          <w:sz w:val="36"/>
          <w:szCs w:val="36"/>
          <w:u w:val="single"/>
        </w:rPr>
      </w:pPr>
    </w:p>
    <w:p w14:paraId="4BFCB4BD">
      <w:pPr>
        <w:adjustRightInd w:val="0"/>
        <w:snapToGrid w:val="0"/>
        <w:spacing w:line="288" w:lineRule="auto"/>
        <w:rPr>
          <w:rFonts w:hint="default" w:ascii="Times New Roman" w:hAnsi="Times New Roman" w:eastAsia="仿宋_GB2312" w:cs="Times New Roman"/>
          <w:color w:val="000000"/>
          <w:sz w:val="36"/>
          <w:szCs w:val="36"/>
        </w:rPr>
      </w:pPr>
    </w:p>
    <w:p w14:paraId="1E34D102">
      <w:pPr>
        <w:adjustRightInd w:val="0"/>
        <w:snapToGrid w:val="0"/>
        <w:spacing w:line="288" w:lineRule="auto"/>
        <w:rPr>
          <w:rFonts w:hint="default" w:ascii="Times New Roman" w:hAnsi="Times New Roman" w:eastAsia="仿宋_GB2312" w:cs="Times New Roman"/>
          <w:color w:val="000000"/>
          <w:sz w:val="36"/>
          <w:szCs w:val="36"/>
        </w:rPr>
      </w:pPr>
    </w:p>
    <w:p w14:paraId="151A5A8F">
      <w:pPr>
        <w:adjustRightInd w:val="0"/>
        <w:snapToGrid w:val="0"/>
        <w:spacing w:line="288" w:lineRule="auto"/>
        <w:ind w:firstLine="0" w:firstLineChars="0"/>
        <w:jc w:val="center"/>
        <w:rPr>
          <w:rFonts w:hint="default" w:ascii="Times New Roman" w:hAnsi="Times New Roman" w:eastAsia="仿宋_GB2312" w:cs="Times New Roman"/>
          <w:color w:val="000000"/>
          <w:sz w:val="36"/>
          <w:szCs w:val="36"/>
        </w:rPr>
      </w:pPr>
      <w:r>
        <w:rPr>
          <w:rFonts w:hint="default" w:ascii="Times New Roman" w:hAnsi="Times New Roman" w:eastAsia="仿宋_GB2312" w:cs="Times New Roman"/>
          <w:color w:val="000000"/>
          <w:sz w:val="36"/>
          <w:szCs w:val="36"/>
        </w:rPr>
        <w:t>中华人民共和国生态环境部制</w:t>
      </w:r>
    </w:p>
    <w:p w14:paraId="37364381">
      <w:pPr>
        <w:adjustRightInd w:val="0"/>
        <w:snapToGrid w:val="0"/>
        <w:spacing w:line="288" w:lineRule="auto"/>
        <w:rPr>
          <w:rFonts w:hint="default" w:ascii="Times New Roman" w:hAnsi="Times New Roman" w:eastAsia="仿宋_GB2312" w:cs="Times New Roman"/>
          <w:color w:val="00000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74A52959">
      <w:pPr>
        <w:pStyle w:val="9"/>
        <w:tabs>
          <w:tab w:val="right" w:leader="hyphen" w:pos="8844"/>
        </w:tabs>
        <w:ind w:firstLine="480"/>
        <w:rPr>
          <w:rFonts w:hint="default" w:ascii="Times New Roman" w:hAnsi="Times New Roman" w:eastAsia="仿宋_GB2312" w:cs="Times New Roman"/>
          <w:color w:val="000000"/>
        </w:rPr>
      </w:pPr>
    </w:p>
    <w:p w14:paraId="06367772">
      <w:pPr>
        <w:pStyle w:val="9"/>
        <w:tabs>
          <w:tab w:val="right" w:leader="hyphen" w:pos="8844"/>
        </w:tabs>
        <w:ind w:firstLine="0" w:firstLineChars="0"/>
        <w:jc w:val="center"/>
        <w:rPr>
          <w:rFonts w:hint="default" w:ascii="Times New Roman" w:hAnsi="Times New Roman" w:eastAsia="仿宋_GB2312" w:cs="Times New Roman"/>
          <w:color w:val="000000"/>
        </w:rPr>
      </w:pPr>
      <w:r>
        <w:rPr>
          <w:rFonts w:hint="default" w:ascii="Times New Roman" w:hAnsi="Times New Roman" w:eastAsia="仿宋_GB2312" w:cs="Times New Roman"/>
          <w:b/>
          <w:bCs/>
          <w:color w:val="000000"/>
          <w:sz w:val="30"/>
          <w:szCs w:val="30"/>
        </w:rPr>
        <w:t>目  录</w:t>
      </w: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TOC \o "1-1" \h \u </w:instrText>
      </w:r>
      <w:r>
        <w:rPr>
          <w:rFonts w:hint="default" w:ascii="Times New Roman" w:hAnsi="Times New Roman" w:eastAsia="仿宋_GB2312" w:cs="Times New Roman"/>
          <w:color w:val="000000"/>
        </w:rPr>
        <w:fldChar w:fldCharType="separate"/>
      </w:r>
    </w:p>
    <w:p w14:paraId="453EFDAD">
      <w:pPr>
        <w:pStyle w:val="9"/>
        <w:tabs>
          <w:tab w:val="right" w:leader="hyphen" w:pos="8844"/>
        </w:tabs>
        <w:adjustRightInd w:val="0"/>
        <w:ind w:firstLine="0" w:firstLineChars="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HYPERLINK \l _Toc16332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一、建设项目基本情况</w:t>
      </w:r>
      <w:r>
        <w:rPr>
          <w:rFonts w:hint="default" w:ascii="Times New Roman" w:hAnsi="Times New Roman" w:eastAsia="仿宋_GB2312" w:cs="Times New Roman"/>
          <w:color w:val="000000"/>
        </w:rPr>
        <w:tab/>
      </w: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PAGEREF _Toc16332 \h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1</w:t>
      </w:r>
      <w:r>
        <w:rPr>
          <w:rFonts w:hint="default" w:ascii="Times New Roman" w:hAnsi="Times New Roman" w:eastAsia="仿宋_GB2312" w:cs="Times New Roman"/>
          <w:color w:val="000000"/>
        </w:rPr>
        <w:fldChar w:fldCharType="end"/>
      </w:r>
      <w:r>
        <w:rPr>
          <w:rFonts w:hint="default" w:ascii="Times New Roman" w:hAnsi="Times New Roman" w:eastAsia="仿宋_GB2312" w:cs="Times New Roman"/>
          <w:color w:val="000000"/>
        </w:rPr>
        <w:fldChar w:fldCharType="end"/>
      </w:r>
    </w:p>
    <w:p w14:paraId="308E1AEF">
      <w:pPr>
        <w:pStyle w:val="9"/>
        <w:tabs>
          <w:tab w:val="right" w:leader="hyphen" w:pos="8844"/>
        </w:tabs>
        <w:adjustRightInd w:val="0"/>
        <w:ind w:firstLine="0" w:firstLineChars="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HYPERLINK \l _Toc663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二、建设</w:t>
      </w:r>
      <w:r>
        <w:rPr>
          <w:rFonts w:hint="eastAsia" w:cs="Times New Roman"/>
          <w:color w:val="000000"/>
          <w:lang w:val="en-US" w:eastAsia="zh-CN"/>
        </w:rPr>
        <w:t>项目工程分析</w:t>
      </w:r>
      <w:r>
        <w:rPr>
          <w:rFonts w:hint="default" w:ascii="Times New Roman" w:hAnsi="Times New Roman" w:eastAsia="仿宋_GB2312" w:cs="Times New Roman"/>
          <w:color w:val="000000"/>
        </w:rPr>
        <w:tab/>
      </w: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PAGEREF _Toc663 \h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11</w:t>
      </w:r>
      <w:r>
        <w:rPr>
          <w:rFonts w:hint="default" w:ascii="Times New Roman" w:hAnsi="Times New Roman" w:eastAsia="仿宋_GB2312" w:cs="Times New Roman"/>
          <w:color w:val="000000"/>
        </w:rPr>
        <w:fldChar w:fldCharType="end"/>
      </w:r>
      <w:r>
        <w:rPr>
          <w:rFonts w:hint="default" w:ascii="Times New Roman" w:hAnsi="Times New Roman" w:eastAsia="仿宋_GB2312" w:cs="Times New Roman"/>
          <w:color w:val="000000"/>
        </w:rPr>
        <w:fldChar w:fldCharType="end"/>
      </w:r>
    </w:p>
    <w:p w14:paraId="42FF5FC4">
      <w:pPr>
        <w:pStyle w:val="9"/>
        <w:tabs>
          <w:tab w:val="right" w:leader="hyphen" w:pos="8844"/>
        </w:tabs>
        <w:adjustRightInd w:val="0"/>
        <w:ind w:firstLine="0" w:firstLineChars="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HYPERLINK \l _Toc17294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三、生态环境现状、保护目标及评价标准</w:t>
      </w:r>
      <w:r>
        <w:rPr>
          <w:rFonts w:hint="default" w:ascii="Times New Roman" w:hAnsi="Times New Roman" w:eastAsia="仿宋_GB2312" w:cs="Times New Roman"/>
          <w:color w:val="000000"/>
        </w:rPr>
        <w:tab/>
      </w: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PAGEREF _Toc17294 \h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19</w:t>
      </w:r>
      <w:r>
        <w:rPr>
          <w:rFonts w:hint="default" w:ascii="Times New Roman" w:hAnsi="Times New Roman" w:eastAsia="仿宋_GB2312" w:cs="Times New Roman"/>
          <w:color w:val="000000"/>
        </w:rPr>
        <w:fldChar w:fldCharType="end"/>
      </w:r>
      <w:r>
        <w:rPr>
          <w:rFonts w:hint="default" w:ascii="Times New Roman" w:hAnsi="Times New Roman" w:eastAsia="仿宋_GB2312" w:cs="Times New Roman"/>
          <w:color w:val="000000"/>
        </w:rPr>
        <w:fldChar w:fldCharType="end"/>
      </w:r>
    </w:p>
    <w:p w14:paraId="1483D74E">
      <w:pPr>
        <w:pStyle w:val="9"/>
        <w:tabs>
          <w:tab w:val="right" w:leader="hyphen" w:pos="8844"/>
        </w:tabs>
        <w:adjustRightInd w:val="0"/>
        <w:ind w:firstLine="0" w:firstLineChars="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HYPERLINK \l _Toc1493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四、生态环境影响分析</w:t>
      </w:r>
      <w:r>
        <w:rPr>
          <w:rFonts w:hint="default" w:ascii="Times New Roman" w:hAnsi="Times New Roman" w:eastAsia="仿宋_GB2312" w:cs="Times New Roman"/>
          <w:color w:val="000000"/>
        </w:rPr>
        <w:tab/>
      </w: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PAGEREF _Toc1493 \h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28</w:t>
      </w:r>
      <w:r>
        <w:rPr>
          <w:rFonts w:hint="default" w:ascii="Times New Roman" w:hAnsi="Times New Roman" w:eastAsia="仿宋_GB2312" w:cs="Times New Roman"/>
          <w:color w:val="000000"/>
        </w:rPr>
        <w:fldChar w:fldCharType="end"/>
      </w:r>
      <w:r>
        <w:rPr>
          <w:rFonts w:hint="default" w:ascii="Times New Roman" w:hAnsi="Times New Roman" w:eastAsia="仿宋_GB2312" w:cs="Times New Roman"/>
          <w:color w:val="000000"/>
        </w:rPr>
        <w:fldChar w:fldCharType="end"/>
      </w:r>
    </w:p>
    <w:p w14:paraId="7DDE761F">
      <w:pPr>
        <w:pStyle w:val="9"/>
        <w:tabs>
          <w:tab w:val="right" w:leader="hyphen" w:pos="8844"/>
        </w:tabs>
        <w:adjustRightInd w:val="0"/>
        <w:ind w:firstLine="0" w:firstLineChars="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HYPERLINK \l _Toc3052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五、主要生态环境保护措施</w:t>
      </w:r>
      <w:r>
        <w:rPr>
          <w:rFonts w:hint="default" w:ascii="Times New Roman" w:hAnsi="Times New Roman" w:eastAsia="仿宋_GB2312" w:cs="Times New Roman"/>
          <w:color w:val="000000"/>
        </w:rPr>
        <w:tab/>
      </w: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PAGEREF _Toc3052 \h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36</w:t>
      </w:r>
      <w:r>
        <w:rPr>
          <w:rFonts w:hint="default" w:ascii="Times New Roman" w:hAnsi="Times New Roman" w:eastAsia="仿宋_GB2312" w:cs="Times New Roman"/>
          <w:color w:val="000000"/>
        </w:rPr>
        <w:fldChar w:fldCharType="end"/>
      </w:r>
      <w:r>
        <w:rPr>
          <w:rFonts w:hint="default" w:ascii="Times New Roman" w:hAnsi="Times New Roman" w:eastAsia="仿宋_GB2312" w:cs="Times New Roman"/>
          <w:color w:val="000000"/>
        </w:rPr>
        <w:fldChar w:fldCharType="end"/>
      </w:r>
    </w:p>
    <w:p w14:paraId="604F789F">
      <w:pPr>
        <w:pStyle w:val="9"/>
        <w:tabs>
          <w:tab w:val="right" w:leader="hyphen" w:pos="8844"/>
        </w:tabs>
        <w:adjustRightInd w:val="0"/>
        <w:ind w:firstLine="0" w:firstLineChars="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HYPERLINK \l _Toc15765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六、生态环境保护措施监督检查清单</w:t>
      </w:r>
      <w:r>
        <w:rPr>
          <w:rFonts w:hint="default" w:ascii="Times New Roman" w:hAnsi="Times New Roman" w:eastAsia="仿宋_GB2312" w:cs="Times New Roman"/>
          <w:color w:val="000000"/>
        </w:rPr>
        <w:tab/>
      </w: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PAGEREF _Toc15765 \h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44</w:t>
      </w:r>
      <w:r>
        <w:rPr>
          <w:rFonts w:hint="default" w:ascii="Times New Roman" w:hAnsi="Times New Roman" w:eastAsia="仿宋_GB2312" w:cs="Times New Roman"/>
          <w:color w:val="000000"/>
        </w:rPr>
        <w:fldChar w:fldCharType="end"/>
      </w:r>
      <w:r>
        <w:rPr>
          <w:rFonts w:hint="default" w:ascii="Times New Roman" w:hAnsi="Times New Roman" w:eastAsia="仿宋_GB2312" w:cs="Times New Roman"/>
          <w:color w:val="000000"/>
        </w:rPr>
        <w:fldChar w:fldCharType="end"/>
      </w:r>
    </w:p>
    <w:p w14:paraId="7ECAAF45">
      <w:pPr>
        <w:pStyle w:val="9"/>
        <w:tabs>
          <w:tab w:val="right" w:leader="hyphen" w:pos="8844"/>
        </w:tabs>
        <w:adjustRightInd w:val="0"/>
        <w:ind w:firstLine="0" w:firstLineChars="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HYPERLINK \l _Toc7356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七、结论</w:t>
      </w:r>
      <w:r>
        <w:rPr>
          <w:rFonts w:hint="default" w:ascii="Times New Roman" w:hAnsi="Times New Roman" w:eastAsia="仿宋_GB2312" w:cs="Times New Roman"/>
          <w:color w:val="000000"/>
        </w:rPr>
        <w:tab/>
      </w:r>
      <w:r>
        <w:rPr>
          <w:rFonts w:hint="default" w:ascii="Times New Roman" w:hAnsi="Times New Roman" w:eastAsia="仿宋_GB2312" w:cs="Times New Roman"/>
          <w:color w:val="000000"/>
        </w:rPr>
        <w:fldChar w:fldCharType="begin"/>
      </w:r>
      <w:r>
        <w:rPr>
          <w:rFonts w:hint="default" w:ascii="Times New Roman" w:hAnsi="Times New Roman" w:eastAsia="仿宋_GB2312" w:cs="Times New Roman"/>
          <w:color w:val="000000"/>
        </w:rPr>
        <w:instrText xml:space="preserve"> PAGEREF _Toc7356 \h </w:instrText>
      </w:r>
      <w:r>
        <w:rPr>
          <w:rFonts w:hint="default" w:ascii="Times New Roman" w:hAnsi="Times New Roman" w:eastAsia="仿宋_GB2312" w:cs="Times New Roman"/>
          <w:color w:val="000000"/>
        </w:rPr>
        <w:fldChar w:fldCharType="separate"/>
      </w:r>
      <w:r>
        <w:rPr>
          <w:rFonts w:hint="default" w:ascii="Times New Roman" w:hAnsi="Times New Roman" w:eastAsia="仿宋_GB2312" w:cs="Times New Roman"/>
          <w:color w:val="000000"/>
        </w:rPr>
        <w:t>46</w:t>
      </w:r>
      <w:r>
        <w:rPr>
          <w:rFonts w:hint="default" w:ascii="Times New Roman" w:hAnsi="Times New Roman" w:eastAsia="仿宋_GB2312" w:cs="Times New Roman"/>
          <w:color w:val="000000"/>
        </w:rPr>
        <w:fldChar w:fldCharType="end"/>
      </w:r>
      <w:r>
        <w:rPr>
          <w:rFonts w:hint="default" w:ascii="Times New Roman" w:hAnsi="Times New Roman" w:eastAsia="仿宋_GB2312" w:cs="Times New Roman"/>
          <w:color w:val="000000"/>
        </w:rPr>
        <w:fldChar w:fldCharType="end"/>
      </w:r>
    </w:p>
    <w:p w14:paraId="6734742C">
      <w:pPr>
        <w:pStyle w:val="26"/>
        <w:rPr>
          <w:rFonts w:hint="default" w:ascii="Times New Roman" w:hAnsi="Times New Roman" w:eastAsia="仿宋_GB2312" w:cs="Times New Roman"/>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default" w:ascii="Times New Roman" w:hAnsi="Times New Roman" w:eastAsia="仿宋_GB2312" w:cs="Times New Roman"/>
        </w:rPr>
        <w:fldChar w:fldCharType="end"/>
      </w:r>
    </w:p>
    <w:p w14:paraId="4F6AB756">
      <w:pPr>
        <w:ind w:firstLine="0" w:firstLineChars="0"/>
        <w:rPr>
          <w:rFonts w:hint="default" w:ascii="Times New Roman" w:hAnsi="Times New Roman" w:eastAsia="仿宋_GB2312" w:cs="Times New Roman"/>
          <w:b/>
          <w:bCs/>
          <w:color w:val="000000"/>
        </w:rPr>
      </w:pPr>
    </w:p>
    <w:p w14:paraId="16C2FE69">
      <w:pPr>
        <w:ind w:firstLine="0" w:firstLineChars="0"/>
        <w:rPr>
          <w:rFonts w:hint="default" w:ascii="Times New Roman" w:hAnsi="Times New Roman" w:eastAsia="仿宋_GB2312" w:cs="Times New Roman"/>
          <w:b/>
          <w:bCs/>
          <w:color w:val="000000"/>
        </w:rPr>
      </w:pPr>
      <w:r>
        <w:rPr>
          <w:rFonts w:hint="default" w:ascii="Times New Roman" w:hAnsi="Times New Roman" w:eastAsia="仿宋_GB2312" w:cs="Times New Roman"/>
          <w:b/>
          <w:bCs/>
          <w:color w:val="000000"/>
        </w:rPr>
        <w:t>附图</w:t>
      </w:r>
    </w:p>
    <w:p w14:paraId="613D8C06">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附图1：项目地理位置图</w:t>
      </w:r>
    </w:p>
    <w:p w14:paraId="4EE52597">
      <w:pPr>
        <w:ind w:firstLine="480"/>
        <w:rPr>
          <w:rFonts w:hint="default" w:ascii="Times New Roman" w:hAnsi="Times New Roman" w:eastAsia="仿宋_GB2312" w:cs="Times New Roman"/>
          <w:color w:val="000000"/>
          <w:highlight w:val="none"/>
        </w:rPr>
      </w:pPr>
      <w:r>
        <w:rPr>
          <w:rFonts w:hint="default" w:ascii="Times New Roman" w:hAnsi="Times New Roman" w:eastAsia="仿宋_GB2312" w:cs="Times New Roman"/>
          <w:color w:val="000000"/>
          <w:highlight w:val="none"/>
        </w:rPr>
        <w:t>附图2：</w:t>
      </w:r>
      <w:r>
        <w:rPr>
          <w:rFonts w:hint="eastAsia" w:ascii="Times New Roman" w:hAnsi="Times New Roman" w:eastAsia="仿宋_GB2312" w:cs="Times New Roman"/>
          <w:color w:val="000000"/>
          <w:highlight w:val="none"/>
          <w:lang w:val="en-US" w:eastAsia="zh-CN"/>
        </w:rPr>
        <w:t>氢气</w:t>
      </w:r>
      <w:r>
        <w:rPr>
          <w:rFonts w:hint="default" w:ascii="Times New Roman" w:hAnsi="Times New Roman" w:eastAsia="仿宋_GB2312" w:cs="Times New Roman"/>
          <w:color w:val="000000"/>
          <w:highlight w:val="none"/>
        </w:rPr>
        <w:t>输送管道线路走向及周边概况图</w:t>
      </w:r>
    </w:p>
    <w:p w14:paraId="350A5B3E">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附图</w:t>
      </w:r>
      <w:r>
        <w:rPr>
          <w:rFonts w:hint="eastAsia" w:cs="Times New Roman"/>
          <w:color w:val="000000"/>
          <w:lang w:val="en-US" w:eastAsia="zh-CN"/>
        </w:rPr>
        <w:t>3</w:t>
      </w:r>
      <w:r>
        <w:rPr>
          <w:rFonts w:hint="default" w:ascii="Times New Roman" w:hAnsi="Times New Roman" w:eastAsia="仿宋_GB2312" w:cs="Times New Roman"/>
          <w:color w:val="000000"/>
        </w:rPr>
        <w:t>：项目管线沿线用地规划图</w:t>
      </w:r>
    </w:p>
    <w:p w14:paraId="29CCAE7E">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附图</w:t>
      </w:r>
      <w:r>
        <w:rPr>
          <w:rFonts w:hint="eastAsia" w:cs="Times New Roman"/>
          <w:color w:val="auto"/>
          <w:lang w:val="en-US" w:eastAsia="zh-CN"/>
        </w:rPr>
        <w:t>4</w:t>
      </w:r>
      <w:r>
        <w:rPr>
          <w:rFonts w:hint="default" w:ascii="Times New Roman" w:hAnsi="Times New Roman" w:eastAsia="仿宋_GB2312" w:cs="Times New Roman"/>
          <w:color w:val="auto"/>
        </w:rPr>
        <w:t>：区域水系图</w:t>
      </w:r>
    </w:p>
    <w:p w14:paraId="7D271F6F">
      <w:pPr>
        <w:ind w:firstLine="480"/>
        <w:rPr>
          <w:rFonts w:hint="eastAsia" w:cs="Times New Roman"/>
          <w:color w:val="auto"/>
          <w:lang w:eastAsia="zh-CN"/>
        </w:rPr>
      </w:pPr>
      <w:r>
        <w:rPr>
          <w:rFonts w:hint="default" w:ascii="Times New Roman" w:hAnsi="Times New Roman" w:eastAsia="仿宋_GB2312" w:cs="Times New Roman"/>
          <w:color w:val="auto"/>
        </w:rPr>
        <w:t>附图</w:t>
      </w:r>
      <w:r>
        <w:rPr>
          <w:rFonts w:hint="eastAsia" w:cs="Times New Roman"/>
          <w:color w:val="auto"/>
          <w:lang w:val="en-US" w:eastAsia="zh-CN"/>
        </w:rPr>
        <w:t>5-1</w:t>
      </w:r>
      <w:r>
        <w:rPr>
          <w:rFonts w:hint="default" w:ascii="Times New Roman" w:hAnsi="Times New Roman" w:eastAsia="仿宋_GB2312" w:cs="Times New Roman"/>
          <w:color w:val="auto"/>
        </w:rPr>
        <w:t>：项目与</w:t>
      </w:r>
      <w:r>
        <w:rPr>
          <w:rFonts w:hint="eastAsia" w:cs="Times New Roman"/>
          <w:color w:val="auto"/>
          <w:lang w:val="en-US" w:eastAsia="zh-CN"/>
        </w:rPr>
        <w:t>生态环境管控单元</w:t>
      </w:r>
      <w:r>
        <w:rPr>
          <w:rFonts w:hint="default" w:ascii="Times New Roman" w:hAnsi="Times New Roman" w:eastAsia="仿宋_GB2312" w:cs="Times New Roman"/>
          <w:color w:val="auto"/>
        </w:rPr>
        <w:t>位置关系图</w:t>
      </w:r>
      <w:r>
        <w:rPr>
          <w:rFonts w:hint="eastAsia" w:cs="Times New Roman"/>
          <w:color w:val="auto"/>
          <w:lang w:eastAsia="zh-CN"/>
        </w:rPr>
        <w:t>（</w:t>
      </w:r>
      <w:r>
        <w:rPr>
          <w:rFonts w:hint="eastAsia" w:cs="Times New Roman"/>
          <w:color w:val="auto"/>
          <w:lang w:val="en-US" w:eastAsia="zh-CN"/>
        </w:rPr>
        <w:t>整体</w:t>
      </w:r>
      <w:r>
        <w:rPr>
          <w:rFonts w:hint="eastAsia" w:cs="Times New Roman"/>
          <w:color w:val="auto"/>
          <w:lang w:eastAsia="zh-CN"/>
        </w:rPr>
        <w:t>）</w:t>
      </w:r>
    </w:p>
    <w:p w14:paraId="0DBEBCBE">
      <w:pPr>
        <w:ind w:firstLine="480"/>
        <w:rPr>
          <w:rFonts w:hint="eastAsia"/>
          <w:color w:val="auto"/>
          <w:lang w:eastAsia="zh-CN"/>
        </w:rPr>
      </w:pPr>
      <w:r>
        <w:rPr>
          <w:rFonts w:hint="default" w:ascii="Times New Roman" w:hAnsi="Times New Roman" w:eastAsia="仿宋_GB2312" w:cs="Times New Roman"/>
          <w:color w:val="auto"/>
        </w:rPr>
        <w:t>附图</w:t>
      </w:r>
      <w:r>
        <w:rPr>
          <w:rFonts w:hint="eastAsia" w:cs="Times New Roman"/>
          <w:color w:val="auto"/>
          <w:lang w:val="en-US" w:eastAsia="zh-CN"/>
        </w:rPr>
        <w:t>5-2</w:t>
      </w:r>
      <w:r>
        <w:rPr>
          <w:rFonts w:hint="default" w:ascii="Times New Roman" w:hAnsi="Times New Roman" w:eastAsia="仿宋_GB2312" w:cs="Times New Roman"/>
          <w:color w:val="auto"/>
        </w:rPr>
        <w:t>：项目与</w:t>
      </w:r>
      <w:r>
        <w:rPr>
          <w:rFonts w:hint="eastAsia" w:cs="Times New Roman"/>
          <w:color w:val="auto"/>
          <w:lang w:val="en-US" w:eastAsia="zh-CN"/>
        </w:rPr>
        <w:t>生态环境管控单元</w:t>
      </w:r>
      <w:r>
        <w:rPr>
          <w:rFonts w:hint="default" w:ascii="Times New Roman" w:hAnsi="Times New Roman" w:eastAsia="仿宋_GB2312" w:cs="Times New Roman"/>
          <w:color w:val="auto"/>
        </w:rPr>
        <w:t>位置关系图</w:t>
      </w:r>
      <w:r>
        <w:rPr>
          <w:rFonts w:hint="eastAsia" w:cs="Times New Roman"/>
          <w:color w:val="auto"/>
          <w:lang w:eastAsia="zh-CN"/>
        </w:rPr>
        <w:t>（</w:t>
      </w:r>
      <w:r>
        <w:rPr>
          <w:rFonts w:hint="eastAsia" w:cs="Times New Roman"/>
          <w:color w:val="auto"/>
          <w:lang w:val="en-US" w:eastAsia="zh-CN"/>
        </w:rPr>
        <w:t>局部</w:t>
      </w:r>
      <w:r>
        <w:rPr>
          <w:rFonts w:hint="eastAsia" w:cs="Times New Roman"/>
          <w:color w:val="auto"/>
          <w:lang w:eastAsia="zh-CN"/>
        </w:rPr>
        <w:t>）</w:t>
      </w:r>
    </w:p>
    <w:p w14:paraId="2F89556C">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附图</w:t>
      </w:r>
      <w:r>
        <w:rPr>
          <w:rFonts w:hint="eastAsia" w:cs="Times New Roman"/>
          <w:color w:val="000000"/>
          <w:lang w:val="en-US" w:eastAsia="zh-CN"/>
        </w:rPr>
        <w:t>6</w:t>
      </w:r>
      <w:r>
        <w:rPr>
          <w:rFonts w:hint="default" w:ascii="Times New Roman" w:hAnsi="Times New Roman" w:eastAsia="仿宋_GB2312" w:cs="Times New Roman"/>
          <w:color w:val="000000"/>
        </w:rPr>
        <w:t>：项目与生态红线区域位置关系图</w:t>
      </w:r>
    </w:p>
    <w:p w14:paraId="2E95EB09">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附图</w:t>
      </w:r>
      <w:r>
        <w:rPr>
          <w:rFonts w:hint="eastAsia" w:cs="Times New Roman"/>
          <w:color w:val="000000"/>
          <w:lang w:val="en-US" w:eastAsia="zh-CN"/>
        </w:rPr>
        <w:t>7</w:t>
      </w:r>
      <w:r>
        <w:rPr>
          <w:rFonts w:hint="default" w:ascii="Times New Roman" w:hAnsi="Times New Roman" w:eastAsia="仿宋_GB2312" w:cs="Times New Roman"/>
          <w:color w:val="000000"/>
        </w:rPr>
        <w:t>：项目与生态</w:t>
      </w:r>
      <w:r>
        <w:rPr>
          <w:rFonts w:hint="eastAsia" w:cs="Times New Roman"/>
          <w:color w:val="000000"/>
          <w:lang w:val="en-US" w:eastAsia="zh-CN"/>
        </w:rPr>
        <w:t>空间</w:t>
      </w:r>
      <w:r>
        <w:rPr>
          <w:rFonts w:hint="default" w:ascii="Times New Roman" w:hAnsi="Times New Roman" w:eastAsia="仿宋_GB2312" w:cs="Times New Roman"/>
          <w:color w:val="000000"/>
        </w:rPr>
        <w:t>位置关系图</w:t>
      </w:r>
    </w:p>
    <w:p w14:paraId="51458DCE">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附图</w:t>
      </w:r>
      <w:r>
        <w:rPr>
          <w:rFonts w:hint="eastAsia" w:cs="Times New Roman"/>
          <w:color w:val="000000"/>
          <w:lang w:val="en-US" w:eastAsia="zh-CN"/>
        </w:rPr>
        <w:t>8</w:t>
      </w:r>
      <w:r>
        <w:rPr>
          <w:rFonts w:hint="default" w:ascii="Times New Roman" w:hAnsi="Times New Roman" w:eastAsia="仿宋_GB2312" w:cs="Times New Roman"/>
          <w:color w:val="000000"/>
        </w:rPr>
        <w:t>：项目环境风险评价范围图</w:t>
      </w:r>
    </w:p>
    <w:p w14:paraId="6D82B65F">
      <w:pPr>
        <w:pStyle w:val="26"/>
        <w:rPr>
          <w:rFonts w:hint="default" w:ascii="Times New Roman" w:hAnsi="Times New Roman" w:eastAsia="仿宋_GB2312" w:cs="Times New Roman"/>
        </w:rPr>
      </w:pPr>
    </w:p>
    <w:p w14:paraId="603F14C3">
      <w:pPr>
        <w:ind w:firstLine="0" w:firstLineChars="0"/>
        <w:rPr>
          <w:rFonts w:hint="default" w:ascii="Times New Roman" w:hAnsi="Times New Roman" w:eastAsia="仿宋_GB2312" w:cs="Times New Roman"/>
          <w:b/>
          <w:bCs/>
          <w:color w:val="000000"/>
        </w:rPr>
      </w:pPr>
      <w:r>
        <w:rPr>
          <w:rFonts w:hint="default" w:ascii="Times New Roman" w:hAnsi="Times New Roman" w:eastAsia="仿宋_GB2312" w:cs="Times New Roman"/>
          <w:b/>
          <w:bCs/>
          <w:color w:val="000000"/>
        </w:rPr>
        <w:t>附件</w:t>
      </w:r>
    </w:p>
    <w:p w14:paraId="70D0CA2C">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附件1：项目委托书</w:t>
      </w:r>
    </w:p>
    <w:p w14:paraId="379F5B2F">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附件2：营业执照</w:t>
      </w:r>
    </w:p>
    <w:p w14:paraId="1D567734">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附件3：项目立项备案文件</w:t>
      </w:r>
    </w:p>
    <w:p w14:paraId="238F7E7B">
      <w:pPr>
        <w:ind w:firstLine="480"/>
        <w:rPr>
          <w:rFonts w:hint="default" w:cs="Times New Roman"/>
          <w:color w:val="000000"/>
          <w:highlight w:val="yellow"/>
          <w:lang w:val="en-US" w:eastAsia="zh-CN"/>
        </w:rPr>
      </w:pPr>
      <w:r>
        <w:rPr>
          <w:rFonts w:hint="default" w:ascii="Times New Roman" w:hAnsi="Times New Roman" w:eastAsia="仿宋_GB2312" w:cs="Times New Roman"/>
          <w:color w:val="000000"/>
        </w:rPr>
        <w:t>附件4：</w:t>
      </w:r>
      <w:r>
        <w:rPr>
          <w:rFonts w:hint="eastAsia" w:cs="Times New Roman"/>
          <w:color w:val="000000"/>
          <w:lang w:eastAsia="zh-CN"/>
        </w:rPr>
        <w:t>《</w:t>
      </w:r>
      <w:r>
        <w:rPr>
          <w:rFonts w:hint="eastAsia" w:cs="Times New Roman"/>
          <w:color w:val="000000"/>
          <w:lang w:val="en-US" w:eastAsia="zh-CN"/>
        </w:rPr>
        <w:t>关于淮北润土高分子新材料研究院有限公司科创加速器氢气管道项目</w:t>
      </w:r>
      <w:r>
        <w:rPr>
          <w:rFonts w:hint="eastAsia" w:cs="Times New Roman"/>
          <w:color w:val="000000"/>
          <w:highlight w:val="none"/>
          <w:lang w:val="en-US" w:eastAsia="zh-CN"/>
        </w:rPr>
        <w:t>管位申请</w:t>
      </w:r>
      <w:r>
        <w:rPr>
          <w:rFonts w:hint="eastAsia" w:cs="Times New Roman"/>
          <w:color w:val="000000"/>
          <w:lang w:eastAsia="zh-CN"/>
        </w:rPr>
        <w:t>》</w:t>
      </w:r>
      <w:r>
        <w:rPr>
          <w:rFonts w:hint="eastAsia" w:cs="Times New Roman"/>
          <w:color w:val="000000"/>
          <w:lang w:val="en-US" w:eastAsia="zh-CN"/>
        </w:rPr>
        <w:t>的复函</w:t>
      </w:r>
    </w:p>
    <w:p w14:paraId="00F51A2D">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附件5：</w:t>
      </w:r>
      <w:r>
        <w:rPr>
          <w:rFonts w:hint="eastAsia" w:ascii="Times New Roman" w:hAnsi="Times New Roman" w:eastAsia="仿宋_GB2312" w:cs="Times New Roman"/>
          <w:color w:val="000000"/>
          <w:lang w:val="en-US" w:eastAsia="zh-CN"/>
        </w:rPr>
        <w:t>企业</w:t>
      </w:r>
      <w:r>
        <w:rPr>
          <w:rFonts w:hint="default" w:ascii="Times New Roman" w:hAnsi="Times New Roman" w:eastAsia="仿宋_GB2312" w:cs="Times New Roman"/>
          <w:color w:val="000000"/>
        </w:rPr>
        <w:t>现有项目环评批复</w:t>
      </w:r>
    </w:p>
    <w:p w14:paraId="6C396280">
      <w:pPr>
        <w:ind w:firstLine="480"/>
        <w:rPr>
          <w:rFonts w:hint="eastAsia" w:cs="Times New Roman"/>
          <w:color w:val="000000"/>
          <w:highlight w:val="none"/>
          <w:lang w:val="en-US" w:eastAsia="zh-CN"/>
        </w:rPr>
      </w:pPr>
      <w:r>
        <w:rPr>
          <w:rFonts w:hint="eastAsia" w:ascii="Times New Roman" w:hAnsi="Times New Roman" w:eastAsia="仿宋_GB2312" w:cs="Times New Roman"/>
          <w:color w:val="000000"/>
          <w:kern w:val="2"/>
          <w:sz w:val="24"/>
          <w:szCs w:val="24"/>
          <w:lang w:val="en-US" w:eastAsia="zh-CN" w:bidi="ar-SA"/>
        </w:rPr>
        <w:t>附件6</w:t>
      </w:r>
      <w:r>
        <w:rPr>
          <w:rFonts w:hint="eastAsia" w:ascii="Times New Roman" w:hAnsi="Times New Roman" w:cs="Times New Roman"/>
          <w:color w:val="000000"/>
          <w:kern w:val="2"/>
          <w:sz w:val="24"/>
          <w:szCs w:val="24"/>
          <w:lang w:val="en-US" w:eastAsia="zh-CN" w:bidi="ar-SA"/>
        </w:rPr>
        <w:t>：</w:t>
      </w:r>
      <w:r>
        <w:rPr>
          <w:rFonts w:hint="eastAsia" w:cs="Times New Roman"/>
          <w:color w:val="000000"/>
          <w:highlight w:val="none"/>
          <w:lang w:val="en-US" w:eastAsia="zh-CN"/>
        </w:rPr>
        <w:t>安徽湛为气体有限公司氢气外管及装卸站建设项目验收意见</w:t>
      </w:r>
    </w:p>
    <w:p w14:paraId="5B57785F">
      <w:pPr>
        <w:bidi w:val="0"/>
        <w:rPr>
          <w:rFonts w:hint="eastAsia"/>
          <w:lang w:val="en-US" w:eastAsia="zh-CN"/>
        </w:rPr>
      </w:pPr>
      <w:r>
        <w:rPr>
          <w:rFonts w:hint="eastAsia" w:ascii="Times New Roman" w:hAnsi="Times New Roman" w:eastAsia="仿宋_GB2312" w:cs="Times New Roman"/>
          <w:color w:val="000000"/>
          <w:kern w:val="2"/>
          <w:sz w:val="24"/>
          <w:szCs w:val="24"/>
          <w:lang w:val="en-US" w:eastAsia="zh-CN" w:bidi="ar-SA"/>
        </w:rPr>
        <w:t>附件7</w:t>
      </w:r>
      <w:r>
        <w:rPr>
          <w:rFonts w:hint="eastAsia"/>
          <w:color w:val="auto"/>
          <w:lang w:val="en-US" w:eastAsia="zh-CN"/>
        </w:rPr>
        <w:t>：《企业事业单位突发环境事件应急预案备案表》（备案编号：340664-2026-008-M）</w:t>
      </w:r>
    </w:p>
    <w:p w14:paraId="2BD3F872">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附件</w:t>
      </w:r>
      <w:r>
        <w:rPr>
          <w:rFonts w:hint="eastAsia" w:cs="Times New Roman"/>
          <w:color w:val="000000"/>
          <w:lang w:val="en-US" w:eastAsia="zh-CN"/>
        </w:rPr>
        <w:t>8</w:t>
      </w:r>
      <w:r>
        <w:rPr>
          <w:rFonts w:hint="default" w:ascii="Times New Roman" w:hAnsi="Times New Roman" w:eastAsia="仿宋_GB2312" w:cs="Times New Roman"/>
          <w:color w:val="000000"/>
        </w:rPr>
        <w:t>：</w:t>
      </w:r>
      <w:r>
        <w:rPr>
          <w:rFonts w:hint="default" w:ascii="Times New Roman" w:hAnsi="Times New Roman" w:eastAsia="仿宋_GB2312" w:cs="Times New Roman"/>
          <w:color w:val="000000"/>
          <w:highlight w:val="none"/>
        </w:rPr>
        <w:t>安徽（淮北）新型煤化工合成材料基地综合管廊工程二期项目</w:t>
      </w:r>
      <w:r>
        <w:rPr>
          <w:rFonts w:hint="default" w:ascii="Times New Roman" w:hAnsi="Times New Roman" w:eastAsia="仿宋_GB2312" w:cs="Times New Roman"/>
          <w:color w:val="000000"/>
        </w:rPr>
        <w:t>环评批复</w:t>
      </w:r>
    </w:p>
    <w:p w14:paraId="64412718">
      <w:pPr>
        <w:ind w:firstLine="480"/>
        <w:rPr>
          <w:rFonts w:hint="default" w:ascii="Times New Roman" w:hAnsi="Times New Roman" w:eastAsia="仿宋_GB2312" w:cs="Times New Roman"/>
          <w:color w:val="000000"/>
          <w:highlight w:val="none"/>
          <w:lang w:val="en-US" w:eastAsia="zh-CN"/>
        </w:rPr>
      </w:pPr>
      <w:r>
        <w:rPr>
          <w:rFonts w:hint="default" w:ascii="Times New Roman" w:hAnsi="Times New Roman" w:eastAsia="仿宋_GB2312" w:cs="Times New Roman"/>
          <w:color w:val="000000"/>
        </w:rPr>
        <w:t>附件</w:t>
      </w:r>
      <w:r>
        <w:rPr>
          <w:rFonts w:hint="eastAsia" w:cs="Times New Roman"/>
          <w:color w:val="000000"/>
          <w:lang w:val="en-US" w:eastAsia="zh-CN"/>
        </w:rPr>
        <w:t>9</w:t>
      </w:r>
      <w:r>
        <w:rPr>
          <w:rFonts w:hint="default" w:ascii="Times New Roman" w:hAnsi="Times New Roman" w:eastAsia="仿宋_GB2312" w:cs="Times New Roman"/>
          <w:color w:val="000000"/>
        </w:rPr>
        <w:t>：</w:t>
      </w:r>
      <w:r>
        <w:rPr>
          <w:rFonts w:hint="default" w:ascii="Times New Roman" w:hAnsi="Times New Roman" w:eastAsia="仿宋_GB2312" w:cs="Times New Roman"/>
          <w:color w:val="000000"/>
          <w:highlight w:val="none"/>
        </w:rPr>
        <w:t>《安徽（淮北）新型煤化工合成材料基地基础配套设施投资建设项目公共服务一体化项目公共管廊工程一期项目》</w:t>
      </w:r>
      <w:r>
        <w:rPr>
          <w:rFonts w:hint="eastAsia" w:cs="Times New Roman"/>
          <w:color w:val="000000"/>
          <w:highlight w:val="none"/>
          <w:lang w:val="en-US" w:eastAsia="zh-CN"/>
        </w:rPr>
        <w:t>环境影响登记表</w:t>
      </w:r>
    </w:p>
    <w:p w14:paraId="22B7AD9F">
      <w:pPr>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附件</w:t>
      </w:r>
      <w:r>
        <w:rPr>
          <w:rFonts w:hint="eastAsia" w:cs="Times New Roman"/>
          <w:color w:val="000000"/>
          <w:lang w:val="en-US" w:eastAsia="zh-CN"/>
        </w:rPr>
        <w:t>10</w:t>
      </w:r>
      <w:r>
        <w:rPr>
          <w:rFonts w:hint="default" w:ascii="Times New Roman" w:hAnsi="Times New Roman" w:eastAsia="仿宋_GB2312" w:cs="Times New Roman"/>
          <w:color w:val="000000"/>
        </w:rPr>
        <w:t>：声明</w:t>
      </w:r>
    </w:p>
    <w:p w14:paraId="447BF838">
      <w:pPr>
        <w:pStyle w:val="26"/>
        <w:rPr>
          <w:rFonts w:hint="default" w:ascii="Times New Roman" w:hAnsi="Times New Roman" w:eastAsia="仿宋_GB2312" w:cs="Times New Roman"/>
        </w:rPr>
      </w:pPr>
    </w:p>
    <w:p w14:paraId="335CC1EA">
      <w:pPr>
        <w:pStyle w:val="26"/>
        <w:ind w:firstLine="480" w:firstLineChars="200"/>
        <w:rPr>
          <w:rFonts w:hint="default" w:ascii="Times New Roman" w:hAnsi="Times New Roman" w:eastAsia="仿宋_GB2312" w:cs="Times New Roman"/>
        </w:rPr>
      </w:pPr>
    </w:p>
    <w:p w14:paraId="5D3C5B2B">
      <w:pPr>
        <w:ind w:firstLine="480"/>
        <w:rPr>
          <w:rFonts w:hint="default" w:ascii="Times New Roman" w:hAnsi="Times New Roman" w:eastAsia="仿宋_GB2312" w:cs="Times New Roman"/>
          <w:color w:val="000000"/>
        </w:rPr>
        <w:sectPr>
          <w:footerReference r:id="rId11"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227D343E">
      <w:pPr>
        <w:pStyle w:val="3"/>
        <w:spacing w:before="24" w:after="24"/>
        <w:rPr>
          <w:rFonts w:hint="default" w:ascii="Times New Roman" w:hAnsi="Times New Roman" w:eastAsia="仿宋_GB2312" w:cs="Times New Roman"/>
          <w:b/>
          <w:bCs w:val="0"/>
        </w:rPr>
      </w:pPr>
      <w:bookmarkStart w:id="3" w:name="_Toc16332"/>
      <w:r>
        <w:rPr>
          <w:rFonts w:hint="default" w:ascii="Times New Roman" w:hAnsi="Times New Roman" w:eastAsia="仿宋_GB2312" w:cs="Times New Roman"/>
          <w:b/>
          <w:bCs w:val="0"/>
        </w:rPr>
        <w:t>一、建设项目基本情况</w:t>
      </w:r>
      <w:bookmarkEnd w:id="3"/>
    </w:p>
    <w:tbl>
      <w:tblPr>
        <w:tblStyle w:val="14"/>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31"/>
        <w:gridCol w:w="2838"/>
        <w:gridCol w:w="126"/>
        <w:gridCol w:w="1984"/>
        <w:gridCol w:w="118"/>
        <w:gridCol w:w="2542"/>
      </w:tblGrid>
      <w:tr w14:paraId="66013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431" w:type="dxa"/>
            <w:noWrap w:val="0"/>
            <w:tcMar>
              <w:top w:w="16" w:type="dxa"/>
              <w:left w:w="16" w:type="dxa"/>
              <w:right w:w="16" w:type="dxa"/>
            </w:tcMar>
            <w:vAlign w:val="center"/>
          </w:tcPr>
          <w:p w14:paraId="3016ACEC">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建设项目名称</w:t>
            </w:r>
          </w:p>
        </w:tc>
        <w:tc>
          <w:tcPr>
            <w:tcW w:w="7608" w:type="dxa"/>
            <w:gridSpan w:val="5"/>
            <w:noWrap w:val="0"/>
            <w:vAlign w:val="center"/>
          </w:tcPr>
          <w:p w14:paraId="029FA17D">
            <w:pPr>
              <w:pStyle w:val="31"/>
              <w:rPr>
                <w:rFonts w:hint="default" w:ascii="Times New Roman" w:hAnsi="Times New Roman" w:eastAsia="仿宋_GB2312" w:cs="Times New Roman"/>
                <w:color w:val="auto"/>
              </w:rPr>
            </w:pPr>
            <w:r>
              <w:rPr>
                <w:rFonts w:hint="eastAsia" w:eastAsia="仿宋_GB2312" w:cs="Times New Roman"/>
                <w:color w:val="auto"/>
                <w:lang w:val="en-US" w:eastAsia="zh-CN"/>
              </w:rPr>
              <w:t>科创加速器</w:t>
            </w:r>
            <w:r>
              <w:rPr>
                <w:rFonts w:hint="default" w:ascii="Times New Roman" w:hAnsi="Times New Roman" w:eastAsia="仿宋_GB2312" w:cs="Times New Roman"/>
                <w:color w:val="auto"/>
              </w:rPr>
              <w:t>氢气</w:t>
            </w:r>
            <w:r>
              <w:rPr>
                <w:rFonts w:hint="eastAsia" w:eastAsia="仿宋_GB2312" w:cs="Times New Roman"/>
                <w:color w:val="auto"/>
                <w:lang w:val="en-US" w:eastAsia="zh-CN"/>
              </w:rPr>
              <w:t>管道</w:t>
            </w:r>
            <w:r>
              <w:rPr>
                <w:rFonts w:hint="default" w:ascii="Times New Roman" w:hAnsi="Times New Roman" w:eastAsia="仿宋_GB2312" w:cs="Times New Roman"/>
                <w:color w:val="auto"/>
              </w:rPr>
              <w:t>项目</w:t>
            </w:r>
          </w:p>
        </w:tc>
      </w:tr>
      <w:tr w14:paraId="785E47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431" w:type="dxa"/>
            <w:noWrap w:val="0"/>
            <w:tcMar>
              <w:top w:w="16" w:type="dxa"/>
              <w:left w:w="16" w:type="dxa"/>
              <w:right w:w="16" w:type="dxa"/>
            </w:tcMar>
            <w:vAlign w:val="center"/>
          </w:tcPr>
          <w:p w14:paraId="029CA506">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项目代码</w:t>
            </w:r>
          </w:p>
        </w:tc>
        <w:tc>
          <w:tcPr>
            <w:tcW w:w="7608" w:type="dxa"/>
            <w:gridSpan w:val="5"/>
            <w:noWrap w:val="0"/>
            <w:vAlign w:val="center"/>
          </w:tcPr>
          <w:p w14:paraId="30B52A75">
            <w:pPr>
              <w:pStyle w:val="31"/>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2</w:t>
            </w:r>
            <w:r>
              <w:rPr>
                <w:rFonts w:hint="eastAsia" w:eastAsia="仿宋_GB2312" w:cs="Times New Roman"/>
                <w:color w:val="auto"/>
                <w:lang w:val="en-US" w:eastAsia="zh-CN"/>
              </w:rPr>
              <w:t>601</w:t>
            </w:r>
            <w:r>
              <w:rPr>
                <w:rFonts w:hint="default" w:ascii="Times New Roman" w:hAnsi="Times New Roman" w:eastAsia="仿宋_GB2312" w:cs="Times New Roman"/>
                <w:color w:val="auto"/>
              </w:rPr>
              <w:t>-340</w:t>
            </w:r>
            <w:r>
              <w:rPr>
                <w:rFonts w:hint="eastAsia" w:ascii="Times New Roman" w:hAnsi="Times New Roman" w:eastAsia="仿宋_GB2312" w:cs="Times New Roman"/>
                <w:color w:val="auto"/>
                <w:lang w:val="en-US" w:eastAsia="zh-CN"/>
              </w:rPr>
              <w:t>664</w:t>
            </w:r>
            <w:r>
              <w:rPr>
                <w:rFonts w:hint="default" w:ascii="Times New Roman" w:hAnsi="Times New Roman" w:eastAsia="仿宋_GB2312" w:cs="Times New Roman"/>
                <w:color w:val="auto"/>
              </w:rPr>
              <w:t>-04-0</w:t>
            </w:r>
            <w:r>
              <w:rPr>
                <w:rFonts w:hint="eastAsia" w:eastAsia="仿宋_GB2312" w:cs="Times New Roman"/>
                <w:color w:val="auto"/>
                <w:lang w:val="en-US" w:eastAsia="zh-CN"/>
              </w:rPr>
              <w:t>1</w:t>
            </w:r>
            <w:r>
              <w:rPr>
                <w:rFonts w:hint="default" w:ascii="Times New Roman" w:hAnsi="Times New Roman" w:eastAsia="仿宋_GB2312" w:cs="Times New Roman"/>
                <w:color w:val="auto"/>
              </w:rPr>
              <w:t>-</w:t>
            </w:r>
            <w:r>
              <w:rPr>
                <w:rFonts w:hint="eastAsia" w:eastAsia="仿宋_GB2312" w:cs="Times New Roman"/>
                <w:color w:val="auto"/>
                <w:lang w:val="en-US" w:eastAsia="zh-CN"/>
              </w:rPr>
              <w:t>417124</w:t>
            </w:r>
          </w:p>
        </w:tc>
      </w:tr>
      <w:tr w14:paraId="14DEC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431" w:type="dxa"/>
            <w:noWrap w:val="0"/>
            <w:tcMar>
              <w:top w:w="16" w:type="dxa"/>
              <w:left w:w="16" w:type="dxa"/>
              <w:right w:w="16" w:type="dxa"/>
            </w:tcMar>
            <w:vAlign w:val="center"/>
          </w:tcPr>
          <w:p w14:paraId="2A9D3950">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建设单位联系人</w:t>
            </w:r>
          </w:p>
        </w:tc>
        <w:tc>
          <w:tcPr>
            <w:tcW w:w="2838" w:type="dxa"/>
            <w:noWrap w:val="0"/>
            <w:vAlign w:val="center"/>
          </w:tcPr>
          <w:p w14:paraId="16FEB30F">
            <w:pPr>
              <w:pStyle w:val="31"/>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陈贵菊</w:t>
            </w:r>
          </w:p>
        </w:tc>
        <w:tc>
          <w:tcPr>
            <w:tcW w:w="2228" w:type="dxa"/>
            <w:gridSpan w:val="3"/>
            <w:noWrap w:val="0"/>
            <w:vAlign w:val="center"/>
          </w:tcPr>
          <w:p w14:paraId="6A66515C">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联系方式</w:t>
            </w:r>
          </w:p>
        </w:tc>
        <w:tc>
          <w:tcPr>
            <w:tcW w:w="2542" w:type="dxa"/>
            <w:noWrap w:val="0"/>
            <w:vAlign w:val="center"/>
          </w:tcPr>
          <w:p w14:paraId="4F9AAE6E">
            <w:pPr>
              <w:pStyle w:val="31"/>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highlight w:val="none"/>
              </w:rPr>
              <w:t>13</w:t>
            </w:r>
            <w:r>
              <w:rPr>
                <w:rFonts w:hint="eastAsia" w:eastAsia="仿宋_GB2312" w:cs="Times New Roman"/>
                <w:color w:val="auto"/>
                <w:highlight w:val="none"/>
                <w:lang w:val="en-US" w:eastAsia="zh-CN"/>
              </w:rPr>
              <w:t>085075793</w:t>
            </w:r>
          </w:p>
        </w:tc>
      </w:tr>
      <w:tr w14:paraId="794BE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431" w:type="dxa"/>
            <w:noWrap w:val="0"/>
            <w:tcMar>
              <w:top w:w="16" w:type="dxa"/>
              <w:left w:w="16" w:type="dxa"/>
              <w:right w:w="16" w:type="dxa"/>
            </w:tcMar>
            <w:vAlign w:val="center"/>
          </w:tcPr>
          <w:p w14:paraId="5B70D2DB">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建设地点</w:t>
            </w:r>
          </w:p>
        </w:tc>
        <w:tc>
          <w:tcPr>
            <w:tcW w:w="7608" w:type="dxa"/>
            <w:gridSpan w:val="5"/>
            <w:noWrap w:val="0"/>
            <w:vAlign w:val="center"/>
          </w:tcPr>
          <w:p w14:paraId="608557EA">
            <w:pPr>
              <w:pStyle w:val="31"/>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安徽（淮北）新型煤化工合成材料</w:t>
            </w:r>
            <w:r>
              <w:rPr>
                <w:rFonts w:hint="eastAsia" w:eastAsia="仿宋_GB2312" w:cs="Times New Roman"/>
                <w:color w:val="auto"/>
                <w:lang w:val="en-US" w:eastAsia="zh-CN"/>
              </w:rPr>
              <w:t>科创加速器西南侧及科创加速器内部</w:t>
            </w:r>
          </w:p>
        </w:tc>
      </w:tr>
      <w:tr w14:paraId="55C1A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431" w:type="dxa"/>
            <w:noWrap w:val="0"/>
            <w:tcMar>
              <w:top w:w="16" w:type="dxa"/>
              <w:left w:w="16" w:type="dxa"/>
              <w:right w:w="16" w:type="dxa"/>
            </w:tcMar>
            <w:vAlign w:val="center"/>
          </w:tcPr>
          <w:p w14:paraId="58FB9DF0">
            <w:pPr>
              <w:pStyle w:val="31"/>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地理坐标</w:t>
            </w:r>
          </w:p>
        </w:tc>
        <w:tc>
          <w:tcPr>
            <w:tcW w:w="7608" w:type="dxa"/>
            <w:gridSpan w:val="5"/>
            <w:noWrap w:val="0"/>
            <w:vAlign w:val="center"/>
          </w:tcPr>
          <w:p w14:paraId="381A7CD0">
            <w:pPr>
              <w:pStyle w:val="31"/>
              <w:jc w:val="left"/>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起点：（</w:t>
            </w:r>
            <w:r>
              <w:rPr>
                <w:rFonts w:hint="default" w:ascii="Times New Roman" w:hAnsi="Times New Roman" w:eastAsia="仿宋_GB2312" w:cs="Times New Roman"/>
                <w:color w:val="auto"/>
                <w:highlight w:val="none"/>
                <w:u w:val="single"/>
              </w:rPr>
              <w:t>116</w:t>
            </w:r>
            <w:r>
              <w:rPr>
                <w:rFonts w:hint="default" w:ascii="Times New Roman" w:hAnsi="Times New Roman" w:eastAsia="仿宋_GB2312" w:cs="Times New Roman"/>
                <w:color w:val="auto"/>
                <w:highlight w:val="none"/>
              </w:rPr>
              <w:t>度</w:t>
            </w:r>
            <w:r>
              <w:rPr>
                <w:rFonts w:hint="eastAsia" w:ascii="Times New Roman" w:hAnsi="Times New Roman" w:eastAsia="仿宋_GB2312" w:cs="Times New Roman"/>
                <w:color w:val="auto"/>
                <w:highlight w:val="none"/>
                <w:u w:val="single"/>
                <w:lang w:val="en-US" w:eastAsia="zh-CN"/>
              </w:rPr>
              <w:t>34</w:t>
            </w:r>
            <w:r>
              <w:rPr>
                <w:rFonts w:hint="default" w:ascii="Times New Roman" w:hAnsi="Times New Roman" w:eastAsia="仿宋_GB2312" w:cs="Times New Roman"/>
                <w:color w:val="auto"/>
                <w:highlight w:val="none"/>
              </w:rPr>
              <w:t>分</w:t>
            </w:r>
            <w:r>
              <w:rPr>
                <w:rFonts w:hint="eastAsia" w:eastAsia="仿宋_GB2312" w:cs="Times New Roman"/>
                <w:color w:val="auto"/>
                <w:highlight w:val="none"/>
                <w:u w:val="single"/>
                <w:lang w:val="en-US" w:eastAsia="zh-CN"/>
              </w:rPr>
              <w:t>30.092</w:t>
            </w:r>
            <w:r>
              <w:rPr>
                <w:rFonts w:hint="default" w:ascii="Times New Roman" w:hAnsi="Times New Roman" w:eastAsia="仿宋_GB2312" w:cs="Times New Roman"/>
                <w:color w:val="auto"/>
                <w:highlight w:val="none"/>
              </w:rPr>
              <w:t>秒，</w:t>
            </w:r>
            <w:r>
              <w:rPr>
                <w:rFonts w:hint="default" w:ascii="Times New Roman" w:hAnsi="Times New Roman" w:eastAsia="仿宋_GB2312" w:cs="Times New Roman"/>
                <w:color w:val="auto"/>
                <w:highlight w:val="none"/>
                <w:u w:val="single"/>
              </w:rPr>
              <w:t>3</w:t>
            </w:r>
            <w:r>
              <w:rPr>
                <w:rFonts w:hint="eastAsia" w:ascii="Times New Roman" w:hAnsi="Times New Roman" w:eastAsia="仿宋_GB2312" w:cs="Times New Roman"/>
                <w:color w:val="auto"/>
                <w:highlight w:val="none"/>
                <w:u w:val="single"/>
                <w:lang w:val="en-US" w:eastAsia="zh-CN"/>
              </w:rPr>
              <w:t>3</w:t>
            </w:r>
            <w:r>
              <w:rPr>
                <w:rFonts w:hint="default" w:ascii="Times New Roman" w:hAnsi="Times New Roman" w:eastAsia="仿宋_GB2312" w:cs="Times New Roman"/>
                <w:color w:val="auto"/>
                <w:highlight w:val="none"/>
              </w:rPr>
              <w:t>度</w:t>
            </w:r>
            <w:r>
              <w:rPr>
                <w:rFonts w:hint="default" w:ascii="Times New Roman" w:hAnsi="Times New Roman" w:eastAsia="仿宋_GB2312" w:cs="Times New Roman"/>
                <w:color w:val="auto"/>
                <w:highlight w:val="none"/>
                <w:u w:val="single"/>
              </w:rPr>
              <w:t>3</w:t>
            </w:r>
            <w:r>
              <w:rPr>
                <w:rFonts w:hint="eastAsia" w:ascii="Times New Roman" w:hAnsi="Times New Roman" w:eastAsia="仿宋_GB2312" w:cs="Times New Roman"/>
                <w:color w:val="auto"/>
                <w:highlight w:val="none"/>
                <w:u w:val="single"/>
                <w:lang w:val="en-US" w:eastAsia="zh-CN"/>
              </w:rPr>
              <w:t>6</w:t>
            </w:r>
            <w:r>
              <w:rPr>
                <w:rFonts w:hint="default" w:ascii="Times New Roman" w:hAnsi="Times New Roman" w:eastAsia="仿宋_GB2312" w:cs="Times New Roman"/>
                <w:color w:val="auto"/>
                <w:highlight w:val="none"/>
              </w:rPr>
              <w:t>分</w:t>
            </w:r>
            <w:r>
              <w:rPr>
                <w:rFonts w:hint="eastAsia" w:eastAsia="仿宋_GB2312" w:cs="Times New Roman"/>
                <w:color w:val="auto"/>
                <w:highlight w:val="none"/>
                <w:u w:val="single"/>
                <w:lang w:val="en-US" w:eastAsia="zh-CN"/>
              </w:rPr>
              <w:t>59.496</w:t>
            </w:r>
            <w:r>
              <w:rPr>
                <w:rFonts w:hint="default" w:ascii="Times New Roman" w:hAnsi="Times New Roman" w:eastAsia="仿宋_GB2312" w:cs="Times New Roman"/>
                <w:color w:val="auto"/>
                <w:highlight w:val="none"/>
              </w:rPr>
              <w:t>秒）</w:t>
            </w:r>
          </w:p>
          <w:p w14:paraId="33C48A0C">
            <w:pPr>
              <w:pStyle w:val="31"/>
              <w:jc w:val="left"/>
              <w:rPr>
                <w:rFonts w:hint="default" w:eastAsia="仿宋_GB2312" w:cs="Times New Roman"/>
                <w:color w:val="auto"/>
                <w:highlight w:val="none"/>
                <w:lang w:val="en-US" w:eastAsia="zh-CN"/>
              </w:rPr>
            </w:pPr>
            <w:r>
              <w:rPr>
                <w:rFonts w:hint="default" w:ascii="Times New Roman" w:hAnsi="Times New Roman" w:eastAsia="仿宋_GB2312" w:cs="Times New Roman"/>
                <w:color w:val="auto"/>
                <w:highlight w:val="none"/>
              </w:rPr>
              <w:t>终点：（</w:t>
            </w:r>
            <w:r>
              <w:rPr>
                <w:rFonts w:hint="default" w:ascii="Times New Roman" w:hAnsi="Times New Roman" w:eastAsia="仿宋_GB2312" w:cs="Times New Roman"/>
                <w:color w:val="auto"/>
                <w:highlight w:val="none"/>
                <w:u w:val="single"/>
              </w:rPr>
              <w:t>116</w:t>
            </w:r>
            <w:r>
              <w:rPr>
                <w:rFonts w:hint="default" w:ascii="Times New Roman" w:hAnsi="Times New Roman" w:eastAsia="仿宋_GB2312" w:cs="Times New Roman"/>
                <w:color w:val="auto"/>
                <w:highlight w:val="none"/>
              </w:rPr>
              <w:t>度</w:t>
            </w:r>
            <w:r>
              <w:rPr>
                <w:rFonts w:hint="eastAsia" w:ascii="Times New Roman" w:hAnsi="Times New Roman" w:eastAsia="仿宋_GB2312" w:cs="Times New Roman"/>
                <w:color w:val="auto"/>
                <w:highlight w:val="none"/>
                <w:u w:val="single"/>
                <w:lang w:val="en-US" w:eastAsia="zh-CN"/>
              </w:rPr>
              <w:t>3</w:t>
            </w:r>
            <w:r>
              <w:rPr>
                <w:rFonts w:hint="eastAsia" w:eastAsia="仿宋_GB2312" w:cs="Times New Roman"/>
                <w:color w:val="auto"/>
                <w:highlight w:val="none"/>
                <w:u w:val="single"/>
                <w:lang w:val="en-US" w:eastAsia="zh-CN"/>
              </w:rPr>
              <w:t>4</w:t>
            </w:r>
            <w:r>
              <w:rPr>
                <w:rFonts w:hint="default" w:ascii="Times New Roman" w:hAnsi="Times New Roman" w:eastAsia="仿宋_GB2312" w:cs="Times New Roman"/>
                <w:color w:val="auto"/>
                <w:highlight w:val="none"/>
              </w:rPr>
              <w:t>分</w:t>
            </w:r>
            <w:r>
              <w:rPr>
                <w:rFonts w:hint="eastAsia" w:eastAsia="仿宋_GB2312" w:cs="Times New Roman"/>
                <w:color w:val="auto"/>
                <w:highlight w:val="none"/>
                <w:u w:val="single"/>
                <w:lang w:val="en-US" w:eastAsia="zh-CN"/>
              </w:rPr>
              <w:t>30.304</w:t>
            </w:r>
            <w:r>
              <w:rPr>
                <w:rFonts w:hint="default" w:ascii="Times New Roman" w:hAnsi="Times New Roman" w:eastAsia="仿宋_GB2312" w:cs="Times New Roman"/>
                <w:color w:val="auto"/>
                <w:highlight w:val="none"/>
              </w:rPr>
              <w:t>秒，</w:t>
            </w:r>
            <w:r>
              <w:rPr>
                <w:rFonts w:hint="default" w:ascii="Times New Roman" w:hAnsi="Times New Roman" w:eastAsia="仿宋_GB2312" w:cs="Times New Roman"/>
                <w:color w:val="auto"/>
                <w:highlight w:val="none"/>
                <w:u w:val="single"/>
              </w:rPr>
              <w:t>3</w:t>
            </w:r>
            <w:r>
              <w:rPr>
                <w:rFonts w:hint="eastAsia" w:ascii="Times New Roman" w:hAnsi="Times New Roman" w:eastAsia="仿宋_GB2312" w:cs="Times New Roman"/>
                <w:color w:val="auto"/>
                <w:highlight w:val="none"/>
                <w:u w:val="single"/>
                <w:lang w:val="en-US" w:eastAsia="zh-CN"/>
              </w:rPr>
              <w:t>3</w:t>
            </w:r>
            <w:r>
              <w:rPr>
                <w:rFonts w:hint="default" w:ascii="Times New Roman" w:hAnsi="Times New Roman" w:eastAsia="仿宋_GB2312" w:cs="Times New Roman"/>
                <w:color w:val="auto"/>
                <w:highlight w:val="none"/>
              </w:rPr>
              <w:t>度</w:t>
            </w:r>
            <w:r>
              <w:rPr>
                <w:rFonts w:hint="default" w:ascii="Times New Roman" w:hAnsi="Times New Roman" w:eastAsia="仿宋_GB2312" w:cs="Times New Roman"/>
                <w:color w:val="auto"/>
                <w:highlight w:val="none"/>
                <w:u w:val="single"/>
              </w:rPr>
              <w:t>3</w:t>
            </w:r>
            <w:r>
              <w:rPr>
                <w:rFonts w:hint="eastAsia" w:eastAsia="仿宋_GB2312" w:cs="Times New Roman"/>
                <w:color w:val="auto"/>
                <w:highlight w:val="none"/>
                <w:u w:val="single"/>
                <w:lang w:val="en-US" w:eastAsia="zh-CN"/>
              </w:rPr>
              <w:t>7</w:t>
            </w:r>
            <w:r>
              <w:rPr>
                <w:rFonts w:hint="default" w:ascii="Times New Roman" w:hAnsi="Times New Roman" w:eastAsia="仿宋_GB2312" w:cs="Times New Roman"/>
                <w:color w:val="auto"/>
                <w:highlight w:val="none"/>
              </w:rPr>
              <w:t>分</w:t>
            </w:r>
            <w:r>
              <w:rPr>
                <w:rFonts w:hint="eastAsia" w:eastAsia="仿宋_GB2312" w:cs="Times New Roman"/>
                <w:color w:val="auto"/>
                <w:highlight w:val="none"/>
                <w:u w:val="single"/>
                <w:lang w:val="en-US" w:eastAsia="zh-CN"/>
              </w:rPr>
              <w:t>4.517</w:t>
            </w:r>
            <w:r>
              <w:rPr>
                <w:rFonts w:hint="default" w:ascii="Times New Roman" w:hAnsi="Times New Roman" w:eastAsia="仿宋_GB2312" w:cs="Times New Roman"/>
                <w:color w:val="auto"/>
                <w:highlight w:val="none"/>
              </w:rPr>
              <w:t>秒）</w:t>
            </w:r>
          </w:p>
        </w:tc>
      </w:tr>
      <w:tr w14:paraId="7B2AD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431" w:type="dxa"/>
            <w:noWrap w:val="0"/>
            <w:tcMar>
              <w:top w:w="16" w:type="dxa"/>
              <w:left w:w="16" w:type="dxa"/>
              <w:right w:w="16" w:type="dxa"/>
            </w:tcMar>
            <w:vAlign w:val="center"/>
          </w:tcPr>
          <w:p w14:paraId="1B350FB3">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建设项目</w:t>
            </w:r>
          </w:p>
          <w:p w14:paraId="3CF3196B">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行业类别</w:t>
            </w:r>
          </w:p>
        </w:tc>
        <w:tc>
          <w:tcPr>
            <w:tcW w:w="2964" w:type="dxa"/>
            <w:gridSpan w:val="2"/>
            <w:noWrap w:val="0"/>
            <w:vAlign w:val="center"/>
          </w:tcPr>
          <w:p w14:paraId="2DA94694">
            <w:pPr>
              <w:pStyle w:val="31"/>
              <w:rPr>
                <w:rFonts w:hint="default" w:ascii="Times New Roman" w:hAnsi="Times New Roman" w:eastAsia="仿宋_GB2312" w:cs="Times New Roman"/>
                <w:color w:val="auto"/>
              </w:rPr>
            </w:pPr>
            <w:r>
              <w:rPr>
                <w:rFonts w:hint="eastAsia" w:eastAsia="仿宋_GB2312" w:cs="Times New Roman"/>
                <w:color w:val="auto"/>
                <w:lang w:eastAsia="zh-CN"/>
              </w:rPr>
              <w:t>“</w:t>
            </w:r>
            <w:r>
              <w:rPr>
                <w:rFonts w:hint="default" w:ascii="Times New Roman" w:hAnsi="Times New Roman" w:eastAsia="仿宋_GB2312" w:cs="Times New Roman"/>
                <w:color w:val="auto"/>
              </w:rPr>
              <w:t>五十二、交通运输业、管道运输业</w:t>
            </w:r>
            <w:r>
              <w:rPr>
                <w:rFonts w:hint="eastAsia" w:eastAsia="仿宋_GB2312" w:cs="Times New Roman"/>
                <w:color w:val="auto"/>
                <w:lang w:eastAsia="zh-CN"/>
              </w:rPr>
              <w:t>”</w:t>
            </w:r>
            <w:r>
              <w:rPr>
                <w:rFonts w:hint="default" w:ascii="Times New Roman" w:hAnsi="Times New Roman" w:eastAsia="仿宋_GB2312" w:cs="Times New Roman"/>
                <w:color w:val="auto"/>
              </w:rPr>
              <w:t>中</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14</w:t>
            </w:r>
            <w:r>
              <w:rPr>
                <w:rFonts w:hint="default" w:ascii="Times New Roman" w:hAnsi="Times New Roman" w:eastAsia="仿宋_GB2312" w:cs="Times New Roman"/>
                <w:color w:val="auto"/>
                <w:lang w:val="en-US" w:eastAsia="zh-CN"/>
              </w:rPr>
              <w:t>8危险化学品输送管线</w:t>
            </w:r>
            <w:r>
              <w:rPr>
                <w:rFonts w:hint="eastAsia"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eastAsia="zh-CN"/>
              </w:rPr>
              <w:t>不含企业厂区内</w:t>
            </w:r>
            <w:bookmarkStart w:id="16" w:name="_GoBack"/>
            <w:bookmarkEnd w:id="16"/>
            <w:r>
              <w:rPr>
                <w:rFonts w:hint="default" w:ascii="Times New Roman" w:hAnsi="Times New Roman" w:eastAsia="仿宋_GB2312" w:cs="Times New Roman"/>
                <w:color w:val="auto"/>
                <w:lang w:val="en-US" w:eastAsia="zh-CN"/>
              </w:rPr>
              <w:t>管线</w:t>
            </w:r>
            <w:r>
              <w:rPr>
                <w:rFonts w:hint="eastAsia"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eastAsia="zh-CN"/>
              </w:rPr>
              <w:t>中</w:t>
            </w:r>
            <w:r>
              <w:rPr>
                <w:rFonts w:hint="eastAsia"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eastAsia="zh-CN"/>
              </w:rPr>
              <w:t>其他</w:t>
            </w:r>
            <w:r>
              <w:rPr>
                <w:rFonts w:hint="eastAsia" w:ascii="Times New Roman" w:hAnsi="Times New Roman" w:eastAsia="仿宋_GB2312" w:cs="Times New Roman"/>
                <w:color w:val="auto"/>
                <w:lang w:val="en-US" w:eastAsia="zh-CN"/>
              </w:rPr>
              <w:t>”</w:t>
            </w:r>
            <w:r>
              <w:rPr>
                <w:rFonts w:hint="default" w:ascii="Times New Roman" w:hAnsi="Times New Roman" w:eastAsia="仿宋_GB2312" w:cs="Times New Roman"/>
                <w:color w:val="auto"/>
              </w:rPr>
              <w:t>类项目</w:t>
            </w:r>
          </w:p>
        </w:tc>
        <w:tc>
          <w:tcPr>
            <w:tcW w:w="1984" w:type="dxa"/>
            <w:noWrap w:val="0"/>
            <w:vAlign w:val="center"/>
          </w:tcPr>
          <w:p w14:paraId="13E0117F">
            <w:pPr>
              <w:pStyle w:val="31"/>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用地（用海）面积</w:t>
            </w:r>
          </w:p>
          <w:p w14:paraId="49D58DF5">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highlight w:val="none"/>
              </w:rPr>
              <w:t>（m</w:t>
            </w:r>
            <w:r>
              <w:rPr>
                <w:rFonts w:hint="default" w:ascii="Times New Roman" w:hAnsi="Times New Roman" w:eastAsia="仿宋_GB2312" w:cs="Times New Roman"/>
                <w:color w:val="auto"/>
                <w:highlight w:val="none"/>
                <w:vertAlign w:val="superscript"/>
              </w:rPr>
              <w:t>2</w:t>
            </w:r>
            <w:r>
              <w:rPr>
                <w:rFonts w:hint="default" w:ascii="Times New Roman" w:hAnsi="Times New Roman" w:eastAsia="仿宋_GB2312" w:cs="Times New Roman"/>
                <w:color w:val="auto"/>
                <w:highlight w:val="none"/>
              </w:rPr>
              <w:t>）/长度（km）</w:t>
            </w:r>
          </w:p>
        </w:tc>
        <w:tc>
          <w:tcPr>
            <w:tcW w:w="2660" w:type="dxa"/>
            <w:gridSpan w:val="2"/>
            <w:noWrap w:val="0"/>
            <w:vAlign w:val="center"/>
          </w:tcPr>
          <w:p w14:paraId="4380FE29">
            <w:pPr>
              <w:pStyle w:val="31"/>
              <w:numPr>
                <w:ilvl w:val="0"/>
                <w:numId w:val="0"/>
              </w:numPr>
              <w:wordWrap/>
              <w:jc w:val="left"/>
              <w:rPr>
                <w:rFonts w:hint="eastAsia" w:ascii="Times New Roman" w:hAnsi="Times New Roman" w:eastAsia="仿宋_GB2312" w:cs="Times New Roman"/>
                <w:color w:val="auto"/>
                <w:lang w:eastAsia="zh-CN"/>
              </w:rPr>
            </w:pPr>
            <w:r>
              <w:rPr>
                <w:rFonts w:hint="eastAsia" w:ascii="Times New Roman" w:hAnsi="Times New Roman" w:eastAsia="仿宋_GB2312" w:cs="Times New Roman"/>
                <w:color w:val="auto"/>
                <w:lang w:val="en-US" w:eastAsia="zh-CN"/>
              </w:rPr>
              <w:t>氢气管线长度</w:t>
            </w:r>
            <w:r>
              <w:rPr>
                <w:rFonts w:hint="eastAsia" w:eastAsia="仿宋_GB2312" w:cs="Times New Roman"/>
                <w:color w:val="auto"/>
                <w:lang w:val="en-US" w:eastAsia="zh-CN"/>
              </w:rPr>
              <w:t>676.3</w:t>
            </w:r>
            <w:r>
              <w:rPr>
                <w:rFonts w:hint="default" w:ascii="Times New Roman" w:hAnsi="Times New Roman" w:eastAsia="仿宋_GB2312" w:cs="Times New Roman"/>
                <w:color w:val="auto"/>
              </w:rPr>
              <w:t>m（</w:t>
            </w:r>
            <w:r>
              <w:rPr>
                <w:rFonts w:hint="eastAsia" w:ascii="Times New Roman" w:hAnsi="Times New Roman" w:eastAsia="仿宋_GB2312" w:cs="Times New Roman"/>
                <w:color w:val="auto"/>
                <w:lang w:val="en-US" w:eastAsia="zh-CN"/>
              </w:rPr>
              <w:t>园区综合管廊</w:t>
            </w:r>
            <w:r>
              <w:rPr>
                <w:rFonts w:hint="eastAsia" w:eastAsia="仿宋_GB2312" w:cs="Times New Roman"/>
                <w:color w:val="auto"/>
                <w:lang w:val="en-US" w:eastAsia="zh-CN"/>
              </w:rPr>
              <w:t>、管墩</w:t>
            </w:r>
            <w:r>
              <w:rPr>
                <w:rFonts w:hint="eastAsia" w:ascii="Times New Roman" w:hAnsi="Times New Roman" w:eastAsia="仿宋_GB2312" w:cs="Times New Roman"/>
                <w:color w:val="auto"/>
                <w:lang w:val="en-US" w:eastAsia="zh-CN"/>
              </w:rPr>
              <w:t>长度</w:t>
            </w:r>
            <w:r>
              <w:rPr>
                <w:rFonts w:hint="eastAsia" w:eastAsia="仿宋_GB2312" w:cs="Times New Roman"/>
                <w:color w:val="auto"/>
                <w:lang w:val="en-US" w:eastAsia="zh-CN"/>
              </w:rPr>
              <w:t>197.6</w:t>
            </w:r>
            <w:r>
              <w:rPr>
                <w:rFonts w:hint="eastAsia" w:ascii="Times New Roman" w:hAnsi="Times New Roman" w:eastAsia="仿宋_GB2312" w:cs="Times New Roman"/>
                <w:color w:val="auto"/>
                <w:lang w:val="en-US" w:eastAsia="zh-CN"/>
              </w:rPr>
              <w:t>m，</w:t>
            </w:r>
            <w:r>
              <w:rPr>
                <w:rFonts w:hint="eastAsia" w:eastAsia="仿宋_GB2312" w:cs="Times New Roman"/>
                <w:color w:val="auto"/>
                <w:lang w:val="en-US" w:eastAsia="zh-CN"/>
              </w:rPr>
              <w:t>润土公司</w:t>
            </w:r>
            <w:r>
              <w:rPr>
                <w:rFonts w:hint="eastAsia" w:ascii="Times New Roman" w:hAnsi="Times New Roman" w:eastAsia="仿宋_GB2312" w:cs="Times New Roman"/>
                <w:color w:val="auto"/>
                <w:lang w:val="en-US" w:eastAsia="zh-CN"/>
              </w:rPr>
              <w:t>厂内</w:t>
            </w:r>
            <w:r>
              <w:rPr>
                <w:rFonts w:hint="eastAsia" w:eastAsia="仿宋_GB2312" w:cs="Times New Roman"/>
                <w:color w:val="auto"/>
                <w:lang w:val="en-US" w:eastAsia="zh-CN"/>
              </w:rPr>
              <w:t>478.7</w:t>
            </w:r>
            <w:r>
              <w:rPr>
                <w:rFonts w:hint="eastAsia" w:ascii="Times New Roman" w:hAnsi="Times New Roman" w:eastAsia="仿宋_GB2312" w:cs="Times New Roman"/>
                <w:color w:val="auto"/>
                <w:lang w:val="en-US" w:eastAsia="zh-CN"/>
              </w:rPr>
              <w:t>m</w:t>
            </w:r>
            <w:r>
              <w:rPr>
                <w:rFonts w:hint="default" w:ascii="Times New Roman" w:hAnsi="Times New Roman" w:eastAsia="仿宋_GB2312" w:cs="Times New Roman"/>
                <w:color w:val="auto"/>
              </w:rPr>
              <w:t>）</w:t>
            </w:r>
          </w:p>
        </w:tc>
      </w:tr>
      <w:tr w14:paraId="3704F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31" w:type="dxa"/>
            <w:noWrap w:val="0"/>
            <w:tcMar>
              <w:top w:w="16" w:type="dxa"/>
              <w:left w:w="16" w:type="dxa"/>
              <w:right w:w="16" w:type="dxa"/>
            </w:tcMar>
            <w:vAlign w:val="center"/>
          </w:tcPr>
          <w:p w14:paraId="616115C5">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建设性质</w:t>
            </w:r>
          </w:p>
        </w:tc>
        <w:tc>
          <w:tcPr>
            <w:tcW w:w="2964" w:type="dxa"/>
            <w:gridSpan w:val="2"/>
            <w:noWrap w:val="0"/>
            <w:vAlign w:val="center"/>
          </w:tcPr>
          <w:p w14:paraId="55CB8876">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sym w:font="Wingdings 2" w:char="0052"/>
            </w:r>
            <w:r>
              <w:rPr>
                <w:rFonts w:hint="default" w:ascii="Times New Roman" w:hAnsi="Times New Roman" w:eastAsia="仿宋_GB2312" w:cs="Times New Roman"/>
                <w:color w:val="auto"/>
              </w:rPr>
              <w:t>新建（迁建）</w:t>
            </w:r>
          </w:p>
          <w:p w14:paraId="3C81D41F">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sym w:font="Wingdings 2" w:char="00A3"/>
            </w:r>
            <w:r>
              <w:rPr>
                <w:rFonts w:hint="default" w:ascii="Times New Roman" w:hAnsi="Times New Roman" w:eastAsia="仿宋_GB2312" w:cs="Times New Roman"/>
                <w:color w:val="auto"/>
              </w:rPr>
              <w:t>改建</w:t>
            </w:r>
          </w:p>
          <w:p w14:paraId="1F1D3807">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sym w:font="Wingdings 2" w:char="00A3"/>
            </w:r>
            <w:r>
              <w:rPr>
                <w:rFonts w:hint="default" w:ascii="Times New Roman" w:hAnsi="Times New Roman" w:eastAsia="仿宋_GB2312" w:cs="Times New Roman"/>
                <w:color w:val="auto"/>
              </w:rPr>
              <w:t>扩建</w:t>
            </w:r>
          </w:p>
          <w:p w14:paraId="2BB65368">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sym w:font="Wingdings 2" w:char="00A3"/>
            </w:r>
            <w:r>
              <w:rPr>
                <w:rFonts w:hint="default" w:ascii="Times New Roman" w:hAnsi="Times New Roman" w:eastAsia="仿宋_GB2312" w:cs="Times New Roman"/>
                <w:color w:val="auto"/>
              </w:rPr>
              <w:t>技术改造</w:t>
            </w:r>
          </w:p>
        </w:tc>
        <w:tc>
          <w:tcPr>
            <w:tcW w:w="1984" w:type="dxa"/>
            <w:noWrap w:val="0"/>
            <w:vAlign w:val="center"/>
          </w:tcPr>
          <w:p w14:paraId="46E2571B">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建设项目</w:t>
            </w:r>
          </w:p>
          <w:p w14:paraId="6E20CED3">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申报情形</w:t>
            </w:r>
          </w:p>
        </w:tc>
        <w:tc>
          <w:tcPr>
            <w:tcW w:w="2660" w:type="dxa"/>
            <w:gridSpan w:val="2"/>
            <w:noWrap w:val="0"/>
            <w:vAlign w:val="center"/>
          </w:tcPr>
          <w:p w14:paraId="555AC82F">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sym w:font="Wingdings 2" w:char="0052"/>
            </w:r>
            <w:r>
              <w:rPr>
                <w:rFonts w:hint="default" w:ascii="Times New Roman" w:hAnsi="Times New Roman" w:eastAsia="仿宋_GB2312" w:cs="Times New Roman"/>
                <w:color w:val="auto"/>
              </w:rPr>
              <w:t>首次申报项目</w:t>
            </w:r>
          </w:p>
          <w:p w14:paraId="2C20BF93">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sym w:font="Wingdings 2" w:char="00A3"/>
            </w:r>
            <w:r>
              <w:rPr>
                <w:rFonts w:hint="default" w:ascii="Times New Roman" w:hAnsi="Times New Roman" w:eastAsia="仿宋_GB2312" w:cs="Times New Roman"/>
                <w:color w:val="auto"/>
              </w:rPr>
              <w:t>不予批准后再次申报项目</w:t>
            </w:r>
          </w:p>
          <w:p w14:paraId="05BA3E94">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sym w:font="Wingdings 2" w:char="00A3"/>
            </w:r>
            <w:r>
              <w:rPr>
                <w:rFonts w:hint="default" w:ascii="Times New Roman" w:hAnsi="Times New Roman" w:eastAsia="仿宋_GB2312" w:cs="Times New Roman"/>
                <w:color w:val="auto"/>
              </w:rPr>
              <w:t>超五年重新审核项目</w:t>
            </w:r>
          </w:p>
          <w:p w14:paraId="4A3929C2">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sym w:font="Wingdings 2" w:char="00A3"/>
            </w:r>
            <w:r>
              <w:rPr>
                <w:rFonts w:hint="default" w:ascii="Times New Roman" w:hAnsi="Times New Roman" w:eastAsia="仿宋_GB2312" w:cs="Times New Roman"/>
                <w:color w:val="auto"/>
              </w:rPr>
              <w:t>重大变动重新报批项目</w:t>
            </w:r>
          </w:p>
        </w:tc>
      </w:tr>
      <w:tr w14:paraId="3A413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431" w:type="dxa"/>
            <w:noWrap w:val="0"/>
            <w:tcMar>
              <w:top w:w="16" w:type="dxa"/>
              <w:left w:w="16" w:type="dxa"/>
              <w:right w:w="16" w:type="dxa"/>
            </w:tcMar>
            <w:vAlign w:val="center"/>
          </w:tcPr>
          <w:p w14:paraId="21FE32F7">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项目审批（核准/备案）部门（选填）</w:t>
            </w:r>
          </w:p>
        </w:tc>
        <w:tc>
          <w:tcPr>
            <w:tcW w:w="2964" w:type="dxa"/>
            <w:gridSpan w:val="2"/>
            <w:noWrap w:val="0"/>
            <w:vAlign w:val="center"/>
          </w:tcPr>
          <w:p w14:paraId="6AA1A172">
            <w:pPr>
              <w:pStyle w:val="31"/>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安徽（淮北）新型煤化工合成新材料基地管理委员会</w:t>
            </w:r>
          </w:p>
        </w:tc>
        <w:tc>
          <w:tcPr>
            <w:tcW w:w="1984" w:type="dxa"/>
            <w:noWrap w:val="0"/>
            <w:vAlign w:val="center"/>
          </w:tcPr>
          <w:p w14:paraId="4D439E00">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项目审批（核准/备案）文号（选填）</w:t>
            </w:r>
          </w:p>
        </w:tc>
        <w:tc>
          <w:tcPr>
            <w:tcW w:w="2660" w:type="dxa"/>
            <w:gridSpan w:val="2"/>
            <w:noWrap w:val="0"/>
            <w:vAlign w:val="center"/>
          </w:tcPr>
          <w:p w14:paraId="2AD5B812">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r>
      <w:tr w14:paraId="21F2F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431" w:type="dxa"/>
            <w:noWrap w:val="0"/>
            <w:tcMar>
              <w:top w:w="16" w:type="dxa"/>
              <w:left w:w="16" w:type="dxa"/>
              <w:right w:w="16" w:type="dxa"/>
            </w:tcMar>
            <w:vAlign w:val="center"/>
          </w:tcPr>
          <w:p w14:paraId="7EBB929C">
            <w:pPr>
              <w:pStyle w:val="31"/>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总投资（万元）</w:t>
            </w:r>
          </w:p>
        </w:tc>
        <w:tc>
          <w:tcPr>
            <w:tcW w:w="2964" w:type="dxa"/>
            <w:gridSpan w:val="2"/>
            <w:noWrap w:val="0"/>
            <w:vAlign w:val="center"/>
          </w:tcPr>
          <w:p w14:paraId="436435F6">
            <w:pPr>
              <w:pStyle w:val="31"/>
              <w:rPr>
                <w:rFonts w:hint="default" w:ascii="Times New Roman" w:hAnsi="Times New Roman" w:eastAsia="仿宋_GB2312" w:cs="Times New Roman"/>
                <w:color w:val="auto"/>
                <w:highlight w:val="none"/>
                <w:lang w:val="en-US" w:eastAsia="zh-CN"/>
              </w:rPr>
            </w:pPr>
            <w:r>
              <w:rPr>
                <w:rFonts w:hint="eastAsia" w:eastAsia="仿宋_GB2312" w:cs="Times New Roman"/>
                <w:color w:val="auto"/>
                <w:highlight w:val="none"/>
                <w:lang w:val="en-US" w:eastAsia="zh-CN"/>
              </w:rPr>
              <w:t>50</w:t>
            </w:r>
          </w:p>
        </w:tc>
        <w:tc>
          <w:tcPr>
            <w:tcW w:w="1984" w:type="dxa"/>
            <w:noWrap w:val="0"/>
            <w:tcMar>
              <w:top w:w="16" w:type="dxa"/>
              <w:left w:w="16" w:type="dxa"/>
              <w:right w:w="16" w:type="dxa"/>
            </w:tcMar>
            <w:vAlign w:val="center"/>
          </w:tcPr>
          <w:p w14:paraId="0B408774">
            <w:pPr>
              <w:pStyle w:val="31"/>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环保投资（万元）</w:t>
            </w:r>
          </w:p>
        </w:tc>
        <w:tc>
          <w:tcPr>
            <w:tcW w:w="2660" w:type="dxa"/>
            <w:gridSpan w:val="2"/>
            <w:noWrap w:val="0"/>
            <w:vAlign w:val="center"/>
          </w:tcPr>
          <w:p w14:paraId="0CA01DB3">
            <w:pPr>
              <w:pStyle w:val="31"/>
              <w:rPr>
                <w:rFonts w:hint="default" w:ascii="Times New Roman" w:hAnsi="Times New Roman" w:eastAsia="仿宋_GB2312" w:cs="Times New Roman"/>
                <w:color w:val="auto"/>
                <w:lang w:val="en-US" w:eastAsia="zh-CN"/>
              </w:rPr>
            </w:pPr>
            <w:r>
              <w:rPr>
                <w:rFonts w:hint="eastAsia" w:eastAsia="仿宋_GB2312" w:cs="Times New Roman"/>
                <w:color w:val="auto"/>
                <w:highlight w:val="none"/>
                <w:lang w:val="en-US" w:eastAsia="zh-CN"/>
              </w:rPr>
              <w:t>5.2</w:t>
            </w:r>
          </w:p>
        </w:tc>
      </w:tr>
      <w:tr w14:paraId="79056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431" w:type="dxa"/>
            <w:noWrap w:val="0"/>
            <w:tcMar>
              <w:top w:w="16" w:type="dxa"/>
              <w:left w:w="16" w:type="dxa"/>
              <w:right w:w="16" w:type="dxa"/>
            </w:tcMar>
            <w:vAlign w:val="center"/>
          </w:tcPr>
          <w:p w14:paraId="3A00071B">
            <w:pPr>
              <w:pStyle w:val="31"/>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环保投资占比（%）</w:t>
            </w:r>
          </w:p>
        </w:tc>
        <w:tc>
          <w:tcPr>
            <w:tcW w:w="2964" w:type="dxa"/>
            <w:gridSpan w:val="2"/>
            <w:noWrap w:val="0"/>
            <w:vAlign w:val="center"/>
          </w:tcPr>
          <w:p w14:paraId="14CD8350">
            <w:pPr>
              <w:pStyle w:val="31"/>
              <w:rPr>
                <w:rFonts w:hint="default" w:ascii="Times New Roman" w:hAnsi="Times New Roman" w:eastAsia="仿宋_GB2312" w:cs="Times New Roman"/>
                <w:color w:val="auto"/>
                <w:highlight w:val="none"/>
                <w:lang w:val="en-US" w:eastAsia="zh-CN"/>
              </w:rPr>
            </w:pPr>
            <w:r>
              <w:rPr>
                <w:rFonts w:hint="eastAsia" w:eastAsia="仿宋_GB2312" w:cs="Times New Roman"/>
                <w:color w:val="auto"/>
                <w:highlight w:val="none"/>
                <w:lang w:val="en-US" w:eastAsia="zh-CN"/>
              </w:rPr>
              <w:t>10.4</w:t>
            </w:r>
          </w:p>
        </w:tc>
        <w:tc>
          <w:tcPr>
            <w:tcW w:w="1984" w:type="dxa"/>
            <w:noWrap w:val="0"/>
            <w:tcMar>
              <w:top w:w="16" w:type="dxa"/>
              <w:left w:w="16" w:type="dxa"/>
              <w:right w:w="16" w:type="dxa"/>
            </w:tcMar>
            <w:vAlign w:val="center"/>
          </w:tcPr>
          <w:p w14:paraId="1EF2B4CF">
            <w:pPr>
              <w:pStyle w:val="31"/>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施工工期</w:t>
            </w:r>
          </w:p>
        </w:tc>
        <w:tc>
          <w:tcPr>
            <w:tcW w:w="2660" w:type="dxa"/>
            <w:gridSpan w:val="2"/>
            <w:noWrap w:val="0"/>
            <w:vAlign w:val="center"/>
          </w:tcPr>
          <w:p w14:paraId="1CEC6D5A">
            <w:pPr>
              <w:pStyle w:val="31"/>
              <w:rPr>
                <w:rFonts w:hint="default" w:ascii="Times New Roman" w:hAnsi="Times New Roman" w:eastAsia="仿宋_GB2312" w:cs="Times New Roman"/>
                <w:color w:val="auto"/>
              </w:rPr>
            </w:pPr>
            <w:r>
              <w:rPr>
                <w:rFonts w:hint="eastAsia" w:eastAsia="仿宋_GB2312" w:cs="Times New Roman"/>
                <w:color w:val="auto"/>
                <w:highlight w:val="none"/>
                <w:lang w:val="en-US" w:eastAsia="zh-CN"/>
              </w:rPr>
              <w:t>1</w:t>
            </w:r>
            <w:r>
              <w:rPr>
                <w:rFonts w:hint="default" w:ascii="Times New Roman" w:hAnsi="Times New Roman" w:eastAsia="仿宋_GB2312" w:cs="Times New Roman"/>
                <w:color w:val="auto"/>
                <w:highlight w:val="none"/>
              </w:rPr>
              <w:t>个月</w:t>
            </w:r>
          </w:p>
        </w:tc>
      </w:tr>
      <w:tr w14:paraId="00E32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431" w:type="dxa"/>
            <w:noWrap w:val="0"/>
            <w:tcMar>
              <w:top w:w="16" w:type="dxa"/>
              <w:left w:w="16" w:type="dxa"/>
              <w:right w:w="16" w:type="dxa"/>
            </w:tcMar>
            <w:vAlign w:val="center"/>
          </w:tcPr>
          <w:p w14:paraId="55001C47">
            <w:pPr>
              <w:pStyle w:val="31"/>
              <w:rPr>
                <w:rFonts w:hint="default" w:ascii="Times New Roman" w:hAnsi="Times New Roman" w:eastAsia="仿宋_GB2312" w:cs="Times New Roman"/>
                <w:color w:val="auto"/>
              </w:rPr>
            </w:pPr>
            <w:r>
              <w:rPr>
                <w:rFonts w:hint="default" w:ascii="Times New Roman" w:hAnsi="Times New Roman" w:eastAsia="仿宋_GB2312" w:cs="Times New Roman"/>
                <w:color w:val="auto"/>
              </w:rPr>
              <w:t>是否开工建设</w:t>
            </w:r>
          </w:p>
        </w:tc>
        <w:tc>
          <w:tcPr>
            <w:tcW w:w="7608" w:type="dxa"/>
            <w:gridSpan w:val="5"/>
            <w:noWrap w:val="0"/>
            <w:vAlign w:val="center"/>
          </w:tcPr>
          <w:p w14:paraId="33DCDC32">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sym w:font="Wingdings 2" w:char="0052"/>
            </w:r>
            <w:r>
              <w:rPr>
                <w:rFonts w:hint="default" w:ascii="Times New Roman" w:hAnsi="Times New Roman" w:eastAsia="仿宋_GB2312" w:cs="Times New Roman"/>
                <w:color w:val="auto"/>
              </w:rPr>
              <w:t>否</w:t>
            </w:r>
          </w:p>
          <w:p w14:paraId="6D0122C2">
            <w:pPr>
              <w:pStyle w:val="31"/>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□是：</w:t>
            </w:r>
            <w:r>
              <w:rPr>
                <w:rFonts w:hint="default" w:ascii="Times New Roman" w:hAnsi="Times New Roman" w:eastAsia="仿宋_GB2312" w:cs="Times New Roman"/>
                <w:color w:val="auto"/>
                <w:u w:val="single"/>
              </w:rPr>
              <w:t xml:space="preserve">                             </w:t>
            </w:r>
          </w:p>
        </w:tc>
      </w:tr>
      <w:tr w14:paraId="2E65E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431" w:type="dxa"/>
            <w:noWrap w:val="0"/>
            <w:tcMar>
              <w:top w:w="16" w:type="dxa"/>
              <w:left w:w="16" w:type="dxa"/>
              <w:right w:w="16" w:type="dxa"/>
            </w:tcMar>
            <w:vAlign w:val="center"/>
          </w:tcPr>
          <w:p w14:paraId="6FBCF511">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专项评价设置情况</w:t>
            </w:r>
          </w:p>
        </w:tc>
        <w:tc>
          <w:tcPr>
            <w:tcW w:w="7608" w:type="dxa"/>
            <w:gridSpan w:val="5"/>
            <w:noWrap w:val="0"/>
            <w:tcMar>
              <w:top w:w="16" w:type="dxa"/>
              <w:left w:w="16" w:type="dxa"/>
              <w:right w:w="16" w:type="dxa"/>
            </w:tcMar>
            <w:vAlign w:val="center"/>
          </w:tcPr>
          <w:p w14:paraId="51A7FA5A">
            <w:pPr>
              <w:ind w:firstLine="480"/>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对照</w:t>
            </w:r>
            <w:r>
              <w:rPr>
                <w:rFonts w:hint="default" w:ascii="Times New Roman" w:hAnsi="Times New Roman" w:eastAsia="仿宋_GB2312" w:cs="Times New Roman"/>
                <w:color w:val="auto"/>
              </w:rPr>
              <w:t>《建设项目环境影响报告表编制技术指南》（生态影响类）（试行），</w:t>
            </w:r>
            <w:r>
              <w:rPr>
                <w:rFonts w:hint="eastAsia" w:ascii="Times New Roman" w:hAnsi="Times New Roman" w:eastAsia="仿宋_GB2312" w:cs="Times New Roman"/>
                <w:color w:val="auto"/>
                <w:lang w:val="en-US" w:eastAsia="zh-CN"/>
              </w:rPr>
              <w:t>本项目专项评价设置情况见下表。</w:t>
            </w:r>
          </w:p>
          <w:p w14:paraId="5F5D0938">
            <w:pPr>
              <w:pStyle w:val="2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表1-</w:t>
            </w:r>
            <w:r>
              <w:rPr>
                <w:rFonts w:hint="eastAsia" w:ascii="Times New Roman" w:hAnsi="Times New Roman" w:eastAsia="仿宋_GB2312" w:cs="Times New Roman"/>
                <w:color w:val="auto"/>
                <w:lang w:val="en-US" w:eastAsia="zh-CN"/>
              </w:rPr>
              <w:t>1</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专项评价设置原则表</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5436"/>
              <w:gridCol w:w="925"/>
            </w:tblGrid>
            <w:tr w14:paraId="04E50A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0" w:type="pct"/>
                  <w:tcBorders>
                    <w:tl2br w:val="nil"/>
                    <w:tr2bl w:val="nil"/>
                  </w:tcBorders>
                  <w:noWrap w:val="0"/>
                  <w:vAlign w:val="center"/>
                </w:tcPr>
                <w:p w14:paraId="69DEC02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default" w:ascii="Times New Roman" w:hAnsi="Times New Roman" w:eastAsia="仿宋_GB2312" w:cs="Times New Roman"/>
                      <w:b/>
                      <w:bCs/>
                      <w:color w:val="auto"/>
                      <w:sz w:val="18"/>
                      <w:szCs w:val="18"/>
                    </w:rPr>
                    <w:t>专项评价的类别</w:t>
                  </w:r>
                </w:p>
              </w:tc>
              <w:tc>
                <w:tcPr>
                  <w:tcW w:w="3589" w:type="pct"/>
                  <w:tcBorders>
                    <w:tl2br w:val="nil"/>
                    <w:tr2bl w:val="nil"/>
                  </w:tcBorders>
                  <w:noWrap w:val="0"/>
                  <w:vAlign w:val="center"/>
                </w:tcPr>
                <w:p w14:paraId="27A226B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default" w:ascii="Times New Roman" w:hAnsi="Times New Roman" w:eastAsia="仿宋_GB2312" w:cs="Times New Roman"/>
                      <w:b/>
                      <w:bCs/>
                      <w:color w:val="auto"/>
                      <w:sz w:val="18"/>
                      <w:szCs w:val="18"/>
                    </w:rPr>
                    <w:t>设置原则</w:t>
                  </w:r>
                </w:p>
              </w:tc>
              <w:tc>
                <w:tcPr>
                  <w:tcW w:w="610" w:type="pct"/>
                  <w:tcBorders>
                    <w:tl2br w:val="nil"/>
                    <w:tr2bl w:val="nil"/>
                  </w:tcBorders>
                  <w:noWrap w:val="0"/>
                  <w:vAlign w:val="center"/>
                </w:tcPr>
                <w:p w14:paraId="17901B4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default" w:ascii="Times New Roman" w:hAnsi="Times New Roman" w:eastAsia="仿宋_GB2312" w:cs="Times New Roman"/>
                      <w:b/>
                      <w:bCs/>
                      <w:color w:val="auto"/>
                      <w:sz w:val="18"/>
                      <w:szCs w:val="18"/>
                    </w:rPr>
                    <w:t>本项目情况</w:t>
                  </w:r>
                </w:p>
              </w:tc>
            </w:tr>
            <w:tr w14:paraId="051E82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0" w:type="pct"/>
                  <w:tcBorders>
                    <w:tl2br w:val="nil"/>
                    <w:tr2bl w:val="nil"/>
                  </w:tcBorders>
                  <w:noWrap w:val="0"/>
                  <w:vAlign w:val="center"/>
                </w:tcPr>
                <w:p w14:paraId="13B3850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地表水</w:t>
                  </w:r>
                </w:p>
              </w:tc>
              <w:tc>
                <w:tcPr>
                  <w:tcW w:w="3589" w:type="pct"/>
                  <w:tcBorders>
                    <w:tl2br w:val="nil"/>
                    <w:tr2bl w:val="nil"/>
                  </w:tcBorders>
                  <w:noWrap w:val="0"/>
                  <w:vAlign w:val="center"/>
                </w:tcPr>
                <w:p w14:paraId="19832B3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水力发电：引水式发电、涉及调峰发电的项目；</w:t>
                  </w:r>
                </w:p>
                <w:p w14:paraId="75363AD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人工湖、人工湿地：全部；</w:t>
                  </w:r>
                </w:p>
                <w:p w14:paraId="63E937DA">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水库：全部；</w:t>
                  </w:r>
                </w:p>
                <w:p w14:paraId="3043D8D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引水工程：全部（配套的管线工程等除外）；</w:t>
                  </w:r>
                </w:p>
                <w:p w14:paraId="58AFCE61">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防洪除涝工程：包含水库的项目；</w:t>
                  </w:r>
                </w:p>
                <w:p w14:paraId="4F0850F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河湖整治：涉及清淤且底泥存在重金属污染的项目</w:t>
                  </w:r>
                </w:p>
              </w:tc>
              <w:tc>
                <w:tcPr>
                  <w:tcW w:w="610" w:type="pct"/>
                  <w:tcBorders>
                    <w:tl2br w:val="nil"/>
                    <w:tr2bl w:val="nil"/>
                  </w:tcBorders>
                  <w:noWrap w:val="0"/>
                  <w:vAlign w:val="center"/>
                </w:tcPr>
                <w:p w14:paraId="0394ADA3">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不属于</w:t>
                  </w:r>
                </w:p>
              </w:tc>
            </w:tr>
            <w:tr w14:paraId="053633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0" w:type="pct"/>
                  <w:tcBorders>
                    <w:tl2br w:val="nil"/>
                    <w:tr2bl w:val="nil"/>
                  </w:tcBorders>
                  <w:noWrap w:val="0"/>
                  <w:vAlign w:val="center"/>
                </w:tcPr>
                <w:p w14:paraId="3E89338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地</w:t>
                  </w:r>
                  <w:r>
                    <w:rPr>
                      <w:rFonts w:hint="eastAsia" w:ascii="Times New Roman" w:hAnsi="Times New Roman" w:eastAsia="仿宋_GB2312" w:cs="Times New Roman"/>
                      <w:color w:val="auto"/>
                      <w:sz w:val="18"/>
                      <w:szCs w:val="18"/>
                      <w:lang w:val="en-US" w:eastAsia="zh-CN"/>
                    </w:rPr>
                    <w:t>下</w:t>
                  </w:r>
                  <w:r>
                    <w:rPr>
                      <w:rFonts w:hint="default" w:ascii="Times New Roman" w:hAnsi="Times New Roman" w:eastAsia="仿宋_GB2312" w:cs="Times New Roman"/>
                      <w:color w:val="auto"/>
                      <w:sz w:val="18"/>
                      <w:szCs w:val="18"/>
                    </w:rPr>
                    <w:t>水</w:t>
                  </w:r>
                </w:p>
              </w:tc>
              <w:tc>
                <w:tcPr>
                  <w:tcW w:w="3589" w:type="pct"/>
                  <w:tcBorders>
                    <w:tl2br w:val="nil"/>
                    <w:tr2bl w:val="nil"/>
                  </w:tcBorders>
                  <w:noWrap w:val="0"/>
                  <w:vAlign w:val="center"/>
                </w:tcPr>
                <w:p w14:paraId="0181D4E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陆地石油和天然气开采：全部；</w:t>
                  </w:r>
                </w:p>
                <w:p w14:paraId="5A0CF08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地下水（含矿泉水）开采：全部；</w:t>
                  </w:r>
                </w:p>
                <w:p w14:paraId="524422B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水利、水电、交通等：含穿越可溶岩地层隧道的项目</w:t>
                  </w:r>
                </w:p>
              </w:tc>
              <w:tc>
                <w:tcPr>
                  <w:tcW w:w="610" w:type="pct"/>
                  <w:tcBorders>
                    <w:tl2br w:val="nil"/>
                    <w:tr2bl w:val="nil"/>
                  </w:tcBorders>
                  <w:noWrap w:val="0"/>
                  <w:vAlign w:val="center"/>
                </w:tcPr>
                <w:p w14:paraId="69FA590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不属于</w:t>
                  </w:r>
                </w:p>
              </w:tc>
            </w:tr>
            <w:tr w14:paraId="1A4216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0" w:type="pct"/>
                  <w:tcBorders>
                    <w:tl2br w:val="nil"/>
                    <w:tr2bl w:val="nil"/>
                  </w:tcBorders>
                  <w:noWrap w:val="0"/>
                  <w:vAlign w:val="center"/>
                </w:tcPr>
                <w:p w14:paraId="7C3FF9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生态</w:t>
                  </w:r>
                </w:p>
              </w:tc>
              <w:tc>
                <w:tcPr>
                  <w:tcW w:w="3589" w:type="pct"/>
                  <w:tcBorders>
                    <w:tl2br w:val="nil"/>
                    <w:tr2bl w:val="nil"/>
                  </w:tcBorders>
                  <w:noWrap w:val="0"/>
                  <w:vAlign w:val="center"/>
                </w:tcPr>
                <w:p w14:paraId="3C7391E1">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涉及环境敏感区（不包括饮用水水源保护区，以居住、医疗卫生、文化教育、科研、行政办公为主要功能的区域，以及文物保护单位）的项目</w:t>
                  </w:r>
                </w:p>
              </w:tc>
              <w:tc>
                <w:tcPr>
                  <w:tcW w:w="610" w:type="pct"/>
                  <w:tcBorders>
                    <w:tl2br w:val="nil"/>
                    <w:tr2bl w:val="nil"/>
                  </w:tcBorders>
                  <w:noWrap w:val="0"/>
                  <w:vAlign w:val="center"/>
                </w:tcPr>
                <w:p w14:paraId="71E6F754">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不属于</w:t>
                  </w:r>
                </w:p>
              </w:tc>
            </w:tr>
            <w:tr w14:paraId="4E0E60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0" w:type="pct"/>
                  <w:tcBorders>
                    <w:tl2br w:val="nil"/>
                    <w:tr2bl w:val="nil"/>
                  </w:tcBorders>
                  <w:noWrap w:val="0"/>
                  <w:vAlign w:val="center"/>
                </w:tcPr>
                <w:p w14:paraId="136B680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大气</w:t>
                  </w:r>
                </w:p>
              </w:tc>
              <w:tc>
                <w:tcPr>
                  <w:tcW w:w="3589" w:type="pct"/>
                  <w:tcBorders>
                    <w:tl2br w:val="nil"/>
                    <w:tr2bl w:val="nil"/>
                  </w:tcBorders>
                  <w:noWrap w:val="0"/>
                  <w:vAlign w:val="center"/>
                </w:tcPr>
                <w:p w14:paraId="66BC865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油气、液体化工码头：全部；</w:t>
                  </w:r>
                </w:p>
                <w:p w14:paraId="37F0819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干散货（含煤炭、矿石）、件杂、多用途、通用码头：涉及粉尘、挥发性有机物排放的项目</w:t>
                  </w:r>
                </w:p>
              </w:tc>
              <w:tc>
                <w:tcPr>
                  <w:tcW w:w="610" w:type="pct"/>
                  <w:tcBorders>
                    <w:tl2br w:val="nil"/>
                    <w:tr2bl w:val="nil"/>
                  </w:tcBorders>
                  <w:noWrap w:val="0"/>
                  <w:vAlign w:val="center"/>
                </w:tcPr>
                <w:p w14:paraId="7D90BA6D">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不属于</w:t>
                  </w:r>
                </w:p>
              </w:tc>
            </w:tr>
            <w:tr w14:paraId="2F5990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0" w:type="pct"/>
                  <w:noWrap w:val="0"/>
                  <w:vAlign w:val="center"/>
                </w:tcPr>
                <w:p w14:paraId="61301F9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噪声</w:t>
                  </w:r>
                </w:p>
              </w:tc>
              <w:tc>
                <w:tcPr>
                  <w:tcW w:w="3589" w:type="pct"/>
                  <w:noWrap w:val="0"/>
                  <w:vAlign w:val="center"/>
                </w:tcPr>
                <w:p w14:paraId="633A687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公路、铁路、机场等交通运输业涉及环境敏感区（以居住、医疗卫生、文化教育、科研、行政办公为主要功能的区域）的项目；</w:t>
                  </w:r>
                </w:p>
                <w:p w14:paraId="125A4D3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城市道路（不含维护，不含支路、人行天桥、人行地道）：全部</w:t>
                  </w:r>
                </w:p>
              </w:tc>
              <w:tc>
                <w:tcPr>
                  <w:tcW w:w="610" w:type="pct"/>
                  <w:noWrap w:val="0"/>
                  <w:vAlign w:val="center"/>
                </w:tcPr>
                <w:p w14:paraId="3AF20DC2">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不属于</w:t>
                  </w:r>
                </w:p>
              </w:tc>
            </w:tr>
            <w:tr w14:paraId="4EF5FF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0" w:type="pct"/>
                  <w:noWrap w:val="0"/>
                  <w:vAlign w:val="center"/>
                </w:tcPr>
                <w:p w14:paraId="0EB53D8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环境风险</w:t>
                  </w:r>
                </w:p>
              </w:tc>
              <w:tc>
                <w:tcPr>
                  <w:tcW w:w="3589" w:type="pct"/>
                  <w:noWrap w:val="0"/>
                  <w:vAlign w:val="center"/>
                </w:tcPr>
                <w:p w14:paraId="4785EF0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石油和天然气开采：全部；</w:t>
                  </w:r>
                </w:p>
                <w:p w14:paraId="13C344DF">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油气、液体化工码头：全部；</w:t>
                  </w:r>
                </w:p>
                <w:p w14:paraId="39823C31">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原油、成品油、天然气管线（不含城镇天然气管线、企业厂区内管线），危险化学品输送管线（不含企业厂区内管线）：全部</w:t>
                  </w:r>
                </w:p>
              </w:tc>
              <w:tc>
                <w:tcPr>
                  <w:tcW w:w="610" w:type="pct"/>
                  <w:noWrap w:val="0"/>
                  <w:vAlign w:val="center"/>
                </w:tcPr>
                <w:p w14:paraId="0B10CD2D">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属于</w:t>
                  </w:r>
                </w:p>
              </w:tc>
            </w:tr>
            <w:tr w14:paraId="23D967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3"/>
                  <w:noWrap w:val="0"/>
                  <w:vAlign w:val="center"/>
                </w:tcPr>
                <w:p w14:paraId="3FB3EEB4">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注：“涉及环境敏感区”是指建设项目位于、穿（跨）越（无害化通过的除外）环境敏感区，或环境影响范围涵盖环境敏感区。环境敏感区是指《建设项目环境影响评价分类管理名录》中针对该类项目所列的敏感区。</w:t>
                  </w:r>
                </w:p>
              </w:tc>
            </w:tr>
          </w:tbl>
          <w:p w14:paraId="63D968A4">
            <w:pPr>
              <w:ind w:firstLine="480"/>
              <w:rPr>
                <w:rFonts w:hint="default"/>
                <w:color w:val="auto"/>
              </w:rPr>
            </w:pPr>
            <w:r>
              <w:rPr>
                <w:rFonts w:hint="eastAsia" w:ascii="Times New Roman" w:hAnsi="Times New Roman" w:eastAsia="仿宋_GB2312" w:cs="Times New Roman"/>
                <w:color w:val="auto"/>
                <w:lang w:val="en-US" w:eastAsia="zh-CN"/>
              </w:rPr>
              <w:t>本项目为氢气管道输送项目，不涉及石油和天然气开采、油气、液体化工码头、原油、成品油、天然气管线（不含城镇天然气管线、企业厂区内管线）等项目。对照《危险化学品目录》（</w:t>
            </w:r>
            <w:r>
              <w:rPr>
                <w:rFonts w:hint="eastAsia" w:cs="Times New Roman"/>
                <w:color w:val="auto"/>
                <w:lang w:val="en-US" w:eastAsia="zh-CN"/>
              </w:rPr>
              <w:t>2022调整版</w:t>
            </w:r>
            <w:r>
              <w:rPr>
                <w:rFonts w:hint="eastAsia" w:ascii="Times New Roman" w:hAnsi="Times New Roman" w:eastAsia="仿宋_GB2312" w:cs="Times New Roman"/>
                <w:color w:val="auto"/>
                <w:lang w:val="en-US" w:eastAsia="zh-CN"/>
              </w:rPr>
              <w:t>），氢气属于危险化学品，氢气的CAS号为1333-74-0</w:t>
            </w:r>
            <w:r>
              <w:rPr>
                <w:rFonts w:hint="eastAsia" w:cs="Times New Roman"/>
                <w:color w:val="auto"/>
                <w:lang w:val="en-US" w:eastAsia="zh-CN"/>
              </w:rPr>
              <w:t>，同时</w:t>
            </w:r>
            <w:r>
              <w:rPr>
                <w:rFonts w:hint="eastAsia" w:ascii="Times New Roman" w:hAnsi="Times New Roman" w:eastAsia="仿宋_GB2312" w:cs="Times New Roman"/>
                <w:color w:val="auto"/>
                <w:lang w:val="en-US" w:eastAsia="zh-CN"/>
              </w:rPr>
              <w:t>本项目涉及厂区外管线，故本评价设环境风险专项评价，</w:t>
            </w:r>
            <w:r>
              <w:rPr>
                <w:rFonts w:hint="eastAsia" w:cs="Times New Roman"/>
                <w:color w:val="auto"/>
                <w:lang w:val="en-US" w:eastAsia="zh-CN"/>
              </w:rPr>
              <w:t>详见《科创加速器氢气管道项目环境风险专项》</w:t>
            </w:r>
            <w:r>
              <w:rPr>
                <w:rFonts w:hint="eastAsia" w:ascii="Times New Roman" w:hAnsi="Times New Roman" w:eastAsia="仿宋_GB2312" w:cs="Times New Roman"/>
                <w:color w:val="auto"/>
                <w:lang w:val="en-US" w:eastAsia="zh-CN"/>
              </w:rPr>
              <w:t>。</w:t>
            </w:r>
          </w:p>
        </w:tc>
      </w:tr>
      <w:tr w14:paraId="4721B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1431" w:type="dxa"/>
            <w:noWrap w:val="0"/>
            <w:tcMar>
              <w:top w:w="16" w:type="dxa"/>
              <w:left w:w="16" w:type="dxa"/>
              <w:right w:w="16" w:type="dxa"/>
            </w:tcMar>
            <w:vAlign w:val="center"/>
          </w:tcPr>
          <w:p w14:paraId="4C9E7564">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规划情况</w:t>
            </w:r>
          </w:p>
        </w:tc>
        <w:tc>
          <w:tcPr>
            <w:tcW w:w="7608" w:type="dxa"/>
            <w:gridSpan w:val="5"/>
            <w:noWrap w:val="0"/>
            <w:tcMar>
              <w:top w:w="16" w:type="dxa"/>
              <w:left w:w="16" w:type="dxa"/>
              <w:right w:w="16" w:type="dxa"/>
            </w:tcMar>
            <w:vAlign w:val="center"/>
          </w:tcPr>
          <w:p w14:paraId="3A1D04DA">
            <w:pPr>
              <w:ind w:firstLine="482"/>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规划名称：</w:t>
            </w:r>
            <w:r>
              <w:rPr>
                <w:rFonts w:hint="default" w:ascii="Times New Roman" w:hAnsi="Times New Roman" w:eastAsia="仿宋_GB2312" w:cs="Times New Roman"/>
                <w:color w:val="auto"/>
              </w:rPr>
              <w:t>《淮北临涣化工园区总体发展规划（2022-2035年）》</w:t>
            </w:r>
          </w:p>
          <w:p w14:paraId="3A3AEBD9">
            <w:pPr>
              <w:ind w:firstLine="482"/>
              <w:rPr>
                <w:rFonts w:hint="eastAsia"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rPr>
              <w:t>规划审批机关：</w:t>
            </w:r>
            <w:r>
              <w:rPr>
                <w:rFonts w:hint="eastAsia" w:ascii="Times New Roman" w:hAnsi="Times New Roman" w:eastAsia="仿宋_GB2312" w:cs="Times New Roman"/>
                <w:b/>
                <w:bCs/>
                <w:color w:val="auto"/>
                <w:highlight w:val="none"/>
                <w:lang w:val="en-US" w:eastAsia="zh-CN"/>
              </w:rPr>
              <w:t>/</w:t>
            </w:r>
          </w:p>
          <w:p w14:paraId="661C0880">
            <w:pPr>
              <w:ind w:left="0" w:leftChars="0" w:firstLine="482" w:firstLineChars="200"/>
              <w:rPr>
                <w:rFonts w:hint="default" w:ascii="Times New Roman" w:hAnsi="Times New Roman" w:eastAsia="仿宋_GB2312" w:cs="Times New Roman"/>
                <w:color w:val="auto"/>
              </w:rPr>
            </w:pPr>
            <w:r>
              <w:rPr>
                <w:rFonts w:hint="default" w:ascii="Times New Roman" w:hAnsi="Times New Roman" w:eastAsia="仿宋_GB2312" w:cs="Times New Roman"/>
                <w:b/>
                <w:bCs/>
                <w:color w:val="auto"/>
                <w:highlight w:val="none"/>
              </w:rPr>
              <w:t>审批文件名称：</w:t>
            </w:r>
            <w:r>
              <w:rPr>
                <w:rFonts w:hint="eastAsia" w:ascii="Times New Roman" w:hAnsi="Times New Roman" w:eastAsia="仿宋_GB2312" w:cs="Times New Roman"/>
                <w:b/>
                <w:bCs/>
                <w:color w:val="auto"/>
                <w:highlight w:val="none"/>
                <w:lang w:val="en-US" w:eastAsia="zh-CN"/>
              </w:rPr>
              <w:t>/</w:t>
            </w:r>
          </w:p>
        </w:tc>
      </w:tr>
      <w:tr w14:paraId="19B83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70" w:hRule="atLeast"/>
          <w:jc w:val="center"/>
        </w:trPr>
        <w:tc>
          <w:tcPr>
            <w:tcW w:w="1431" w:type="dxa"/>
            <w:noWrap w:val="0"/>
            <w:tcMar>
              <w:top w:w="16" w:type="dxa"/>
              <w:left w:w="16" w:type="dxa"/>
              <w:right w:w="16" w:type="dxa"/>
            </w:tcMar>
            <w:vAlign w:val="center"/>
          </w:tcPr>
          <w:p w14:paraId="19E6607F">
            <w:pPr>
              <w:autoSpaceDE w:val="0"/>
              <w:autoSpaceDN w:val="0"/>
              <w:adjustRightInd w:val="0"/>
              <w:snapToGrid w:val="0"/>
              <w:ind w:firstLine="0" w:firstLineChars="0"/>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szCs w:val="21"/>
              </w:rPr>
              <w:t>规划环境影响评价情况</w:t>
            </w:r>
          </w:p>
        </w:tc>
        <w:tc>
          <w:tcPr>
            <w:tcW w:w="7608" w:type="dxa"/>
            <w:gridSpan w:val="5"/>
            <w:noWrap w:val="0"/>
            <w:tcMar>
              <w:top w:w="16" w:type="dxa"/>
              <w:left w:w="16" w:type="dxa"/>
              <w:right w:w="16" w:type="dxa"/>
            </w:tcMar>
            <w:vAlign w:val="center"/>
          </w:tcPr>
          <w:p w14:paraId="0756FDE8">
            <w:pPr>
              <w:pStyle w:val="32"/>
              <w:ind w:left="0" w:leftChars="0" w:firstLine="482" w:firstLineChars="200"/>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规划环评名称：</w:t>
            </w:r>
            <w:r>
              <w:rPr>
                <w:rFonts w:hint="default" w:ascii="Times New Roman" w:hAnsi="Times New Roman" w:eastAsia="仿宋_GB2312" w:cs="Times New Roman"/>
                <w:color w:val="auto"/>
              </w:rPr>
              <w:t>《淮北临涣化工园区总体发展规划（2022-2035年）</w:t>
            </w:r>
          </w:p>
          <w:p w14:paraId="6AC54A85">
            <w:pPr>
              <w:pStyle w:val="32"/>
              <w:ind w:left="0" w:leftChars="0"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环境影响报告书》</w:t>
            </w:r>
          </w:p>
          <w:p w14:paraId="173F1A89">
            <w:pPr>
              <w:pStyle w:val="32"/>
              <w:ind w:firstLine="482"/>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规划环评审批机关：</w:t>
            </w:r>
            <w:r>
              <w:rPr>
                <w:rFonts w:hint="default" w:ascii="Times New Roman" w:hAnsi="Times New Roman" w:eastAsia="仿宋_GB2312" w:cs="Times New Roman"/>
                <w:color w:val="auto"/>
              </w:rPr>
              <w:t>淮北市生态环境局</w:t>
            </w:r>
          </w:p>
          <w:p w14:paraId="21657406">
            <w:pPr>
              <w:pStyle w:val="32"/>
              <w:ind w:firstLine="482"/>
              <w:rPr>
                <w:rFonts w:hint="default" w:ascii="Times New Roman" w:hAnsi="Times New Roman" w:eastAsia="仿宋_GB2312" w:cs="Times New Roman"/>
                <w:color w:val="auto"/>
                <w:szCs w:val="21"/>
              </w:rPr>
            </w:pPr>
            <w:r>
              <w:rPr>
                <w:rFonts w:hint="default" w:ascii="Times New Roman" w:hAnsi="Times New Roman" w:eastAsia="仿宋_GB2312" w:cs="Times New Roman"/>
                <w:b/>
                <w:bCs/>
                <w:color w:val="auto"/>
              </w:rPr>
              <w:t>规划环评批复文件名称：</w:t>
            </w:r>
            <w:r>
              <w:rPr>
                <w:rFonts w:hint="default" w:ascii="Times New Roman" w:hAnsi="Times New Roman" w:eastAsia="仿宋_GB2312" w:cs="Times New Roman"/>
                <w:color w:val="auto"/>
              </w:rPr>
              <w:t>《淮北市生态环境局关于印送&lt;淮北临涣化工园区总体发展规划（2022-2035年）环境影响报告书审查意见&gt;的函》（淮环函〔2023〕50 号）</w:t>
            </w:r>
          </w:p>
        </w:tc>
      </w:tr>
      <w:tr w14:paraId="241D3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1431" w:type="dxa"/>
            <w:noWrap w:val="0"/>
            <w:tcMar>
              <w:top w:w="16" w:type="dxa"/>
              <w:left w:w="16" w:type="dxa"/>
              <w:right w:w="16" w:type="dxa"/>
            </w:tcMar>
            <w:vAlign w:val="center"/>
          </w:tcPr>
          <w:p w14:paraId="338718C6">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规划及规划环境影响评价符合性分析</w:t>
            </w:r>
          </w:p>
        </w:tc>
        <w:tc>
          <w:tcPr>
            <w:tcW w:w="7608" w:type="dxa"/>
            <w:gridSpan w:val="5"/>
            <w:noWrap w:val="0"/>
            <w:tcMar>
              <w:top w:w="16" w:type="dxa"/>
              <w:left w:w="16" w:type="dxa"/>
              <w:right w:w="16" w:type="dxa"/>
            </w:tcMar>
            <w:vAlign w:val="center"/>
          </w:tcPr>
          <w:p w14:paraId="0E15DD8F">
            <w:pPr>
              <w:ind w:firstLine="482"/>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1、规划符合性分析</w:t>
            </w:r>
          </w:p>
          <w:p w14:paraId="751060FD">
            <w:pPr>
              <w:pStyle w:val="32"/>
              <w:ind w:firstLine="480"/>
              <w:rPr>
                <w:rFonts w:hint="eastAsia" w:ascii="Times New Roman" w:hAnsi="Times New Roman" w:eastAsia="仿宋_GB2312" w:cs="Times New Roman"/>
                <w:color w:val="auto"/>
                <w:lang w:eastAsia="zh-CN"/>
              </w:rPr>
            </w:pPr>
            <w:r>
              <w:rPr>
                <w:rFonts w:hint="eastAsia" w:ascii="Times New Roman" w:hAnsi="Times New Roman" w:eastAsia="仿宋_GB2312" w:cs="Times New Roman"/>
                <w:b/>
                <w:bCs/>
                <w:color w:val="auto"/>
                <w:lang w:eastAsia="zh-CN"/>
              </w:rPr>
              <w:t>《淮北临涣化工园区总体发展规划（2022-2035年）》符合性</w:t>
            </w:r>
          </w:p>
          <w:p w14:paraId="70B9AAB1">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安徽（淮北）新型煤化工合成材料基地管理委员会委托有资质单位编制了《淮北临涣化工园区总体发展规划（2022-2035 年）》，在现有的7.35 平方公里基础上向南侧扩4.11平方公里，规划总面积约11.46平方公里，其具体四至范围：东至淮相路和淮晶路、南至基地南路（S305）、西至淮滨路和青芦铁路、北至基地北路。</w:t>
            </w:r>
          </w:p>
          <w:p w14:paraId="5D23601A">
            <w:pPr>
              <w:pStyle w:val="32"/>
              <w:ind w:firstLine="480"/>
              <w:rPr>
                <w:rFonts w:hint="default" w:ascii="Times New Roman" w:hAnsi="Times New Roman" w:eastAsia="仿宋_GB2312" w:cs="Times New Roman"/>
                <w:color w:val="auto"/>
                <w:lang w:val="en-US" w:eastAsia="zh-CN"/>
              </w:rPr>
            </w:pPr>
            <w:r>
              <w:rPr>
                <w:rFonts w:hint="eastAsia" w:cs="Times New Roman"/>
                <w:color w:val="auto"/>
                <w:lang w:val="en-US" w:eastAsia="zh-CN"/>
              </w:rPr>
              <w:t>本项目为管线建设项目，位于</w:t>
            </w:r>
            <w:r>
              <w:rPr>
                <w:rFonts w:hint="default" w:ascii="Times New Roman" w:hAnsi="Times New Roman" w:eastAsia="仿宋_GB2312" w:cs="Times New Roman"/>
                <w:color w:val="auto"/>
              </w:rPr>
              <w:t>安徽省淮北市安徽(淮北)新型煤化工合成材料基地内，归属为陆地管道运输业，不属于禁止开发建设活动和禁止发展项目，</w:t>
            </w:r>
            <w:r>
              <w:rPr>
                <w:rFonts w:hint="eastAsia" w:cs="Times New Roman"/>
                <w:color w:val="auto"/>
                <w:lang w:val="en-US" w:eastAsia="zh-CN"/>
              </w:rPr>
              <w:t>依托园区综合管廊、管墩，</w:t>
            </w:r>
            <w:r>
              <w:rPr>
                <w:rFonts w:hint="eastAsia" w:ascii="Times New Roman" w:hAnsi="Times New Roman" w:cs="Times New Roman"/>
                <w:color w:val="auto"/>
                <w:lang w:val="en-US" w:eastAsia="zh-CN"/>
              </w:rPr>
              <w:t>符合《淮北临涣化工园区总体发展规划（2022-2035年）》要求。</w:t>
            </w:r>
          </w:p>
          <w:p w14:paraId="393F2BFE">
            <w:pPr>
              <w:pStyle w:val="32"/>
              <w:ind w:firstLine="482"/>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2、规划环评符合性分析</w:t>
            </w:r>
          </w:p>
          <w:p w14:paraId="0F136B95">
            <w:pPr>
              <w:pStyle w:val="12"/>
              <w:rPr>
                <w:rFonts w:hint="eastAsia" w:eastAsia="仿宋_GB2312"/>
                <w:color w:val="auto"/>
                <w:lang w:eastAsia="zh-CN"/>
              </w:rPr>
            </w:pPr>
            <w:r>
              <w:rPr>
                <w:rFonts w:hint="eastAsia" w:cs="Times New Roman"/>
                <w:b/>
                <w:bCs/>
                <w:color w:val="auto"/>
                <w:szCs w:val="21"/>
                <w:lang w:eastAsia="zh-CN"/>
              </w:rPr>
              <w:t>与《淮北临涣化工园区总体发展规划（2022-2035年）环境影响报告书》及其审查意见的符合性分析</w:t>
            </w:r>
          </w:p>
          <w:p w14:paraId="5444CE3A">
            <w:pPr>
              <w:pStyle w:val="2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表1-</w:t>
            </w:r>
            <w:r>
              <w:rPr>
                <w:rFonts w:hint="eastAsia" w:eastAsia="仿宋_GB2312" w:cs="Times New Roman"/>
                <w:color w:val="auto"/>
                <w:lang w:val="en-US" w:eastAsia="zh-CN"/>
              </w:rPr>
              <w:t>2</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项目与临涣化工园区规划环评审查意见符合性</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0"/>
              <w:gridCol w:w="2298"/>
              <w:gridCol w:w="735"/>
            </w:tblGrid>
            <w:tr w14:paraId="2C9E03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97" w:type="pct"/>
                  <w:tcBorders>
                    <w:tl2br w:val="nil"/>
                    <w:tr2bl w:val="nil"/>
                  </w:tcBorders>
                  <w:noWrap w:val="0"/>
                  <w:vAlign w:val="center"/>
                </w:tcPr>
                <w:p w14:paraId="26C1CF3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eastAsia="仿宋_GB2312" w:cs="Times New Roman"/>
                      <w:b/>
                      <w:bCs/>
                      <w:color w:val="auto"/>
                      <w:sz w:val="18"/>
                      <w:szCs w:val="18"/>
                      <w:lang w:val="en-US" w:eastAsia="zh-CN"/>
                    </w:rPr>
                    <w:t>规划环评审查意见主要内容</w:t>
                  </w:r>
                </w:p>
              </w:tc>
              <w:tc>
                <w:tcPr>
                  <w:tcW w:w="1517" w:type="pct"/>
                  <w:tcBorders>
                    <w:tl2br w:val="nil"/>
                    <w:tr2bl w:val="nil"/>
                  </w:tcBorders>
                  <w:noWrap w:val="0"/>
                  <w:vAlign w:val="center"/>
                </w:tcPr>
                <w:p w14:paraId="0AB9A20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b/>
                      <w:bCs/>
                      <w:color w:val="auto"/>
                      <w:kern w:val="2"/>
                      <w:sz w:val="18"/>
                      <w:szCs w:val="18"/>
                      <w:lang w:val="en-US" w:eastAsia="zh-CN" w:bidi="ar-SA"/>
                    </w:rPr>
                  </w:pPr>
                  <w:r>
                    <w:rPr>
                      <w:rFonts w:hint="eastAsia" w:ascii="Times New Roman" w:hAnsi="Times New Roman" w:eastAsia="仿宋_GB2312" w:cs="Times New Roman"/>
                      <w:b/>
                      <w:bCs/>
                      <w:color w:val="auto"/>
                      <w:sz w:val="18"/>
                      <w:szCs w:val="18"/>
                      <w:lang w:val="en-US" w:eastAsia="zh-CN"/>
                    </w:rPr>
                    <w:t>项目情况</w:t>
                  </w:r>
                </w:p>
              </w:tc>
              <w:tc>
                <w:tcPr>
                  <w:tcW w:w="485" w:type="pct"/>
                  <w:tcBorders>
                    <w:tl2br w:val="nil"/>
                    <w:tr2bl w:val="nil"/>
                  </w:tcBorders>
                  <w:noWrap w:val="0"/>
                  <w:vAlign w:val="center"/>
                </w:tcPr>
                <w:p w14:paraId="330C32B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b/>
                      <w:bCs/>
                      <w:color w:val="auto"/>
                      <w:kern w:val="2"/>
                      <w:sz w:val="18"/>
                      <w:szCs w:val="18"/>
                      <w:lang w:val="en-US" w:eastAsia="zh-CN" w:bidi="ar-SA"/>
                    </w:rPr>
                  </w:pPr>
                  <w:r>
                    <w:rPr>
                      <w:rFonts w:hint="eastAsia" w:ascii="Times New Roman" w:hAnsi="Times New Roman" w:eastAsia="仿宋_GB2312" w:cs="Times New Roman"/>
                      <w:b/>
                      <w:bCs/>
                      <w:color w:val="auto"/>
                      <w:sz w:val="18"/>
                      <w:szCs w:val="18"/>
                      <w:lang w:val="en-US" w:eastAsia="zh-CN"/>
                    </w:rPr>
                    <w:t>符合性</w:t>
                  </w:r>
                </w:p>
              </w:tc>
            </w:tr>
            <w:tr w14:paraId="73EA55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97" w:type="pct"/>
                  <w:tcBorders>
                    <w:tl2br w:val="nil"/>
                    <w:tr2bl w:val="nil"/>
                  </w:tcBorders>
                  <w:noWrap w:val="0"/>
                  <w:vAlign w:val="center"/>
                </w:tcPr>
                <w:p w14:paraId="30DEF8F0">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产业定位：传统煤化工，即焦化、焦炉气综合利用制甲醇、煤矸石发电、粗苯精制、焦油分离；新型煤化工合成材料包括甲醇制烯烃、费托合成及烯烃、芳烃延伸发展的先进合成材料、高端精细化工、专用化学品等，重点发展先进合成材料，加快发展新型精细化学品、碳基材料、医药农药染料中间体。</w:t>
                  </w:r>
                </w:p>
              </w:tc>
              <w:tc>
                <w:tcPr>
                  <w:tcW w:w="1517" w:type="pct"/>
                  <w:tcBorders>
                    <w:tl2br w:val="nil"/>
                    <w:tr2bl w:val="nil"/>
                  </w:tcBorders>
                  <w:noWrap w:val="0"/>
                  <w:vAlign w:val="center"/>
                </w:tcPr>
                <w:p w14:paraId="53792A90">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润土公司属于化工企业，本项目为企业配套管道项目，为园区主导产业的配套工程，符合园区产业定位。</w:t>
                  </w:r>
                </w:p>
              </w:tc>
              <w:tc>
                <w:tcPr>
                  <w:tcW w:w="485" w:type="pct"/>
                  <w:tcBorders>
                    <w:tl2br w:val="nil"/>
                    <w:tr2bl w:val="nil"/>
                  </w:tcBorders>
                  <w:noWrap w:val="0"/>
                  <w:vAlign w:val="center"/>
                </w:tcPr>
                <w:p w14:paraId="310EEB1C">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符合</w:t>
                  </w:r>
                </w:p>
              </w:tc>
            </w:tr>
            <w:tr w14:paraId="57B116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97" w:type="pct"/>
                  <w:tcBorders>
                    <w:tl2br w:val="nil"/>
                    <w:tr2bl w:val="nil"/>
                  </w:tcBorders>
                  <w:noWrap w:val="0"/>
                  <w:vAlign w:val="center"/>
                </w:tcPr>
                <w:p w14:paraId="1697DBF7">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加强《规划》引领，坚持绿色协调发展。园区位于淮河流域，应坚持生态保护优先、高效集约发展，以生态环境质量改善、防范环境风险为核心，明确园区存在的制约因素；加强《规划》与国土空间规划、污染防治攻坚战规划等相关环境保护政策要求、</w:t>
                  </w:r>
                  <w:r>
                    <w:rPr>
                      <w:rFonts w:hint="eastAsia" w:cs="Times New Roman"/>
                      <w:color w:val="auto"/>
                      <w:kern w:val="2"/>
                      <w:sz w:val="18"/>
                      <w:szCs w:val="18"/>
                      <w:lang w:val="en-US" w:eastAsia="zh-CN" w:bidi="ar-SA"/>
                    </w:rPr>
                    <w:t>“</w:t>
                  </w:r>
                  <w:r>
                    <w:rPr>
                      <w:rFonts w:hint="default" w:ascii="Times New Roman" w:hAnsi="Times New Roman" w:eastAsia="仿宋_GB2312" w:cs="Times New Roman"/>
                      <w:color w:val="auto"/>
                      <w:kern w:val="2"/>
                      <w:sz w:val="18"/>
                      <w:szCs w:val="18"/>
                      <w:lang w:val="en-US" w:eastAsia="zh-CN" w:bidi="ar-SA"/>
                    </w:rPr>
                    <w:t>三线一单</w:t>
                  </w:r>
                  <w:r>
                    <w:rPr>
                      <w:rFonts w:hint="eastAsia" w:cs="Times New Roman"/>
                      <w:color w:val="auto"/>
                      <w:kern w:val="2"/>
                      <w:sz w:val="18"/>
                      <w:szCs w:val="18"/>
                      <w:lang w:val="en-US" w:eastAsia="zh-CN" w:bidi="ar-SA"/>
                    </w:rPr>
                    <w:t>”</w:t>
                  </w:r>
                  <w:r>
                    <w:rPr>
                      <w:rFonts w:hint="default" w:ascii="Times New Roman" w:hAnsi="Times New Roman" w:eastAsia="仿宋_GB2312" w:cs="Times New Roman"/>
                      <w:color w:val="auto"/>
                      <w:kern w:val="2"/>
                      <w:sz w:val="18"/>
                      <w:szCs w:val="18"/>
                      <w:lang w:val="en-US" w:eastAsia="zh-CN" w:bidi="ar-SA"/>
                    </w:rPr>
                    <w:t>成果的协调衔接</w:t>
                  </w:r>
                  <w:r>
                    <w:rPr>
                      <w:rFonts w:hint="eastAsia" w:cs="Times New Roman"/>
                      <w:color w:val="auto"/>
                      <w:kern w:val="2"/>
                      <w:sz w:val="18"/>
                      <w:szCs w:val="18"/>
                      <w:lang w:val="en-US" w:eastAsia="zh-CN" w:bidi="ar-SA"/>
                    </w:rPr>
                    <w:t>；</w:t>
                  </w:r>
                  <w:r>
                    <w:rPr>
                      <w:rFonts w:hint="default" w:ascii="Times New Roman" w:hAnsi="Times New Roman" w:eastAsia="仿宋_GB2312" w:cs="Times New Roman"/>
                      <w:color w:val="auto"/>
                      <w:kern w:val="2"/>
                      <w:sz w:val="18"/>
                      <w:szCs w:val="18"/>
                      <w:lang w:val="en-US" w:eastAsia="zh-CN" w:bidi="ar-SA"/>
                    </w:rPr>
                    <w:t>按照最新的生态环境管理要求，统筹推进园区整体发展和生态建设合理控制开发利用强度。</w:t>
                  </w:r>
                </w:p>
              </w:tc>
              <w:tc>
                <w:tcPr>
                  <w:tcW w:w="1517" w:type="pct"/>
                  <w:tcBorders>
                    <w:tl2br w:val="nil"/>
                    <w:tr2bl w:val="nil"/>
                  </w:tcBorders>
                  <w:noWrap w:val="0"/>
                  <w:vAlign w:val="center"/>
                </w:tcPr>
                <w:p w14:paraId="28D6B44C">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本项目</w:t>
                  </w:r>
                  <w:r>
                    <w:rPr>
                      <w:rFonts w:hint="default" w:ascii="Times New Roman" w:hAnsi="Times New Roman" w:eastAsia="仿宋_GB2312" w:cs="Times New Roman"/>
                      <w:color w:val="auto"/>
                      <w:kern w:val="2"/>
                      <w:sz w:val="18"/>
                      <w:szCs w:val="18"/>
                      <w:lang w:val="en-US" w:eastAsia="zh-CN" w:bidi="ar-SA"/>
                    </w:rPr>
                    <w:t>属于</w:t>
                  </w:r>
                  <w:r>
                    <w:rPr>
                      <w:rFonts w:hint="eastAsia" w:cs="Times New Roman"/>
                      <w:color w:val="auto"/>
                      <w:kern w:val="2"/>
                      <w:sz w:val="18"/>
                      <w:szCs w:val="18"/>
                      <w:lang w:val="en-US" w:eastAsia="zh-CN" w:bidi="ar-SA"/>
                    </w:rPr>
                    <w:t>润土公司</w:t>
                  </w:r>
                  <w:r>
                    <w:rPr>
                      <w:rFonts w:hint="default" w:ascii="Times New Roman" w:hAnsi="Times New Roman" w:eastAsia="仿宋_GB2312" w:cs="Times New Roman"/>
                      <w:color w:val="auto"/>
                      <w:kern w:val="2"/>
                      <w:sz w:val="18"/>
                      <w:szCs w:val="18"/>
                      <w:lang w:val="en-US" w:eastAsia="zh-CN" w:bidi="ar-SA"/>
                    </w:rPr>
                    <w:t>配套管道项目，属于园区精细化工配套项目，属于园区主导产业范畴</w:t>
                  </w:r>
                  <w:r>
                    <w:rPr>
                      <w:rFonts w:hint="eastAsia" w:cs="Times New Roman"/>
                      <w:color w:val="auto"/>
                      <w:kern w:val="2"/>
                      <w:sz w:val="18"/>
                      <w:szCs w:val="18"/>
                      <w:lang w:val="en-US" w:eastAsia="zh-CN" w:bidi="ar-SA"/>
                    </w:rPr>
                    <w:t>；</w:t>
                  </w:r>
                  <w:r>
                    <w:rPr>
                      <w:rFonts w:hint="default" w:ascii="Times New Roman" w:hAnsi="Times New Roman" w:eastAsia="仿宋_GB2312" w:cs="Times New Roman"/>
                      <w:color w:val="auto"/>
                      <w:kern w:val="2"/>
                      <w:sz w:val="18"/>
                      <w:szCs w:val="18"/>
                      <w:lang w:val="en-US" w:eastAsia="zh-CN" w:bidi="ar-SA"/>
                    </w:rPr>
                    <w:t>运营期无废气、废水产生</w:t>
                  </w:r>
                  <w:r>
                    <w:rPr>
                      <w:rFonts w:hint="eastAsia" w:cs="Times New Roman"/>
                      <w:color w:val="auto"/>
                      <w:kern w:val="2"/>
                      <w:sz w:val="18"/>
                      <w:szCs w:val="18"/>
                      <w:lang w:val="en-US" w:eastAsia="zh-CN" w:bidi="ar-SA"/>
                    </w:rPr>
                    <w:t>，</w:t>
                  </w:r>
                  <w:r>
                    <w:rPr>
                      <w:rFonts w:hint="default" w:ascii="Times New Roman" w:hAnsi="Times New Roman" w:eastAsia="仿宋_GB2312" w:cs="Times New Roman"/>
                      <w:color w:val="auto"/>
                      <w:kern w:val="2"/>
                      <w:sz w:val="18"/>
                      <w:szCs w:val="18"/>
                      <w:lang w:val="en-US" w:eastAsia="zh-CN" w:bidi="ar-SA"/>
                    </w:rPr>
                    <w:t>项目建设符合园区相关要求。</w:t>
                  </w:r>
                </w:p>
              </w:tc>
              <w:tc>
                <w:tcPr>
                  <w:tcW w:w="485" w:type="pct"/>
                  <w:tcBorders>
                    <w:tl2br w:val="nil"/>
                    <w:tr2bl w:val="nil"/>
                  </w:tcBorders>
                  <w:noWrap w:val="0"/>
                  <w:vAlign w:val="center"/>
                </w:tcPr>
                <w:p w14:paraId="634AAE8D">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符合</w:t>
                  </w:r>
                </w:p>
              </w:tc>
            </w:tr>
            <w:tr w14:paraId="42A51D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97" w:type="pct"/>
                  <w:tcBorders>
                    <w:tl2br w:val="nil"/>
                    <w:tr2bl w:val="nil"/>
                  </w:tcBorders>
                  <w:noWrap w:val="0"/>
                  <w:vAlign w:val="center"/>
                </w:tcPr>
                <w:p w14:paraId="37FDD7C0">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严守环境质量底线，落实区域环境质量管控措施、鉴于园区所在区域为大气不达标区，应加快制定区域大气达标计划，严格执行我省《关于进一步加强建设项目新增大气主要污染物总量指标管理工作的通知》（皖环发〔2017〕19 号），在区域大气环境质量稳定达标前，严格限制主要大气污染物排放量大的项目入园。同时，应根据国家和省水、土壤、声环境、固体废物污染防治相关要求，制定污染防控方案和污染物总量管控要求，切实保障区域内入驻项目达标排放，区域环境质量持续改善，区域环境问题得到妥善解决。</w:t>
                  </w:r>
                </w:p>
              </w:tc>
              <w:tc>
                <w:tcPr>
                  <w:tcW w:w="1517" w:type="pct"/>
                  <w:tcBorders>
                    <w:tl2br w:val="nil"/>
                    <w:tr2bl w:val="nil"/>
                  </w:tcBorders>
                  <w:noWrap w:val="0"/>
                  <w:vAlign w:val="center"/>
                </w:tcPr>
                <w:p w14:paraId="391CCF8B">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本项目</w:t>
                  </w:r>
                  <w:r>
                    <w:rPr>
                      <w:rFonts w:hint="default" w:ascii="Times New Roman" w:hAnsi="Times New Roman" w:eastAsia="仿宋_GB2312" w:cs="Times New Roman"/>
                      <w:color w:val="auto"/>
                      <w:kern w:val="2"/>
                      <w:sz w:val="18"/>
                      <w:szCs w:val="18"/>
                      <w:lang w:val="en-US" w:eastAsia="zh-CN" w:bidi="ar-SA"/>
                    </w:rPr>
                    <w:t>属于</w:t>
                  </w:r>
                  <w:r>
                    <w:rPr>
                      <w:rFonts w:hint="eastAsia" w:cs="Times New Roman"/>
                      <w:color w:val="auto"/>
                      <w:kern w:val="2"/>
                      <w:sz w:val="18"/>
                      <w:szCs w:val="18"/>
                      <w:lang w:val="en-US" w:eastAsia="zh-CN" w:bidi="ar-SA"/>
                    </w:rPr>
                    <w:t>润土公司</w:t>
                  </w:r>
                  <w:r>
                    <w:rPr>
                      <w:rFonts w:hint="default" w:ascii="Times New Roman" w:hAnsi="Times New Roman" w:eastAsia="仿宋_GB2312" w:cs="Times New Roman"/>
                      <w:color w:val="auto"/>
                      <w:kern w:val="2"/>
                      <w:sz w:val="18"/>
                      <w:szCs w:val="18"/>
                      <w:lang w:val="en-US" w:eastAsia="zh-CN" w:bidi="ar-SA"/>
                    </w:rPr>
                    <w:t>配套管道项目，运营期无废气、废水产生，不会影响区域环境。同时针对区域环境空气质量不达标情况，</w:t>
                  </w:r>
                  <w:r>
                    <w:rPr>
                      <w:rFonts w:hint="default" w:ascii="Times New Roman" w:hAnsi="Times New Roman" w:eastAsia="仿宋_GB2312" w:cs="Times New Roman"/>
                      <w:color w:val="auto"/>
                      <w:kern w:val="2"/>
                      <w:sz w:val="18"/>
                      <w:szCs w:val="18"/>
                      <w:highlight w:val="none"/>
                      <w:lang w:val="en-US" w:eastAsia="zh-CN" w:bidi="ar-SA"/>
                    </w:rPr>
                    <w:t>淮北市已经编制《淮北市大气环境质量达标规划》</w:t>
                  </w:r>
                  <w:r>
                    <w:rPr>
                      <w:rFonts w:hint="default" w:ascii="Times New Roman" w:hAnsi="Times New Roman" w:eastAsia="仿宋_GB2312" w:cs="Times New Roman"/>
                      <w:color w:val="auto"/>
                      <w:kern w:val="2"/>
                      <w:sz w:val="18"/>
                      <w:szCs w:val="18"/>
                      <w:lang w:val="en-US" w:eastAsia="zh-CN" w:bidi="ar-SA"/>
                    </w:rPr>
                    <w:t>，淮北市大气环境质量将进一步得到改善。</w:t>
                  </w:r>
                </w:p>
              </w:tc>
              <w:tc>
                <w:tcPr>
                  <w:tcW w:w="485" w:type="pct"/>
                  <w:tcBorders>
                    <w:tl2br w:val="nil"/>
                    <w:tr2bl w:val="nil"/>
                  </w:tcBorders>
                  <w:noWrap w:val="0"/>
                  <w:vAlign w:val="center"/>
                </w:tcPr>
                <w:p w14:paraId="1E60062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符合</w:t>
                  </w:r>
                </w:p>
              </w:tc>
            </w:tr>
            <w:tr w14:paraId="275715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97" w:type="pct"/>
                  <w:tcBorders>
                    <w:tl2br w:val="nil"/>
                    <w:tr2bl w:val="nil"/>
                  </w:tcBorders>
                  <w:noWrap w:val="0"/>
                  <w:vAlign w:val="center"/>
                </w:tcPr>
                <w:p w14:paraId="51D99E41">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优化产业布局，加强生态空间保护。结合园区产业定位和区域主导风向，合理规划不同功能区的环境保护空间做好园区与周边环境敏感目标的隔离和管控，严禁不符合管控要求的各类开发建设活动，实现产业发展与区域生态环境保护相协调。</w:t>
                  </w:r>
                </w:p>
              </w:tc>
              <w:tc>
                <w:tcPr>
                  <w:tcW w:w="1517" w:type="pct"/>
                  <w:tcBorders>
                    <w:tl2br w:val="nil"/>
                    <w:tr2bl w:val="nil"/>
                  </w:tcBorders>
                  <w:noWrap w:val="0"/>
                  <w:vAlign w:val="center"/>
                </w:tcPr>
                <w:p w14:paraId="325EEC3B">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本项目</w:t>
                  </w:r>
                  <w:r>
                    <w:rPr>
                      <w:rFonts w:hint="default" w:ascii="Times New Roman" w:hAnsi="Times New Roman" w:eastAsia="仿宋_GB2312" w:cs="Times New Roman"/>
                      <w:color w:val="auto"/>
                      <w:kern w:val="2"/>
                      <w:sz w:val="18"/>
                      <w:szCs w:val="18"/>
                      <w:lang w:val="en-US" w:eastAsia="zh-CN" w:bidi="ar-SA"/>
                    </w:rPr>
                    <w:t>属于</w:t>
                  </w:r>
                  <w:r>
                    <w:rPr>
                      <w:rFonts w:hint="eastAsia" w:cs="Times New Roman"/>
                      <w:color w:val="auto"/>
                      <w:kern w:val="2"/>
                      <w:sz w:val="18"/>
                      <w:szCs w:val="18"/>
                      <w:lang w:val="en-US" w:eastAsia="zh-CN" w:bidi="ar-SA"/>
                    </w:rPr>
                    <w:t>润土公司</w:t>
                  </w:r>
                  <w:r>
                    <w:rPr>
                      <w:rFonts w:hint="default" w:ascii="Times New Roman" w:hAnsi="Times New Roman" w:eastAsia="仿宋_GB2312" w:cs="Times New Roman"/>
                      <w:color w:val="auto"/>
                      <w:kern w:val="2"/>
                      <w:sz w:val="18"/>
                      <w:szCs w:val="18"/>
                      <w:lang w:val="en-US" w:eastAsia="zh-CN" w:bidi="ar-SA"/>
                    </w:rPr>
                    <w:t>配套管道项目，位于安徽淮北新型煤化工合成材料基地，不涉及生态红线</w:t>
                  </w:r>
                  <w:r>
                    <w:rPr>
                      <w:rFonts w:hint="eastAsia" w:cs="Times New Roman"/>
                      <w:color w:val="auto"/>
                      <w:kern w:val="2"/>
                      <w:sz w:val="18"/>
                      <w:szCs w:val="18"/>
                      <w:lang w:val="en-US" w:eastAsia="zh-CN" w:bidi="ar-SA"/>
                    </w:rPr>
                    <w:t>，</w:t>
                  </w:r>
                  <w:r>
                    <w:rPr>
                      <w:rFonts w:hint="default" w:ascii="Times New Roman" w:hAnsi="Times New Roman" w:eastAsia="仿宋_GB2312" w:cs="Times New Roman"/>
                      <w:color w:val="auto"/>
                      <w:kern w:val="2"/>
                      <w:sz w:val="18"/>
                      <w:szCs w:val="18"/>
                      <w:lang w:val="en-US" w:eastAsia="zh-CN" w:bidi="ar-SA"/>
                    </w:rPr>
                    <w:t>属于园区主导产业的配套工程，符合园区产业定位</w:t>
                  </w:r>
                  <w:r>
                    <w:rPr>
                      <w:rFonts w:hint="eastAsia" w:ascii="Times New Roman" w:hAnsi="Times New Roman" w:cs="Times New Roman"/>
                      <w:color w:val="auto"/>
                      <w:kern w:val="2"/>
                      <w:sz w:val="18"/>
                      <w:szCs w:val="18"/>
                      <w:lang w:val="en-US" w:eastAsia="zh-CN" w:bidi="ar-SA"/>
                    </w:rPr>
                    <w:t>。</w:t>
                  </w:r>
                </w:p>
              </w:tc>
              <w:tc>
                <w:tcPr>
                  <w:tcW w:w="485" w:type="pct"/>
                  <w:tcBorders>
                    <w:tl2br w:val="nil"/>
                    <w:tr2bl w:val="nil"/>
                  </w:tcBorders>
                  <w:noWrap w:val="0"/>
                  <w:vAlign w:val="center"/>
                </w:tcPr>
                <w:p w14:paraId="7ABE4256">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符合</w:t>
                  </w:r>
                </w:p>
              </w:tc>
            </w:tr>
            <w:tr w14:paraId="097E1D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97" w:type="pct"/>
                  <w:tcBorders>
                    <w:tl2br w:val="nil"/>
                    <w:tr2bl w:val="nil"/>
                  </w:tcBorders>
                  <w:noWrap w:val="0"/>
                  <w:vAlign w:val="center"/>
                </w:tcPr>
                <w:p w14:paraId="1DEE8DB4">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细化生态环境准入清单，推动高质量发展。根据国家和区域发展战略，结合区域生态环境质量现状、</w:t>
                  </w:r>
                  <w:r>
                    <w:rPr>
                      <w:rFonts w:hint="eastAsia" w:cs="Times New Roman"/>
                      <w:color w:val="auto"/>
                      <w:kern w:val="2"/>
                      <w:sz w:val="18"/>
                      <w:szCs w:val="18"/>
                      <w:lang w:val="en-US" w:eastAsia="zh-CN" w:bidi="ar-SA"/>
                    </w:rPr>
                    <w:t>“三线一单”</w:t>
                  </w:r>
                  <w:r>
                    <w:rPr>
                      <w:rFonts w:hint="default" w:ascii="Times New Roman" w:hAnsi="Times New Roman" w:eastAsia="仿宋_GB2312" w:cs="Times New Roman"/>
                      <w:color w:val="auto"/>
                      <w:kern w:val="2"/>
                      <w:sz w:val="18"/>
                      <w:szCs w:val="18"/>
                      <w:lang w:val="en-US" w:eastAsia="zh-CN" w:bidi="ar-SA"/>
                    </w:rPr>
                    <w:t>成果，严格落实《报告书》生态环境准入要求，限制与规划主导产业不相关且污染物排放量大的项目入区，入园项目的生产工艺、设备、自动化水平以及单位产品能耗、污染物排放等均需达到国内同行业先进水平。</w:t>
                  </w:r>
                </w:p>
              </w:tc>
              <w:tc>
                <w:tcPr>
                  <w:tcW w:w="1517" w:type="pct"/>
                  <w:tcBorders>
                    <w:tl2br w:val="nil"/>
                    <w:tr2bl w:val="nil"/>
                  </w:tcBorders>
                  <w:noWrap w:val="0"/>
                  <w:vAlign w:val="center"/>
                </w:tcPr>
                <w:p w14:paraId="65F0D0AE">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本项目为园区精细化工配套项目，属于园区主导产业范畴。管线工程运营期无废气、废水产生，对区域环境影响较小。</w:t>
                  </w:r>
                </w:p>
              </w:tc>
              <w:tc>
                <w:tcPr>
                  <w:tcW w:w="485" w:type="pct"/>
                  <w:tcBorders>
                    <w:tl2br w:val="nil"/>
                    <w:tr2bl w:val="nil"/>
                  </w:tcBorders>
                  <w:noWrap w:val="0"/>
                  <w:vAlign w:val="center"/>
                </w:tcPr>
                <w:p w14:paraId="12D6FA71">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符合</w:t>
                  </w:r>
                </w:p>
              </w:tc>
            </w:tr>
            <w:tr w14:paraId="40842A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7" w:hRule="atLeast"/>
                <w:jc w:val="center"/>
              </w:trPr>
              <w:tc>
                <w:tcPr>
                  <w:tcW w:w="2997" w:type="pct"/>
                  <w:tcBorders>
                    <w:tl2br w:val="nil"/>
                    <w:tr2bl w:val="nil"/>
                  </w:tcBorders>
                  <w:noWrap w:val="0"/>
                  <w:vAlign w:val="center"/>
                </w:tcPr>
                <w:p w14:paraId="620F3D7E">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完善环境监测体系，强化环境风险防控。统筹考虑园区污染物排放、环境保护、环境风险防范、环境管理等，健全区域风险防范体系，强化园区环境监测与预警能力建设环境风险应急与防范措施、突发环境事件响应与管理等，加强园区内重大环境风险源的管控，定期开展环境应急演练。</w:t>
                  </w:r>
                </w:p>
              </w:tc>
              <w:tc>
                <w:tcPr>
                  <w:tcW w:w="1517" w:type="pct"/>
                  <w:tcBorders>
                    <w:tl2br w:val="nil"/>
                    <w:tr2bl w:val="nil"/>
                  </w:tcBorders>
                  <w:noWrap w:val="0"/>
                  <w:vAlign w:val="center"/>
                </w:tcPr>
                <w:p w14:paraId="0557201B">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1、源头控制措施：优化设计以预防和控制泄漏；优化管道选型；</w:t>
                  </w:r>
                </w:p>
                <w:p w14:paraId="48D4DD0F">
                  <w:pPr>
                    <w:pStyle w:val="2"/>
                    <w:numPr>
                      <w:ilvl w:val="0"/>
                      <w:numId w:val="0"/>
                    </w:numPr>
                    <w:spacing w:line="240" w:lineRule="auto"/>
                    <w:rPr>
                      <w:rFonts w:hint="eastAsia"/>
                      <w:b w:val="0"/>
                      <w:bCs w:val="0"/>
                      <w:color w:val="auto"/>
                      <w:lang w:val="en-US" w:eastAsia="zh-CN"/>
                    </w:rPr>
                  </w:pPr>
                  <w:r>
                    <w:rPr>
                      <w:rFonts w:hint="eastAsia"/>
                      <w:b w:val="0"/>
                      <w:bCs w:val="0"/>
                      <w:color w:val="auto"/>
                      <w:lang w:val="en-US" w:eastAsia="zh-CN"/>
                    </w:rPr>
                    <w:t>2、</w:t>
                  </w:r>
                  <w:r>
                    <w:rPr>
                      <w:rFonts w:hint="default"/>
                      <w:b w:val="0"/>
                      <w:bCs w:val="0"/>
                      <w:color w:val="auto"/>
                      <w:lang w:val="en-US" w:eastAsia="zh-CN"/>
                    </w:rPr>
                    <w:t>安全监测与应急切断设施</w:t>
                  </w:r>
                  <w:r>
                    <w:rPr>
                      <w:rFonts w:hint="eastAsia"/>
                      <w:b w:val="0"/>
                      <w:bCs w:val="0"/>
                      <w:color w:val="auto"/>
                      <w:lang w:val="en-US" w:eastAsia="zh-CN"/>
                    </w:rPr>
                    <w:t>：氢气管线接收端设置了压力检测和报警设施、流量变送器、切断阀等安全设施，在发生泄漏事故时快速切断流量和启动泄压系统，避免事故的继续扩大。</w:t>
                  </w:r>
                </w:p>
                <w:p w14:paraId="73281D0D">
                  <w:pPr>
                    <w:pStyle w:val="2"/>
                    <w:numPr>
                      <w:ilvl w:val="0"/>
                      <w:numId w:val="0"/>
                    </w:numPr>
                    <w:spacing w:line="240" w:lineRule="auto"/>
                    <w:rPr>
                      <w:rFonts w:hint="default"/>
                      <w:lang w:val="en-US" w:eastAsia="zh-CN"/>
                    </w:rPr>
                  </w:pPr>
                  <w:r>
                    <w:rPr>
                      <w:rFonts w:hint="eastAsia"/>
                      <w:b w:val="0"/>
                      <w:bCs w:val="0"/>
                      <w:color w:val="auto"/>
                      <w:lang w:val="en-US" w:eastAsia="zh-CN"/>
                    </w:rPr>
                    <w:t>3、管理措施：设立专职安全管理机构和维抢修队，细化责任划分；加大巡线频率，提高巡线的有效性，定期检查管道施工带，查看地表情况等。</w:t>
                  </w:r>
                </w:p>
              </w:tc>
              <w:tc>
                <w:tcPr>
                  <w:tcW w:w="485" w:type="pct"/>
                  <w:tcBorders>
                    <w:tl2br w:val="nil"/>
                    <w:tr2bl w:val="nil"/>
                  </w:tcBorders>
                  <w:noWrap w:val="0"/>
                  <w:vAlign w:val="center"/>
                </w:tcPr>
                <w:p w14:paraId="3452CFE6">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符合</w:t>
                  </w:r>
                </w:p>
              </w:tc>
            </w:tr>
            <w:tr w14:paraId="13F740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97" w:type="pct"/>
                  <w:tcBorders>
                    <w:tl2br w:val="nil"/>
                    <w:tr2bl w:val="nil"/>
                  </w:tcBorders>
                  <w:noWrap w:val="0"/>
                  <w:vAlign w:val="center"/>
                </w:tcPr>
                <w:p w14:paraId="7723C32A">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加强日常环境监管，落实区域环境管理要求。并强化园区环境管理队伍建设，严格落实环境影响评价和排污许可制度，督促现有入园企业及时完成竣工环境保护验收适时开展规划环境影响跟踪评价和区域评估。</w:t>
                  </w:r>
                </w:p>
              </w:tc>
              <w:tc>
                <w:tcPr>
                  <w:tcW w:w="1517" w:type="pct"/>
                  <w:tcBorders>
                    <w:tl2br w:val="nil"/>
                    <w:tr2bl w:val="nil"/>
                  </w:tcBorders>
                  <w:noWrap w:val="0"/>
                  <w:vAlign w:val="center"/>
                </w:tcPr>
                <w:p w14:paraId="1B21F65F">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根据《固定污染源排污许可分类管理名录（2019版）》，G5720陆地管道运输项目不属于名录内行业类别，可不纳入排污许可管理。本项目严格落实环境影响评价制度</w:t>
                  </w:r>
                  <w:r>
                    <w:rPr>
                      <w:rFonts w:hint="eastAsia" w:cs="Times New Roman"/>
                      <w:color w:val="auto"/>
                      <w:kern w:val="2"/>
                      <w:sz w:val="18"/>
                      <w:szCs w:val="18"/>
                      <w:lang w:val="en-US" w:eastAsia="zh-CN" w:bidi="ar-SA"/>
                    </w:rPr>
                    <w:t>，</w:t>
                  </w:r>
                  <w:r>
                    <w:rPr>
                      <w:rFonts w:hint="default" w:ascii="Times New Roman" w:hAnsi="Times New Roman" w:eastAsia="仿宋_GB2312" w:cs="Times New Roman"/>
                      <w:color w:val="auto"/>
                      <w:kern w:val="2"/>
                      <w:sz w:val="18"/>
                      <w:szCs w:val="18"/>
                      <w:lang w:val="en-US" w:eastAsia="zh-CN" w:bidi="ar-SA"/>
                    </w:rPr>
                    <w:t>待项目竣工后，及时组织开展竣工环境保护验收工作。</w:t>
                  </w:r>
                </w:p>
              </w:tc>
              <w:tc>
                <w:tcPr>
                  <w:tcW w:w="485" w:type="pct"/>
                  <w:tcBorders>
                    <w:tl2br w:val="nil"/>
                    <w:tr2bl w:val="nil"/>
                  </w:tcBorders>
                  <w:noWrap w:val="0"/>
                  <w:vAlign w:val="center"/>
                </w:tcPr>
                <w:p w14:paraId="13E359B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符合</w:t>
                  </w:r>
                </w:p>
              </w:tc>
            </w:tr>
          </w:tbl>
          <w:p w14:paraId="12904270">
            <w:pPr>
              <w:pStyle w:val="12"/>
              <w:rPr>
                <w:rFonts w:hint="default"/>
                <w:color w:val="auto"/>
              </w:rPr>
            </w:pPr>
            <w:r>
              <w:rPr>
                <w:rFonts w:hint="eastAsia"/>
                <w:color w:val="auto"/>
                <w:lang w:val="en-US" w:eastAsia="zh-CN"/>
              </w:rPr>
              <w:t>综上，</w:t>
            </w:r>
            <w:r>
              <w:rPr>
                <w:rFonts w:hint="eastAsia"/>
                <w:color w:val="auto"/>
                <w:lang w:eastAsia="zh-CN"/>
              </w:rPr>
              <w:t>本项目符合《淮北临涣化工园区总体发展规划（2022-2035 年）环境影响报告书》及其审查意见。</w:t>
            </w:r>
          </w:p>
        </w:tc>
      </w:tr>
      <w:tr w14:paraId="26187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431" w:type="dxa"/>
            <w:noWrap w:val="0"/>
            <w:tcMar>
              <w:top w:w="16" w:type="dxa"/>
              <w:left w:w="16" w:type="dxa"/>
              <w:right w:w="16" w:type="dxa"/>
            </w:tcMar>
            <w:vAlign w:val="center"/>
          </w:tcPr>
          <w:p w14:paraId="5E2B77AE">
            <w:pPr>
              <w:pStyle w:val="34"/>
              <w:rPr>
                <w:rFonts w:hint="default" w:ascii="Times New Roman" w:hAnsi="Times New Roman" w:eastAsia="仿宋_GB2312" w:cs="Times New Roman"/>
                <w:color w:val="auto"/>
              </w:rPr>
            </w:pPr>
            <w:bookmarkStart w:id="4" w:name="_Hlk56690880"/>
            <w:r>
              <w:rPr>
                <w:rFonts w:hint="default" w:ascii="Times New Roman" w:hAnsi="Times New Roman" w:eastAsia="仿宋_GB2312" w:cs="Times New Roman"/>
                <w:color w:val="auto"/>
              </w:rPr>
              <w:t>其他符合性分析</w:t>
            </w:r>
            <w:bookmarkEnd w:id="4"/>
          </w:p>
        </w:tc>
        <w:tc>
          <w:tcPr>
            <w:tcW w:w="7608" w:type="dxa"/>
            <w:gridSpan w:val="5"/>
            <w:noWrap w:val="0"/>
            <w:tcMar>
              <w:top w:w="16" w:type="dxa"/>
              <w:left w:w="16" w:type="dxa"/>
              <w:right w:w="16" w:type="dxa"/>
            </w:tcMar>
            <w:vAlign w:val="center"/>
          </w:tcPr>
          <w:p w14:paraId="5AFE4594">
            <w:pPr>
              <w:pStyle w:val="32"/>
              <w:ind w:firstLine="482"/>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1、产业政策符合性分析</w:t>
            </w:r>
          </w:p>
          <w:p w14:paraId="36B34911">
            <w:pPr>
              <w:pStyle w:val="32"/>
              <w:ind w:firstLine="480"/>
              <w:rPr>
                <w:rFonts w:hint="eastAsia" w:cs="Times New Roman"/>
                <w:color w:val="auto"/>
                <w:lang w:val="en-US" w:eastAsia="zh-CN"/>
              </w:rPr>
            </w:pPr>
            <w:r>
              <w:rPr>
                <w:rFonts w:hint="default" w:ascii="Times New Roman" w:hAnsi="Times New Roman" w:eastAsia="仿宋_GB2312" w:cs="Times New Roman"/>
                <w:color w:val="auto"/>
              </w:rPr>
              <w:t>本项目为</w:t>
            </w:r>
            <w:r>
              <w:rPr>
                <w:rFonts w:hint="eastAsia" w:cs="Times New Roman"/>
                <w:color w:val="auto"/>
                <w:lang w:val="en-US" w:eastAsia="zh-CN"/>
              </w:rPr>
              <w:t>氢气管道输送项目，对照《产业结构调整指导目录（2024年本）》，本项目不属于“鼓励类”、“限制类”和“淘汰类”，属于“允许类”项目。</w:t>
            </w:r>
          </w:p>
          <w:p w14:paraId="2C82EE9B">
            <w:pPr>
              <w:pStyle w:val="32"/>
              <w:ind w:firstLine="480"/>
              <w:rPr>
                <w:rFonts w:hint="eastAsia" w:cs="Times New Roman"/>
                <w:color w:val="auto"/>
                <w:lang w:val="en-US" w:eastAsia="zh-CN"/>
              </w:rPr>
            </w:pPr>
            <w:r>
              <w:rPr>
                <w:rFonts w:hint="eastAsia" w:cs="Times New Roman"/>
                <w:color w:val="auto"/>
                <w:lang w:val="en-US" w:eastAsia="zh-CN"/>
              </w:rPr>
              <w:t>项目已于2026年1月8日取得安徽（淮北）新型煤化工合成材料基地管委会项目备案表（项目代码：2601-340664-04-01-417124）。</w:t>
            </w:r>
          </w:p>
          <w:p w14:paraId="2D871B91">
            <w:pPr>
              <w:pStyle w:val="32"/>
              <w:ind w:firstLine="480"/>
              <w:rPr>
                <w:rFonts w:hint="eastAsia" w:cs="Times New Roman"/>
                <w:color w:val="auto"/>
                <w:lang w:val="en-US" w:eastAsia="zh-CN"/>
              </w:rPr>
            </w:pPr>
            <w:r>
              <w:rPr>
                <w:rFonts w:hint="eastAsia" w:cs="Times New Roman"/>
                <w:color w:val="auto"/>
                <w:lang w:val="en-US" w:eastAsia="zh-CN"/>
              </w:rPr>
              <w:t>因此，项目的建设符合国家和安徽省的相关产业政策。</w:t>
            </w:r>
          </w:p>
          <w:p w14:paraId="13CDF451">
            <w:pPr>
              <w:pStyle w:val="32"/>
              <w:ind w:firstLine="482"/>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2、</w:t>
            </w:r>
            <w:r>
              <w:rPr>
                <w:rFonts w:hint="eastAsia" w:cs="Times New Roman"/>
                <w:b/>
                <w:bCs/>
                <w:color w:val="auto"/>
                <w:lang w:val="en-US" w:eastAsia="zh-CN"/>
              </w:rPr>
              <w:t>用地符合性</w:t>
            </w:r>
            <w:r>
              <w:rPr>
                <w:rFonts w:hint="default" w:ascii="Times New Roman" w:hAnsi="Times New Roman" w:eastAsia="仿宋_GB2312" w:cs="Times New Roman"/>
                <w:b/>
                <w:bCs/>
                <w:color w:val="auto"/>
              </w:rPr>
              <w:t>分析</w:t>
            </w:r>
          </w:p>
          <w:p w14:paraId="0F10F192">
            <w:pPr>
              <w:pStyle w:val="32"/>
              <w:ind w:firstLine="480"/>
              <w:rPr>
                <w:rFonts w:hint="default" w:cs="Times New Roman"/>
                <w:color w:val="auto"/>
                <w:lang w:val="en-US" w:eastAsia="zh-CN"/>
              </w:rPr>
            </w:pPr>
            <w:r>
              <w:rPr>
                <w:rFonts w:hint="default" w:cs="Times New Roman"/>
                <w:color w:val="auto"/>
                <w:lang w:val="en-US" w:eastAsia="zh-CN"/>
              </w:rPr>
              <w:t>对照自然资源部</w:t>
            </w:r>
            <w:r>
              <w:rPr>
                <w:rFonts w:hint="eastAsia" w:cs="Times New Roman"/>
                <w:color w:val="auto"/>
                <w:lang w:val="en-US" w:eastAsia="zh-CN"/>
              </w:rPr>
              <w:t>、</w:t>
            </w:r>
            <w:r>
              <w:rPr>
                <w:rFonts w:hint="default" w:cs="Times New Roman"/>
                <w:color w:val="auto"/>
                <w:lang w:val="en-US" w:eastAsia="zh-CN"/>
              </w:rPr>
              <w:t>国家发展和改革委员会</w:t>
            </w:r>
            <w:r>
              <w:rPr>
                <w:rFonts w:hint="eastAsia" w:cs="Times New Roman"/>
                <w:color w:val="auto"/>
                <w:lang w:val="en-US" w:eastAsia="zh-CN"/>
              </w:rPr>
              <w:t>、</w:t>
            </w:r>
            <w:r>
              <w:rPr>
                <w:rFonts w:hint="default" w:cs="Times New Roman"/>
                <w:color w:val="auto"/>
                <w:lang w:val="en-US" w:eastAsia="zh-CN"/>
              </w:rPr>
              <w:t>国家林业和草原局</w:t>
            </w:r>
            <w:r>
              <w:rPr>
                <w:rFonts w:hint="eastAsia" w:cs="Times New Roman"/>
                <w:color w:val="auto"/>
                <w:lang w:val="en-US" w:eastAsia="zh-CN"/>
              </w:rPr>
              <w:t>发布的《自然资源要素支撑产业高质量发展指导目录（2024年本）》（自然资发〔2024〕273号）</w:t>
            </w:r>
            <w:r>
              <w:rPr>
                <w:rFonts w:hint="default" w:cs="Times New Roman"/>
                <w:color w:val="auto"/>
                <w:lang w:val="en-US" w:eastAsia="zh-CN"/>
              </w:rPr>
              <w:t>，项目不在限制用地项目目录和禁止用地项目目录内。</w:t>
            </w:r>
          </w:p>
          <w:p w14:paraId="784BFD11">
            <w:pPr>
              <w:pStyle w:val="32"/>
              <w:ind w:firstLine="480"/>
              <w:rPr>
                <w:rFonts w:hint="eastAsia" w:cs="Times New Roman"/>
                <w:color w:val="auto"/>
                <w:lang w:val="en-US" w:eastAsia="zh-CN"/>
              </w:rPr>
            </w:pPr>
            <w:r>
              <w:rPr>
                <w:rFonts w:hint="eastAsia" w:cs="Times New Roman"/>
                <w:color w:val="auto"/>
                <w:lang w:val="en-US" w:eastAsia="zh-CN"/>
              </w:rPr>
              <w:t>项目管线采用管廊架空敷设与管墩敷设方式，拟依托园区既有公共管廊、管墩。本项目关于管廊、管墩的管位规划与使用申请，已获得淮北市浍铚工业管廊运营有限公司的批准（详见附件4）。项目用地符合相关规划要求。</w:t>
            </w:r>
          </w:p>
          <w:p w14:paraId="09EA9C62">
            <w:pPr>
              <w:pStyle w:val="32"/>
              <w:ind w:firstLine="482"/>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3</w:t>
            </w:r>
            <w:r>
              <w:rPr>
                <w:rFonts w:hint="default" w:ascii="Times New Roman" w:hAnsi="Times New Roman" w:eastAsia="仿宋_GB2312" w:cs="Times New Roman"/>
                <w:b/>
                <w:bCs/>
                <w:color w:val="auto"/>
              </w:rPr>
              <w:t>、</w:t>
            </w:r>
            <w:r>
              <w:rPr>
                <w:rFonts w:hint="eastAsia" w:cs="Times New Roman"/>
                <w:b/>
                <w:bCs/>
                <w:color w:val="auto"/>
                <w:lang w:val="en-US" w:eastAsia="zh-CN"/>
              </w:rPr>
              <w:t>与生态环境分区管控相符性分析</w:t>
            </w:r>
          </w:p>
          <w:p w14:paraId="6F9F476F">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对照安徽省“三线一单”公众服务平台，本项目位于安徽省淮北市濉溪县环境综合管控单元工业重点管控单元（管控单元编号：ZH34062120225），项目与管控单元相对位置详</w:t>
            </w:r>
            <w:r>
              <w:rPr>
                <w:rFonts w:hint="default" w:ascii="Times New Roman" w:hAnsi="Times New Roman" w:eastAsia="仿宋_GB2312" w:cs="Times New Roman"/>
                <w:color w:val="auto"/>
                <w:highlight w:val="none"/>
              </w:rPr>
              <w:t>见附图</w:t>
            </w:r>
            <w:r>
              <w:rPr>
                <w:rFonts w:hint="eastAsia" w:cs="Times New Roman"/>
                <w:color w:val="auto"/>
                <w:highlight w:val="none"/>
                <w:lang w:val="en-US" w:eastAsia="zh-CN"/>
              </w:rPr>
              <w:t>5-1、附图5-2</w:t>
            </w:r>
            <w:r>
              <w:rPr>
                <w:rFonts w:hint="default" w:ascii="Times New Roman" w:hAnsi="Times New Roman" w:eastAsia="仿宋_GB2312" w:cs="Times New Roman"/>
                <w:color w:val="auto"/>
              </w:rPr>
              <w:t>。</w:t>
            </w:r>
          </w:p>
          <w:p w14:paraId="0B8965B8">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根据安徽省</w:t>
            </w:r>
            <w:r>
              <w:rPr>
                <w:rFonts w:hint="eastAsia" w:cs="Times New Roman"/>
                <w:color w:val="auto"/>
                <w:lang w:eastAsia="zh-CN"/>
              </w:rPr>
              <w:t>“</w:t>
            </w:r>
            <w:r>
              <w:rPr>
                <w:rFonts w:hint="default" w:ascii="Times New Roman" w:hAnsi="Times New Roman" w:eastAsia="仿宋_GB2312" w:cs="Times New Roman"/>
                <w:color w:val="auto"/>
              </w:rPr>
              <w:t>三线一单</w:t>
            </w:r>
            <w:r>
              <w:rPr>
                <w:rFonts w:hint="eastAsia" w:cs="Times New Roman"/>
                <w:color w:val="auto"/>
                <w:lang w:eastAsia="zh-CN"/>
              </w:rPr>
              <w:t>”</w:t>
            </w:r>
            <w:r>
              <w:rPr>
                <w:rFonts w:hint="default" w:ascii="Times New Roman" w:hAnsi="Times New Roman" w:eastAsia="仿宋_GB2312" w:cs="Times New Roman"/>
                <w:color w:val="auto"/>
              </w:rPr>
              <w:t>符合性分析查询，本项目涉及的环境管控单元见下表。</w:t>
            </w:r>
          </w:p>
          <w:p w14:paraId="03C38989">
            <w:pPr>
              <w:pStyle w:val="2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表1-</w:t>
            </w:r>
            <w:r>
              <w:rPr>
                <w:rFonts w:hint="eastAsia" w:eastAsia="仿宋_GB2312" w:cs="Times New Roman"/>
                <w:color w:val="auto"/>
                <w:lang w:val="en-US" w:eastAsia="zh-CN"/>
              </w:rPr>
              <w:t>3</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项目所在地涉及的环境管控单元</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344"/>
              <w:gridCol w:w="1181"/>
              <w:gridCol w:w="1123"/>
              <w:gridCol w:w="1356"/>
              <w:gridCol w:w="900"/>
            </w:tblGrid>
            <w:tr w14:paraId="2DA766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1" w:type="pct"/>
                  <w:tcBorders>
                    <w:tl2br w:val="nil"/>
                    <w:tr2bl w:val="nil"/>
                  </w:tcBorders>
                  <w:noWrap w:val="0"/>
                  <w:vAlign w:val="center"/>
                </w:tcPr>
                <w:p w14:paraId="2A71CF3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环境管控单元编码</w:t>
                  </w:r>
                </w:p>
              </w:tc>
              <w:tc>
                <w:tcPr>
                  <w:tcW w:w="887" w:type="pct"/>
                  <w:tcBorders>
                    <w:tl2br w:val="nil"/>
                    <w:tr2bl w:val="nil"/>
                  </w:tcBorders>
                  <w:noWrap w:val="0"/>
                  <w:vAlign w:val="center"/>
                </w:tcPr>
                <w:p w14:paraId="2434F21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环境管控单元名称</w:t>
                  </w:r>
                </w:p>
              </w:tc>
              <w:tc>
                <w:tcPr>
                  <w:tcW w:w="779" w:type="pct"/>
                  <w:tcBorders>
                    <w:tl2br w:val="nil"/>
                    <w:tr2bl w:val="nil"/>
                  </w:tcBorders>
                  <w:noWrap w:val="0"/>
                  <w:vAlign w:val="center"/>
                </w:tcPr>
                <w:p w14:paraId="1AE316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所属市（州）</w:t>
                  </w:r>
                </w:p>
              </w:tc>
              <w:tc>
                <w:tcPr>
                  <w:tcW w:w="741" w:type="pct"/>
                  <w:tcBorders>
                    <w:tl2br w:val="nil"/>
                    <w:tr2bl w:val="nil"/>
                  </w:tcBorders>
                  <w:noWrap w:val="0"/>
                  <w:vAlign w:val="center"/>
                </w:tcPr>
                <w:p w14:paraId="1FC9B9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所属区县</w:t>
                  </w:r>
                </w:p>
              </w:tc>
              <w:tc>
                <w:tcPr>
                  <w:tcW w:w="895" w:type="pct"/>
                  <w:tcBorders>
                    <w:tl2br w:val="nil"/>
                    <w:tr2bl w:val="nil"/>
                  </w:tcBorders>
                  <w:noWrap w:val="0"/>
                  <w:vAlign w:val="center"/>
                </w:tcPr>
                <w:p w14:paraId="4C6020A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准入清单类型</w:t>
                  </w:r>
                </w:p>
              </w:tc>
              <w:tc>
                <w:tcPr>
                  <w:tcW w:w="594" w:type="pct"/>
                  <w:tcBorders>
                    <w:tl2br w:val="nil"/>
                    <w:tr2bl w:val="nil"/>
                  </w:tcBorders>
                  <w:noWrap w:val="0"/>
                  <w:vAlign w:val="center"/>
                </w:tcPr>
                <w:p w14:paraId="335609F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sz w:val="18"/>
                      <w:szCs w:val="18"/>
                      <w:lang w:val="en-US" w:eastAsia="zh-CN"/>
                    </w:rPr>
                    <w:t>管控类型</w:t>
                  </w:r>
                </w:p>
              </w:tc>
            </w:tr>
            <w:tr w14:paraId="3CCA4E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1" w:type="pct"/>
                  <w:tcBorders>
                    <w:tl2br w:val="nil"/>
                    <w:tr2bl w:val="nil"/>
                  </w:tcBorders>
                  <w:noWrap w:val="0"/>
                  <w:vAlign w:val="center"/>
                </w:tcPr>
                <w:p w14:paraId="373F78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ZH34062120225</w:t>
                  </w:r>
                </w:p>
              </w:tc>
              <w:tc>
                <w:tcPr>
                  <w:tcW w:w="887" w:type="pct"/>
                  <w:tcBorders>
                    <w:tl2br w:val="nil"/>
                    <w:tr2bl w:val="nil"/>
                  </w:tcBorders>
                  <w:noWrap w:val="0"/>
                  <w:vAlign w:val="center"/>
                </w:tcPr>
                <w:p w14:paraId="2E98C0C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濉溪县重点</w:t>
                  </w:r>
                </w:p>
                <w:p w14:paraId="064E0E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管控单元</w:t>
                  </w:r>
                </w:p>
              </w:tc>
              <w:tc>
                <w:tcPr>
                  <w:tcW w:w="779" w:type="pct"/>
                  <w:tcBorders>
                    <w:tl2br w:val="nil"/>
                    <w:tr2bl w:val="nil"/>
                  </w:tcBorders>
                  <w:noWrap w:val="0"/>
                  <w:vAlign w:val="center"/>
                </w:tcPr>
                <w:p w14:paraId="35199FA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淮北市</w:t>
                  </w:r>
                </w:p>
              </w:tc>
              <w:tc>
                <w:tcPr>
                  <w:tcW w:w="741" w:type="pct"/>
                  <w:tcBorders>
                    <w:tl2br w:val="nil"/>
                    <w:tr2bl w:val="nil"/>
                  </w:tcBorders>
                  <w:noWrap w:val="0"/>
                  <w:vAlign w:val="center"/>
                </w:tcPr>
                <w:p w14:paraId="3DD0CF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濉溪县</w:t>
                  </w:r>
                </w:p>
              </w:tc>
              <w:tc>
                <w:tcPr>
                  <w:tcW w:w="895" w:type="pct"/>
                  <w:tcBorders>
                    <w:tl2br w:val="nil"/>
                    <w:tr2bl w:val="nil"/>
                  </w:tcBorders>
                  <w:noWrap w:val="0"/>
                  <w:vAlign w:val="center"/>
                </w:tcPr>
                <w:p w14:paraId="626831C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环境管控单元</w:t>
                  </w:r>
                </w:p>
              </w:tc>
              <w:tc>
                <w:tcPr>
                  <w:tcW w:w="594" w:type="pct"/>
                  <w:tcBorders>
                    <w:tl2br w:val="nil"/>
                    <w:tr2bl w:val="nil"/>
                  </w:tcBorders>
                  <w:noWrap w:val="0"/>
                  <w:vAlign w:val="center"/>
                </w:tcPr>
                <w:p w14:paraId="3656C6E3">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重点管控单元</w:t>
                  </w:r>
                </w:p>
              </w:tc>
            </w:tr>
          </w:tbl>
          <w:p w14:paraId="586B0790">
            <w:pPr>
              <w:pStyle w:val="2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表1-</w:t>
            </w:r>
            <w:r>
              <w:rPr>
                <w:rFonts w:hint="eastAsia" w:eastAsia="仿宋_GB2312" w:cs="Times New Roman"/>
                <w:color w:val="auto"/>
                <w:lang w:val="en-US" w:eastAsia="zh-CN"/>
              </w:rPr>
              <w:t>4</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项目与管控单元符合性分析一览表</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16"/>
              <w:gridCol w:w="3448"/>
              <w:gridCol w:w="2432"/>
            </w:tblGrid>
            <w:tr w14:paraId="2B1AAA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9" w:type="pct"/>
                  <w:tcBorders>
                    <w:tl2br w:val="nil"/>
                    <w:tr2bl w:val="nil"/>
                  </w:tcBorders>
                  <w:noWrap w:val="0"/>
                  <w:vAlign w:val="center"/>
                </w:tcPr>
                <w:p w14:paraId="24E75A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管控单元分类</w:t>
                  </w:r>
                </w:p>
              </w:tc>
              <w:tc>
                <w:tcPr>
                  <w:tcW w:w="538" w:type="pct"/>
                  <w:tcBorders>
                    <w:tl2br w:val="nil"/>
                    <w:tr2bl w:val="nil"/>
                  </w:tcBorders>
                  <w:noWrap w:val="0"/>
                  <w:vAlign w:val="center"/>
                </w:tcPr>
                <w:p w14:paraId="7592185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管控类别</w:t>
                  </w:r>
                </w:p>
              </w:tc>
              <w:tc>
                <w:tcPr>
                  <w:tcW w:w="2276" w:type="pct"/>
                  <w:tcBorders>
                    <w:tl2br w:val="nil"/>
                    <w:tr2bl w:val="nil"/>
                  </w:tcBorders>
                  <w:noWrap w:val="0"/>
                  <w:vAlign w:val="center"/>
                </w:tcPr>
                <w:p w14:paraId="551BA7A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管控要求（节选相关内容）</w:t>
                  </w:r>
                </w:p>
              </w:tc>
              <w:tc>
                <w:tcPr>
                  <w:tcW w:w="1605" w:type="pct"/>
                  <w:tcBorders>
                    <w:tl2br w:val="nil"/>
                    <w:tr2bl w:val="nil"/>
                  </w:tcBorders>
                  <w:noWrap w:val="0"/>
                  <w:vAlign w:val="center"/>
                </w:tcPr>
                <w:p w14:paraId="7CBFEF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sz w:val="18"/>
                      <w:szCs w:val="18"/>
                      <w:lang w:val="en-US" w:eastAsia="zh-CN"/>
                    </w:rPr>
                    <w:t>本项目符合分析</w:t>
                  </w:r>
                </w:p>
              </w:tc>
            </w:tr>
            <w:tr w14:paraId="45277A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9" w:type="pct"/>
                  <w:vMerge w:val="restart"/>
                  <w:tcBorders>
                    <w:tl2br w:val="nil"/>
                    <w:tr2bl w:val="nil"/>
                  </w:tcBorders>
                  <w:noWrap w:val="0"/>
                  <w:vAlign w:val="center"/>
                </w:tcPr>
                <w:p w14:paraId="1B3DEA8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重点管控单元</w:t>
                  </w:r>
                </w:p>
              </w:tc>
              <w:tc>
                <w:tcPr>
                  <w:tcW w:w="538" w:type="pct"/>
                  <w:vMerge w:val="restart"/>
                  <w:tcBorders>
                    <w:tl2br w:val="nil"/>
                    <w:tr2bl w:val="nil"/>
                  </w:tcBorders>
                  <w:noWrap w:val="0"/>
                  <w:vAlign w:val="center"/>
                </w:tcPr>
                <w:p w14:paraId="51556A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空间布局约束</w:t>
                  </w:r>
                </w:p>
              </w:tc>
              <w:tc>
                <w:tcPr>
                  <w:tcW w:w="2276" w:type="pct"/>
                  <w:tcBorders>
                    <w:tl2br w:val="nil"/>
                    <w:tr2bl w:val="nil"/>
                  </w:tcBorders>
                  <w:noWrap w:val="0"/>
                  <w:vAlign w:val="center"/>
                </w:tcPr>
                <w:p w14:paraId="5806C38B">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严禁新增钢铁、焦化、电解铝、铸造、水泥和平板玻璃等产能，严格执行钢铁、水泥、平板玻璃等行业产能置换实施办法。严格执行国家关于“两高”产业准入目录和产能总量控制政策措施。严禁新增钢铁、焦化、电解铝、铸造、水泥和平板玻璃等产能；新、改、扩建涉及大宗物料运输的建设项目，原则上不得采用公路运输。</w:t>
                  </w:r>
                </w:p>
              </w:tc>
              <w:tc>
                <w:tcPr>
                  <w:tcW w:w="1605" w:type="pct"/>
                  <w:tcBorders>
                    <w:tl2br w:val="nil"/>
                    <w:tr2bl w:val="nil"/>
                  </w:tcBorders>
                  <w:noWrap w:val="0"/>
                  <w:vAlign w:val="center"/>
                </w:tcPr>
                <w:p w14:paraId="6BCFFDC1">
                  <w:pPr>
                    <w:pStyle w:val="30"/>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本项目不属于</w:t>
                  </w:r>
                  <w:r>
                    <w:rPr>
                      <w:rFonts w:hint="eastAsia" w:eastAsia="仿宋_GB2312" w:cs="Times New Roman"/>
                      <w:color w:val="auto"/>
                      <w:sz w:val="18"/>
                      <w:szCs w:val="18"/>
                      <w:lang w:val="en-US" w:eastAsia="zh-CN"/>
                    </w:rPr>
                    <w:t>“</w:t>
                  </w:r>
                  <w:r>
                    <w:rPr>
                      <w:rFonts w:hint="default" w:ascii="Times New Roman" w:hAnsi="Times New Roman" w:eastAsia="仿宋_GB2312" w:cs="Times New Roman"/>
                      <w:color w:val="auto"/>
                      <w:sz w:val="18"/>
                      <w:szCs w:val="18"/>
                      <w:lang w:val="en-US" w:eastAsia="zh-CN"/>
                    </w:rPr>
                    <w:t>两高</w:t>
                  </w:r>
                  <w:r>
                    <w:rPr>
                      <w:rFonts w:hint="eastAsia" w:eastAsia="仿宋_GB2312" w:cs="Times New Roman"/>
                      <w:color w:val="auto"/>
                      <w:sz w:val="18"/>
                      <w:szCs w:val="18"/>
                      <w:lang w:val="en-US" w:eastAsia="zh-CN"/>
                    </w:rPr>
                    <w:t>”</w:t>
                  </w:r>
                  <w:r>
                    <w:rPr>
                      <w:rFonts w:hint="default" w:ascii="Times New Roman" w:hAnsi="Times New Roman" w:eastAsia="仿宋_GB2312" w:cs="Times New Roman"/>
                      <w:color w:val="auto"/>
                      <w:sz w:val="18"/>
                      <w:szCs w:val="18"/>
                      <w:lang w:val="en-US" w:eastAsia="zh-CN"/>
                    </w:rPr>
                    <w:t>项目，本项目符合产业政策及</w:t>
                  </w:r>
                  <w:r>
                    <w:rPr>
                      <w:rFonts w:hint="eastAsia" w:eastAsia="仿宋_GB2312" w:cs="Times New Roman"/>
                      <w:color w:val="auto"/>
                      <w:sz w:val="18"/>
                      <w:szCs w:val="18"/>
                      <w:lang w:val="en-US" w:eastAsia="zh-CN"/>
                    </w:rPr>
                    <w:t>“</w:t>
                  </w:r>
                  <w:r>
                    <w:rPr>
                      <w:rFonts w:hint="default" w:ascii="Times New Roman" w:hAnsi="Times New Roman" w:eastAsia="仿宋_GB2312" w:cs="Times New Roman"/>
                      <w:color w:val="auto"/>
                      <w:sz w:val="18"/>
                      <w:szCs w:val="18"/>
                      <w:lang w:val="en-US" w:eastAsia="zh-CN"/>
                    </w:rPr>
                    <w:t>生态分区管控</w:t>
                  </w:r>
                  <w:r>
                    <w:rPr>
                      <w:rFonts w:hint="eastAsia" w:eastAsia="仿宋_GB2312" w:cs="Times New Roman"/>
                      <w:color w:val="auto"/>
                      <w:sz w:val="18"/>
                      <w:szCs w:val="18"/>
                      <w:lang w:val="en-US" w:eastAsia="zh-CN"/>
                    </w:rPr>
                    <w:t>”</w:t>
                  </w:r>
                  <w:r>
                    <w:rPr>
                      <w:rFonts w:hint="default" w:ascii="Times New Roman" w:hAnsi="Times New Roman" w:eastAsia="仿宋_GB2312" w:cs="Times New Roman"/>
                      <w:color w:val="auto"/>
                      <w:sz w:val="18"/>
                      <w:szCs w:val="18"/>
                      <w:lang w:val="en-US" w:eastAsia="zh-CN"/>
                    </w:rPr>
                    <w:t>等要求。</w:t>
                  </w:r>
                </w:p>
              </w:tc>
            </w:tr>
            <w:tr w14:paraId="628326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9" w:type="pct"/>
                  <w:vMerge w:val="continue"/>
                  <w:tcBorders>
                    <w:tl2br w:val="nil"/>
                    <w:tr2bl w:val="nil"/>
                  </w:tcBorders>
                  <w:noWrap w:val="0"/>
                  <w:vAlign w:val="center"/>
                </w:tcPr>
                <w:p w14:paraId="03FFD9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538" w:type="pct"/>
                  <w:vMerge w:val="continue"/>
                  <w:tcBorders>
                    <w:tl2br w:val="nil"/>
                    <w:tr2bl w:val="nil"/>
                  </w:tcBorders>
                  <w:noWrap w:val="0"/>
                  <w:vAlign w:val="center"/>
                </w:tcPr>
                <w:p w14:paraId="33A1169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2276" w:type="pct"/>
                  <w:tcBorders>
                    <w:tl2br w:val="nil"/>
                    <w:tr2bl w:val="nil"/>
                  </w:tcBorders>
                  <w:noWrap w:val="0"/>
                  <w:vAlign w:val="center"/>
                </w:tcPr>
                <w:p w14:paraId="486899F7">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禁止建设生产和使用高 VOCs 含量的溶剂型涂料、油墨、胶粘剂等项目。禁止新增化工园区。</w:t>
                  </w:r>
                </w:p>
              </w:tc>
              <w:tc>
                <w:tcPr>
                  <w:tcW w:w="1605" w:type="pct"/>
                  <w:tcBorders>
                    <w:tl2br w:val="nil"/>
                    <w:tr2bl w:val="nil"/>
                  </w:tcBorders>
                  <w:noWrap w:val="0"/>
                  <w:vAlign w:val="center"/>
                </w:tcPr>
                <w:p w14:paraId="72D0E006">
                  <w:pPr>
                    <w:pStyle w:val="30"/>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管线工程运营期无废气、废水产生，对区域环境影响较小。</w:t>
                  </w:r>
                </w:p>
              </w:tc>
            </w:tr>
            <w:tr w14:paraId="7C65D6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9" w:type="pct"/>
                  <w:vMerge w:val="continue"/>
                  <w:tcBorders>
                    <w:tl2br w:val="nil"/>
                    <w:tr2bl w:val="nil"/>
                  </w:tcBorders>
                  <w:noWrap w:val="0"/>
                  <w:vAlign w:val="center"/>
                </w:tcPr>
                <w:p w14:paraId="0BD643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538" w:type="pct"/>
                  <w:tcBorders>
                    <w:tl2br w:val="nil"/>
                    <w:tr2bl w:val="nil"/>
                  </w:tcBorders>
                  <w:noWrap w:val="0"/>
                  <w:vAlign w:val="center"/>
                </w:tcPr>
                <w:p w14:paraId="135B10C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污染</w:t>
                  </w:r>
                </w:p>
                <w:p w14:paraId="5EA0D4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物排</w:t>
                  </w:r>
                </w:p>
                <w:p w14:paraId="4D91831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放管</w:t>
                  </w:r>
                </w:p>
                <w:p w14:paraId="3CF6DF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控</w:t>
                  </w:r>
                </w:p>
              </w:tc>
              <w:tc>
                <w:tcPr>
                  <w:tcW w:w="2276" w:type="pct"/>
                  <w:tcBorders>
                    <w:tl2br w:val="nil"/>
                    <w:tr2bl w:val="nil"/>
                  </w:tcBorders>
                  <w:noWrap w:val="0"/>
                  <w:vAlign w:val="center"/>
                </w:tcPr>
                <w:p w14:paraId="23787724">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对国家级新区、工业园区、高新区等进行集中整治，限期进行达标改造。按《挥发性有机物无组织排放控制标准》(GB37822-2019)要求，做好VOCs 物料储存、物料转移和输送、工艺过程、设备与管线组件、敞开液面 VOCs 排放，以及VOCs 无组织排放废气收集处理系统要求。</w:t>
                  </w:r>
                </w:p>
              </w:tc>
              <w:tc>
                <w:tcPr>
                  <w:tcW w:w="1605" w:type="pct"/>
                  <w:tcBorders>
                    <w:tl2br w:val="nil"/>
                    <w:tr2bl w:val="nil"/>
                  </w:tcBorders>
                  <w:noWrap w:val="0"/>
                  <w:vAlign w:val="center"/>
                </w:tcPr>
                <w:p w14:paraId="44B92578">
                  <w:pPr>
                    <w:pStyle w:val="30"/>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管线工程运营期无废气、废水产生，对区域环境影响较小。</w:t>
                  </w:r>
                </w:p>
              </w:tc>
            </w:tr>
            <w:tr w14:paraId="472A66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9" w:type="pct"/>
                  <w:vMerge w:val="continue"/>
                  <w:tcBorders>
                    <w:tl2br w:val="nil"/>
                    <w:tr2bl w:val="nil"/>
                  </w:tcBorders>
                  <w:noWrap w:val="0"/>
                  <w:vAlign w:val="center"/>
                </w:tcPr>
                <w:p w14:paraId="7F7186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538" w:type="pct"/>
                  <w:tcBorders>
                    <w:tl2br w:val="nil"/>
                    <w:tr2bl w:val="nil"/>
                  </w:tcBorders>
                  <w:noWrap w:val="0"/>
                  <w:vAlign w:val="center"/>
                </w:tcPr>
                <w:p w14:paraId="2DB668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资源</w:t>
                  </w:r>
                </w:p>
                <w:p w14:paraId="5E334A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开发</w:t>
                  </w:r>
                </w:p>
                <w:p w14:paraId="131B4DD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效率</w:t>
                  </w:r>
                </w:p>
                <w:p w14:paraId="2D6432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要求</w:t>
                  </w:r>
                </w:p>
              </w:tc>
              <w:tc>
                <w:tcPr>
                  <w:tcW w:w="2276" w:type="pct"/>
                  <w:tcBorders>
                    <w:tl2br w:val="nil"/>
                    <w:tr2bl w:val="nil"/>
                  </w:tcBorders>
                  <w:noWrap w:val="0"/>
                  <w:vAlign w:val="center"/>
                </w:tcPr>
                <w:p w14:paraId="6B2EF48E">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产生、收集、贮存、运输、利用、处置固体废物的单位和个人，应当采取措施，防止或者减少固体废物对环境的污染，要求对所造成的环境污染依法承担责任。</w:t>
                  </w:r>
                </w:p>
              </w:tc>
              <w:tc>
                <w:tcPr>
                  <w:tcW w:w="1605" w:type="pct"/>
                  <w:tcBorders>
                    <w:tl2br w:val="nil"/>
                    <w:tr2bl w:val="nil"/>
                  </w:tcBorders>
                  <w:noWrap w:val="0"/>
                  <w:vAlign w:val="center"/>
                </w:tcPr>
                <w:p w14:paraId="0F761C64">
                  <w:pPr>
                    <w:pStyle w:val="30"/>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管线工程运营期无废气、废水产生，对区域环境影响较小。</w:t>
                  </w:r>
                </w:p>
              </w:tc>
            </w:tr>
          </w:tbl>
          <w:p w14:paraId="4BC6B556">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根据生态环境分区管控动态更新成果，本项目与“三线一单”相符性</w:t>
            </w:r>
            <w:r>
              <w:rPr>
                <w:rFonts w:hint="eastAsia" w:cs="Times New Roman"/>
                <w:color w:val="auto"/>
                <w:lang w:val="en-US" w:eastAsia="zh-CN"/>
              </w:rPr>
              <w:t>分析</w:t>
            </w:r>
            <w:r>
              <w:rPr>
                <w:rFonts w:hint="default" w:ascii="Times New Roman" w:hAnsi="Times New Roman" w:eastAsia="仿宋_GB2312" w:cs="Times New Roman"/>
                <w:color w:val="auto"/>
              </w:rPr>
              <w:t>如下：</w:t>
            </w:r>
          </w:p>
          <w:p w14:paraId="6FAEBB9D">
            <w:pPr>
              <w:pStyle w:val="32"/>
              <w:ind w:firstLine="480"/>
              <w:rPr>
                <w:rFonts w:hint="default" w:ascii="Times New Roman" w:hAnsi="Times New Roman" w:eastAsia="仿宋_GB2312" w:cs="Times New Roman"/>
                <w:color w:val="auto"/>
                <w:lang w:val="en-US" w:eastAsia="zh-CN"/>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eastAsia" w:cs="Times New Roman"/>
                <w:color w:val="auto"/>
                <w:lang w:val="en-US" w:eastAsia="zh-CN"/>
              </w:rPr>
              <w:t>生态保护红线</w:t>
            </w:r>
          </w:p>
          <w:p w14:paraId="361EDFB9">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本项目建设</w:t>
            </w:r>
            <w:r>
              <w:rPr>
                <w:rFonts w:hint="eastAsia" w:cs="Times New Roman"/>
                <w:color w:val="auto"/>
                <w:lang w:val="en-US" w:eastAsia="zh-CN"/>
              </w:rPr>
              <w:t>氢气</w:t>
            </w:r>
            <w:r>
              <w:rPr>
                <w:rFonts w:hint="default" w:ascii="Times New Roman" w:hAnsi="Times New Roman" w:eastAsia="仿宋_GB2312" w:cs="Times New Roman"/>
                <w:color w:val="auto"/>
              </w:rPr>
              <w:t>输送管道，位于安徽淮北新型煤化工合成材料基地园区内，</w:t>
            </w:r>
            <w:r>
              <w:rPr>
                <w:rFonts w:hint="eastAsia" w:cs="Times New Roman"/>
                <w:color w:val="auto"/>
                <w:lang w:val="en-US" w:eastAsia="zh-CN"/>
              </w:rPr>
              <w:t>不涉及</w:t>
            </w:r>
            <w:r>
              <w:rPr>
                <w:rFonts w:hint="default" w:ascii="Times New Roman" w:hAnsi="Times New Roman" w:eastAsia="仿宋_GB2312" w:cs="Times New Roman"/>
                <w:color w:val="auto"/>
              </w:rPr>
              <w:t>生态保护红线区域，项目选址与生态保护红线的位置关系见</w:t>
            </w:r>
            <w:r>
              <w:rPr>
                <w:rFonts w:hint="default" w:ascii="Times New Roman" w:hAnsi="Times New Roman" w:eastAsia="仿宋_GB2312" w:cs="Times New Roman"/>
                <w:color w:val="auto"/>
                <w:highlight w:val="none"/>
              </w:rPr>
              <w:t>附图</w:t>
            </w:r>
            <w:r>
              <w:rPr>
                <w:rFonts w:hint="eastAsia" w:cs="Times New Roman"/>
                <w:color w:val="auto"/>
                <w:highlight w:val="none"/>
                <w:lang w:val="en-US" w:eastAsia="zh-CN"/>
              </w:rPr>
              <w:t>6</w:t>
            </w:r>
            <w:r>
              <w:rPr>
                <w:rFonts w:hint="default" w:ascii="Times New Roman" w:hAnsi="Times New Roman" w:eastAsia="仿宋_GB2312" w:cs="Times New Roman"/>
                <w:color w:val="auto"/>
              </w:rPr>
              <w:t>。</w:t>
            </w:r>
          </w:p>
          <w:p w14:paraId="794667AA">
            <w:pPr>
              <w:pStyle w:val="32"/>
              <w:ind w:firstLine="480"/>
              <w:rPr>
                <w:rFonts w:hint="default" w:ascii="Times New Roman" w:hAnsi="Times New Roman" w:eastAsia="仿宋_GB2312" w:cs="Times New Roman"/>
                <w:color w:val="auto"/>
                <w:lang w:val="en-US"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eastAsia" w:cs="Times New Roman"/>
                <w:color w:val="auto"/>
                <w:lang w:val="en-US" w:eastAsia="zh-CN"/>
              </w:rPr>
              <w:t>环境质量底线</w:t>
            </w:r>
          </w:p>
          <w:p w14:paraId="1A7E9266">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根据淮北市生态环境局发布的《淮北市202</w:t>
            </w:r>
            <w:r>
              <w:rPr>
                <w:rFonts w:hint="eastAsia" w:cs="Times New Roman"/>
                <w:color w:val="auto"/>
                <w:lang w:val="en-US" w:eastAsia="zh-CN"/>
              </w:rPr>
              <w:t>4</w:t>
            </w:r>
            <w:r>
              <w:rPr>
                <w:rFonts w:hint="default" w:ascii="Times New Roman" w:hAnsi="Times New Roman" w:eastAsia="仿宋_GB2312" w:cs="Times New Roman"/>
                <w:color w:val="auto"/>
              </w:rPr>
              <w:t>年度生态环境状况公报》，本项目评价所在区域 SO</w:t>
            </w:r>
            <w:r>
              <w:rPr>
                <w:rFonts w:hint="default" w:ascii="Times New Roman" w:hAnsi="Times New Roman" w:eastAsia="仿宋_GB2312" w:cs="Times New Roman"/>
                <w:color w:val="auto"/>
                <w:vertAlign w:val="subscript"/>
              </w:rPr>
              <w:t>2</w:t>
            </w:r>
            <w:r>
              <w:rPr>
                <w:rFonts w:hint="default" w:ascii="Times New Roman" w:hAnsi="Times New Roman" w:eastAsia="仿宋_GB2312" w:cs="Times New Roman"/>
                <w:color w:val="auto"/>
              </w:rPr>
              <w:t>、NO</w:t>
            </w:r>
            <w:r>
              <w:rPr>
                <w:rFonts w:hint="default" w:ascii="Times New Roman" w:hAnsi="Times New Roman" w:eastAsia="仿宋_GB2312" w:cs="Times New Roman"/>
                <w:color w:val="auto"/>
                <w:vertAlign w:val="subscript"/>
              </w:rPr>
              <w:t>2</w:t>
            </w:r>
            <w:r>
              <w:rPr>
                <w:rFonts w:hint="default" w:ascii="Times New Roman" w:hAnsi="Times New Roman" w:eastAsia="仿宋_GB2312" w:cs="Times New Roman"/>
                <w:color w:val="auto"/>
              </w:rPr>
              <w:t>、PM</w:t>
            </w:r>
            <w:r>
              <w:rPr>
                <w:rFonts w:hint="default" w:ascii="Times New Roman" w:hAnsi="Times New Roman" w:eastAsia="仿宋_GB2312" w:cs="Times New Roman"/>
                <w:color w:val="auto"/>
                <w:vertAlign w:val="subscript"/>
              </w:rPr>
              <w:t>10</w:t>
            </w:r>
            <w:r>
              <w:rPr>
                <w:rFonts w:hint="default" w:ascii="Times New Roman" w:hAnsi="Times New Roman" w:eastAsia="仿宋_GB2312" w:cs="Times New Roman"/>
                <w:color w:val="auto"/>
              </w:rPr>
              <w:t>年均浓度均能达到《环境空气质量标准（含修改单）》（GB3095-2012）中的二级标准；CO 日均值第 95 百分位数达到《环境空气质量标准（含修改单）》（GB3095-2012）中的二级标准；PM</w:t>
            </w:r>
            <w:r>
              <w:rPr>
                <w:rFonts w:hint="default" w:ascii="Times New Roman" w:hAnsi="Times New Roman" w:eastAsia="仿宋_GB2312" w:cs="Times New Roman"/>
                <w:color w:val="auto"/>
                <w:vertAlign w:val="subscript"/>
              </w:rPr>
              <w:t>2.5</w:t>
            </w:r>
            <w:r>
              <w:rPr>
                <w:rFonts w:hint="default" w:ascii="Times New Roman" w:hAnsi="Times New Roman" w:eastAsia="仿宋_GB2312" w:cs="Times New Roman"/>
                <w:color w:val="auto"/>
              </w:rPr>
              <w:t>年均浓度和臭氧日最大 8 小时平均值第 90 百分位数均超过《环境空气质量标准（含修改单）》（GB3095-2012）中二级标准，因此淮北市为环境空气质量不达标区。目前，淮北市生态环境局组织编制了《淮北市大气环境质量达标规划》（2020-2030 年），将以重点行业为管控对象，通过采取锅炉淘汰改造、工业炉窑整治、施工工地扬尘治理、强化细颗粒物和臭氧协同控制、推进移动污染源防治等系列整治措施，进一步改善区域环境空气质量。</w:t>
            </w:r>
          </w:p>
          <w:p w14:paraId="5D4B4A93">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本项目附近地表水体为孟沟、运粮沟、浍河，其中孟沟、运粮沟是人工开挖的抗旱排涝农灌渠，汇入浍河。根据《202</w:t>
            </w:r>
            <w:r>
              <w:rPr>
                <w:rFonts w:hint="eastAsia" w:cs="Times New Roman"/>
                <w:color w:val="auto"/>
                <w:lang w:val="en-US" w:eastAsia="zh-CN"/>
              </w:rPr>
              <w:t>4</w:t>
            </w:r>
            <w:r>
              <w:rPr>
                <w:rFonts w:hint="default" w:ascii="Times New Roman" w:hAnsi="Times New Roman" w:eastAsia="仿宋_GB2312" w:cs="Times New Roman"/>
                <w:color w:val="auto"/>
              </w:rPr>
              <w:t>年度淮北市生态环境状况公报》，</w:t>
            </w:r>
            <w:r>
              <w:rPr>
                <w:rFonts w:hint="default" w:ascii="Times New Roman" w:hAnsi="Times New Roman" w:eastAsia="仿宋_GB2312" w:cs="Times New Roman"/>
                <w:color w:val="auto"/>
                <w:highlight w:val="none"/>
              </w:rPr>
              <w:t>浍河各断面</w:t>
            </w:r>
            <w:r>
              <w:rPr>
                <w:rFonts w:hint="default" w:ascii="Times New Roman" w:hAnsi="Times New Roman" w:eastAsia="仿宋_GB2312" w:cs="Times New Roman"/>
                <w:color w:val="auto"/>
              </w:rPr>
              <w:t>各监测因子均可满足《地表水环境质量标准》（GB3838-2002）中Ⅳ类水质标准的要求。</w:t>
            </w:r>
          </w:p>
          <w:p w14:paraId="288FCDE8">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本项目运营期无废气、废水排放，不会降低区域环境功能，项目建设符合环境质量底线要求。</w:t>
            </w:r>
          </w:p>
          <w:p w14:paraId="6F3E0F0F">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（3）资源利用上线</w:t>
            </w:r>
          </w:p>
          <w:p w14:paraId="1D5D7202">
            <w:pPr>
              <w:pStyle w:val="32"/>
              <w:ind w:firstLine="480"/>
              <w:rPr>
                <w:rFonts w:hint="default" w:cs="Times New Roman"/>
                <w:color w:val="auto"/>
                <w:lang w:val="en-US" w:eastAsia="zh-CN"/>
              </w:rPr>
            </w:pPr>
            <w:r>
              <w:rPr>
                <w:rFonts w:hint="default" w:ascii="Times New Roman" w:hAnsi="Times New Roman" w:eastAsia="仿宋_GB2312" w:cs="Times New Roman"/>
                <w:color w:val="auto"/>
              </w:rPr>
              <w:t>本项目建设</w:t>
            </w:r>
            <w:r>
              <w:rPr>
                <w:rFonts w:hint="eastAsia" w:cs="Times New Roman"/>
                <w:color w:val="auto"/>
                <w:lang w:val="en-US" w:eastAsia="zh-CN"/>
              </w:rPr>
              <w:t>园区综合管廊（临涣焦化至安徽湛为氢气主管）预留阀口</w:t>
            </w:r>
          </w:p>
          <w:p w14:paraId="7A289107">
            <w:pPr>
              <w:pStyle w:val="32"/>
              <w:ind w:left="0" w:leftChars="0"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highlight w:val="none"/>
              </w:rPr>
              <w:t>至</w:t>
            </w:r>
            <w:r>
              <w:rPr>
                <w:rFonts w:hint="eastAsia" w:cs="Times New Roman"/>
                <w:color w:val="auto"/>
                <w:highlight w:val="none"/>
                <w:lang w:val="en-US" w:eastAsia="zh-CN"/>
              </w:rPr>
              <w:t>润土公司</w:t>
            </w:r>
            <w:r>
              <w:rPr>
                <w:rFonts w:hint="default" w:ascii="Times New Roman" w:hAnsi="Times New Roman" w:eastAsia="仿宋_GB2312" w:cs="Times New Roman"/>
                <w:color w:val="auto"/>
                <w:highlight w:val="none"/>
              </w:rPr>
              <w:t>的</w:t>
            </w:r>
            <w:r>
              <w:rPr>
                <w:rFonts w:hint="eastAsia" w:cs="Times New Roman"/>
                <w:color w:val="auto"/>
                <w:highlight w:val="none"/>
                <w:lang w:val="en-US" w:eastAsia="zh-CN"/>
              </w:rPr>
              <w:t>氢气</w:t>
            </w:r>
            <w:r>
              <w:rPr>
                <w:rFonts w:hint="default" w:ascii="Times New Roman" w:hAnsi="Times New Roman" w:eastAsia="仿宋_GB2312" w:cs="Times New Roman"/>
                <w:color w:val="auto"/>
                <w:highlight w:val="none"/>
              </w:rPr>
              <w:t>输送管道</w:t>
            </w:r>
            <w:r>
              <w:rPr>
                <w:rFonts w:hint="eastAsia" w:cs="Times New Roman"/>
                <w:color w:val="auto"/>
                <w:lang w:val="en-US" w:eastAsia="zh-CN"/>
              </w:rPr>
              <w:t>。</w:t>
            </w:r>
            <w:r>
              <w:rPr>
                <w:rFonts w:hint="default" w:ascii="Times New Roman" w:hAnsi="Times New Roman" w:eastAsia="仿宋_GB2312" w:cs="Times New Roman"/>
                <w:color w:val="auto"/>
              </w:rPr>
              <w:t>本项目管道位于安徽淮北新型煤化工合成材料基地园区内</w:t>
            </w:r>
            <w:r>
              <w:rPr>
                <w:rFonts w:hint="eastAsia" w:cs="Times New Roman"/>
                <w:color w:val="auto"/>
                <w:lang w:eastAsia="zh-CN"/>
              </w:rPr>
              <w:t>，</w:t>
            </w:r>
            <w:r>
              <w:rPr>
                <w:rFonts w:hint="default" w:ascii="Times New Roman" w:hAnsi="Times New Roman" w:eastAsia="仿宋_GB2312" w:cs="Times New Roman"/>
                <w:color w:val="auto"/>
              </w:rPr>
              <w:t>项目建设符合用地规划，项目占地不会触及区域土地资源利用上限。本项目建设所需的水、电等资源依托厂区现有设施，本项目需求量总体较小，不会突破厂区现有的资源上限，总体符合资源利用上线要求。</w:t>
            </w:r>
          </w:p>
          <w:p w14:paraId="549A6AB2">
            <w:pPr>
              <w:pStyle w:val="32"/>
              <w:ind w:firstLine="480"/>
              <w:rPr>
                <w:rFonts w:hint="default" w:ascii="Times New Roman" w:hAnsi="Times New Roman" w:eastAsia="仿宋_GB2312" w:cs="Times New Roman"/>
                <w:color w:val="auto"/>
                <w:lang w:val="en-US" w:eastAsia="zh-CN"/>
              </w:rPr>
            </w:pPr>
            <w:r>
              <w:rPr>
                <w:rFonts w:hint="eastAsia" w:cs="Times New Roman"/>
                <w:color w:val="auto"/>
                <w:lang w:val="en-US" w:eastAsia="zh-CN"/>
              </w:rPr>
              <w:t>（4）生态环境准入清单</w:t>
            </w:r>
          </w:p>
          <w:p w14:paraId="4640DAF1">
            <w:pPr>
              <w:pStyle w:val="32"/>
              <w:ind w:firstLine="480"/>
              <w:rPr>
                <w:rFonts w:hint="eastAsia" w:cs="Times New Roman"/>
                <w:color w:val="auto"/>
                <w:lang w:val="en-US" w:eastAsia="zh-CN"/>
              </w:rPr>
            </w:pPr>
            <w:r>
              <w:rPr>
                <w:rFonts w:hint="eastAsia" w:cs="Times New Roman"/>
                <w:color w:val="auto"/>
                <w:lang w:val="en-US" w:eastAsia="zh-CN"/>
              </w:rPr>
              <w:t>项目不属于《淮北临涣化工园区总体发展规划（2022-2035年）环境影响报告书》中要求的禁止或限制准入类，符合生态环境准入清单。</w:t>
            </w:r>
          </w:p>
          <w:p w14:paraId="146ABA96">
            <w:pPr>
              <w:pStyle w:val="32"/>
              <w:ind w:firstLine="480"/>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4、与其他环保管理要求的相符性分析</w:t>
            </w:r>
          </w:p>
          <w:p w14:paraId="45C69B29">
            <w:pPr>
              <w:pStyle w:val="32"/>
              <w:ind w:firstLine="480"/>
              <w:rPr>
                <w:rFonts w:hint="default" w:cs="Times New Roman"/>
                <w:color w:val="auto"/>
                <w:lang w:val="en-US" w:eastAsia="zh-CN"/>
              </w:rPr>
            </w:pPr>
            <w:r>
              <w:rPr>
                <w:rFonts w:hint="eastAsia" w:cs="Times New Roman"/>
                <w:color w:val="auto"/>
                <w:lang w:val="en-US" w:eastAsia="zh-CN"/>
              </w:rPr>
              <w:t>（1）与《安徽省贯彻落实淮河生态经济带发展规划实施方案》（皖政[2020]38号）相符性分析</w:t>
            </w:r>
          </w:p>
          <w:p w14:paraId="1AD7C28E">
            <w:pPr>
              <w:pStyle w:val="29"/>
              <w:rPr>
                <w:rFonts w:hint="default" w:cs="Times New Roman"/>
                <w:color w:val="auto"/>
                <w:lang w:val="en-US" w:eastAsia="zh-CN"/>
              </w:rPr>
            </w:pPr>
            <w:r>
              <w:rPr>
                <w:rFonts w:hint="default" w:ascii="Times New Roman" w:hAnsi="Times New Roman" w:eastAsia="仿宋_GB2312" w:cs="Times New Roman"/>
                <w:color w:val="auto"/>
                <w:lang w:val="zh-CN"/>
              </w:rPr>
              <w:t>表</w:t>
            </w:r>
            <w:r>
              <w:rPr>
                <w:rFonts w:hint="default" w:ascii="Times New Roman" w:hAnsi="Times New Roman" w:eastAsia="仿宋_GB2312" w:cs="Times New Roman"/>
                <w:color w:val="auto"/>
                <w:highlight w:val="none"/>
                <w:lang w:val="zh-CN"/>
              </w:rPr>
              <w:t>1-</w:t>
            </w:r>
            <w:r>
              <w:rPr>
                <w:rFonts w:hint="eastAsia" w:eastAsia="仿宋_GB2312" w:cs="Times New Roman"/>
                <w:color w:val="auto"/>
                <w:highlight w:val="none"/>
                <w:lang w:val="en-US" w:eastAsia="zh-CN"/>
              </w:rPr>
              <w:t>5</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与《安徽省贯彻落实淮河生态经济带发展规划实施方案》相符性分析</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2988"/>
              <w:gridCol w:w="2156"/>
              <w:gridCol w:w="806"/>
            </w:tblGrid>
            <w:tr w14:paraId="72FC73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c>
                <w:tcPr>
                  <w:tcW w:w="1627" w:type="dxa"/>
                  <w:tcBorders>
                    <w:tl2br w:val="nil"/>
                    <w:tr2bl w:val="nil"/>
                  </w:tcBorders>
                  <w:vAlign w:val="center"/>
                </w:tcPr>
                <w:p w14:paraId="6785D9D8">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_GB2312"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章节</w:t>
                  </w:r>
                </w:p>
              </w:tc>
              <w:tc>
                <w:tcPr>
                  <w:tcW w:w="2988" w:type="dxa"/>
                  <w:tcBorders>
                    <w:tl2br w:val="nil"/>
                    <w:tr2bl w:val="nil"/>
                  </w:tcBorders>
                  <w:vAlign w:val="center"/>
                </w:tcPr>
                <w:p w14:paraId="4519D731">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内容摘要</w:t>
                  </w:r>
                </w:p>
              </w:tc>
              <w:tc>
                <w:tcPr>
                  <w:tcW w:w="2156" w:type="dxa"/>
                  <w:tcBorders>
                    <w:tl2br w:val="nil"/>
                    <w:tr2bl w:val="nil"/>
                  </w:tcBorders>
                  <w:vAlign w:val="center"/>
                </w:tcPr>
                <w:p w14:paraId="73C68973">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本项目情况</w:t>
                  </w:r>
                </w:p>
              </w:tc>
              <w:tc>
                <w:tcPr>
                  <w:tcW w:w="806" w:type="dxa"/>
                  <w:tcBorders>
                    <w:tl2br w:val="nil"/>
                    <w:tr2bl w:val="nil"/>
                  </w:tcBorders>
                  <w:vAlign w:val="center"/>
                </w:tcPr>
                <w:p w14:paraId="3C52B4E7">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分析结果</w:t>
                  </w:r>
                </w:p>
              </w:tc>
            </w:tr>
            <w:tr w14:paraId="3E4647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vMerge w:val="restart"/>
                  <w:tcBorders>
                    <w:tl2br w:val="nil"/>
                    <w:tr2bl w:val="nil"/>
                  </w:tcBorders>
                  <w:vAlign w:val="center"/>
                </w:tcPr>
                <w:p w14:paraId="766D9937">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二、建设水清岸绿美丽淮河</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中“（一）加强环境污染综合治理”</w:t>
                  </w:r>
                </w:p>
              </w:tc>
              <w:tc>
                <w:tcPr>
                  <w:tcW w:w="2988" w:type="dxa"/>
                  <w:tcBorders>
                    <w:tl2br w:val="nil"/>
                    <w:tr2bl w:val="nil"/>
                  </w:tcBorders>
                  <w:vAlign w:val="center"/>
                </w:tcPr>
                <w:p w14:paraId="197C9FF1">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强化</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散乱污</w:t>
                  </w:r>
                  <w:r>
                    <w:rPr>
                      <w:rFonts w:hint="eastAsia" w:ascii="Times New Roman" w:hAnsi="Times New Roman" w:cs="Times New Roman"/>
                      <w:color w:val="auto"/>
                      <w:sz w:val="18"/>
                      <w:szCs w:val="18"/>
                      <w:lang w:eastAsia="zh-CN"/>
                    </w:rPr>
                    <w:t>”</w:t>
                  </w:r>
                  <w:r>
                    <w:rPr>
                      <w:rFonts w:hint="default" w:ascii="Times New Roman" w:hAnsi="Times New Roman" w:eastAsia="仿宋_GB2312" w:cs="Times New Roman"/>
                      <w:color w:val="auto"/>
                      <w:sz w:val="18"/>
                      <w:szCs w:val="18"/>
                    </w:rPr>
                    <w:t>企业综合整治，建立企业动态管理机制，坚决杜绝</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散乱污</w:t>
                  </w:r>
                  <w:r>
                    <w:rPr>
                      <w:rFonts w:hint="eastAsia" w:ascii="Times New Roman" w:hAnsi="Times New Roman" w:cs="Times New Roman"/>
                      <w:color w:val="auto"/>
                      <w:sz w:val="18"/>
                      <w:szCs w:val="18"/>
                      <w:lang w:eastAsia="zh-CN"/>
                    </w:rPr>
                    <w:t>”</w:t>
                  </w:r>
                  <w:r>
                    <w:rPr>
                      <w:rFonts w:hint="default" w:ascii="Times New Roman" w:hAnsi="Times New Roman" w:eastAsia="仿宋_GB2312" w:cs="Times New Roman"/>
                      <w:color w:val="auto"/>
                      <w:sz w:val="18"/>
                      <w:szCs w:val="18"/>
                    </w:rPr>
                    <w:t>企业项目建设和已取缔企业异地转移、死灰复燃，定期开展</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回头看</w:t>
                  </w:r>
                  <w:r>
                    <w:rPr>
                      <w:rFonts w:hint="eastAsia" w:ascii="Times New Roman" w:hAnsi="Times New Roman" w:cs="Times New Roman"/>
                      <w:color w:val="auto"/>
                      <w:sz w:val="18"/>
                      <w:szCs w:val="18"/>
                      <w:lang w:eastAsia="zh-CN"/>
                    </w:rPr>
                    <w:t>”</w:t>
                  </w:r>
                  <w:r>
                    <w:rPr>
                      <w:rFonts w:hint="default" w:ascii="Times New Roman" w:hAnsi="Times New Roman" w:eastAsia="仿宋_GB2312" w:cs="Times New Roman"/>
                      <w:color w:val="auto"/>
                      <w:sz w:val="18"/>
                      <w:szCs w:val="18"/>
                    </w:rPr>
                    <w:t>督查，巩固综合整治成果。</w:t>
                  </w:r>
                </w:p>
              </w:tc>
              <w:tc>
                <w:tcPr>
                  <w:tcW w:w="2156" w:type="dxa"/>
                  <w:tcBorders>
                    <w:tl2br w:val="nil"/>
                    <w:tr2bl w:val="nil"/>
                  </w:tcBorders>
                  <w:vAlign w:val="center"/>
                </w:tcPr>
                <w:p w14:paraId="28D999C8">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rPr>
                  </w:pPr>
                  <w:r>
                    <w:rPr>
                      <w:rFonts w:hint="eastAsia" w:ascii="Times New Roman" w:hAnsi="Times New Roman" w:cs="Times New Roman"/>
                      <w:color w:val="auto"/>
                      <w:sz w:val="18"/>
                      <w:szCs w:val="18"/>
                      <w:lang w:val="en-US" w:eastAsia="zh-CN"/>
                    </w:rPr>
                    <w:t>本项目为</w:t>
                  </w:r>
                  <w:r>
                    <w:rPr>
                      <w:rFonts w:hint="default" w:ascii="Times New Roman" w:hAnsi="Times New Roman" w:eastAsia="仿宋_GB2312" w:cs="Times New Roman"/>
                      <w:color w:val="auto"/>
                      <w:kern w:val="2"/>
                      <w:sz w:val="18"/>
                      <w:szCs w:val="18"/>
                      <w:lang w:val="en-US" w:eastAsia="zh-CN" w:bidi="ar-SA"/>
                    </w:rPr>
                    <w:t>企业配套的氢气</w:t>
                  </w:r>
                  <w:r>
                    <w:rPr>
                      <w:rFonts w:hint="eastAsia" w:cs="Times New Roman"/>
                      <w:color w:val="auto"/>
                      <w:kern w:val="2"/>
                      <w:sz w:val="18"/>
                      <w:szCs w:val="18"/>
                      <w:lang w:val="en-US" w:eastAsia="zh-CN" w:bidi="ar-SA"/>
                    </w:rPr>
                    <w:t>管线</w:t>
                  </w:r>
                  <w:r>
                    <w:rPr>
                      <w:rFonts w:hint="default" w:ascii="Times New Roman" w:hAnsi="Times New Roman" w:eastAsia="仿宋_GB2312" w:cs="Times New Roman"/>
                      <w:color w:val="auto"/>
                      <w:kern w:val="2"/>
                      <w:sz w:val="18"/>
                      <w:szCs w:val="18"/>
                      <w:lang w:val="en-US" w:eastAsia="zh-CN" w:bidi="ar-SA"/>
                    </w:rPr>
                    <w:t>项目</w:t>
                  </w:r>
                  <w:r>
                    <w:rPr>
                      <w:rFonts w:hint="eastAsia" w:ascii="Times New Roman" w:hAnsi="Times New Roman" w:cs="Times New Roman"/>
                      <w:color w:val="auto"/>
                      <w:kern w:val="2"/>
                      <w:sz w:val="18"/>
                      <w:szCs w:val="18"/>
                      <w:lang w:val="en-US" w:eastAsia="zh-CN" w:bidi="ar-SA"/>
                    </w:rPr>
                    <w:t>，</w:t>
                  </w:r>
                  <w:r>
                    <w:rPr>
                      <w:rFonts w:hint="eastAsia" w:ascii="Times New Roman" w:hAnsi="Times New Roman" w:cs="Times New Roman"/>
                      <w:color w:val="auto"/>
                      <w:sz w:val="18"/>
                      <w:szCs w:val="18"/>
                      <w:lang w:val="en-US" w:eastAsia="zh-CN"/>
                    </w:rPr>
                    <w:t>项目建设符合产业政策及总体规划要求，运营期不产生废气、废水，不属于“散乱污”企业。</w:t>
                  </w:r>
                </w:p>
              </w:tc>
              <w:tc>
                <w:tcPr>
                  <w:tcW w:w="806" w:type="dxa"/>
                  <w:tcBorders>
                    <w:tl2br w:val="nil"/>
                    <w:tr2bl w:val="nil"/>
                  </w:tcBorders>
                  <w:vAlign w:val="center"/>
                </w:tcPr>
                <w:p w14:paraId="7283A752">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1150A4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vMerge w:val="continue"/>
                  <w:tcBorders>
                    <w:tl2br w:val="nil"/>
                    <w:tr2bl w:val="nil"/>
                  </w:tcBorders>
                  <w:vAlign w:val="center"/>
                </w:tcPr>
                <w:p w14:paraId="52DB8D75">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p>
              </w:tc>
              <w:tc>
                <w:tcPr>
                  <w:tcW w:w="2988" w:type="dxa"/>
                  <w:tcBorders>
                    <w:tl2br w:val="nil"/>
                    <w:tr2bl w:val="nil"/>
                  </w:tcBorders>
                  <w:vAlign w:val="center"/>
                </w:tcPr>
                <w:p w14:paraId="7CA6555E">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加强重点行业脱硫、脱硝、除尘设施运行监管，鼓励企业实施超低排放改造，推广多污染物协同控制技术。</w:t>
                  </w:r>
                </w:p>
              </w:tc>
              <w:tc>
                <w:tcPr>
                  <w:tcW w:w="2156" w:type="dxa"/>
                  <w:tcBorders>
                    <w:tl2br w:val="nil"/>
                    <w:tr2bl w:val="nil"/>
                  </w:tcBorders>
                  <w:vAlign w:val="center"/>
                </w:tcPr>
                <w:p w14:paraId="4FCEFE74">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本项目为</w:t>
                  </w:r>
                  <w:r>
                    <w:rPr>
                      <w:rFonts w:hint="default" w:ascii="Times New Roman" w:hAnsi="Times New Roman" w:eastAsia="仿宋_GB2312" w:cs="Times New Roman"/>
                      <w:color w:val="auto"/>
                      <w:kern w:val="2"/>
                      <w:sz w:val="18"/>
                      <w:szCs w:val="18"/>
                      <w:lang w:val="en-US" w:eastAsia="zh-CN" w:bidi="ar-SA"/>
                    </w:rPr>
                    <w:t>企业配套的氢气</w:t>
                  </w:r>
                  <w:r>
                    <w:rPr>
                      <w:rFonts w:hint="eastAsia" w:cs="Times New Roman"/>
                      <w:color w:val="auto"/>
                      <w:kern w:val="2"/>
                      <w:sz w:val="18"/>
                      <w:szCs w:val="18"/>
                      <w:lang w:val="en-US" w:eastAsia="zh-CN" w:bidi="ar-SA"/>
                    </w:rPr>
                    <w:t>管线</w:t>
                  </w:r>
                  <w:r>
                    <w:rPr>
                      <w:rFonts w:hint="default" w:ascii="Times New Roman" w:hAnsi="Times New Roman" w:eastAsia="仿宋_GB2312" w:cs="Times New Roman"/>
                      <w:color w:val="auto"/>
                      <w:kern w:val="2"/>
                      <w:sz w:val="18"/>
                      <w:szCs w:val="18"/>
                      <w:lang w:val="en-US" w:eastAsia="zh-CN" w:bidi="ar-SA"/>
                    </w:rPr>
                    <w:t>项目</w:t>
                  </w:r>
                  <w:r>
                    <w:rPr>
                      <w:rFonts w:hint="eastAsia" w:ascii="Times New Roman" w:hAnsi="Times New Roman" w:cs="Times New Roman"/>
                      <w:color w:val="auto"/>
                      <w:sz w:val="18"/>
                      <w:szCs w:val="18"/>
                      <w:lang w:val="en-US" w:eastAsia="zh-CN"/>
                    </w:rPr>
                    <w:t>，不属于重点行业领域，项目运营中不产生废气污染物。</w:t>
                  </w:r>
                </w:p>
              </w:tc>
              <w:tc>
                <w:tcPr>
                  <w:tcW w:w="806" w:type="dxa"/>
                  <w:tcBorders>
                    <w:tl2br w:val="nil"/>
                    <w:tr2bl w:val="nil"/>
                  </w:tcBorders>
                  <w:vAlign w:val="center"/>
                </w:tcPr>
                <w:p w14:paraId="32B81414">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2C7AAB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vMerge w:val="continue"/>
                  <w:tcBorders>
                    <w:tl2br w:val="nil"/>
                    <w:tr2bl w:val="nil"/>
                  </w:tcBorders>
                  <w:vAlign w:val="center"/>
                </w:tcPr>
                <w:p w14:paraId="090FD732">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p>
              </w:tc>
              <w:tc>
                <w:tcPr>
                  <w:tcW w:w="2988" w:type="dxa"/>
                  <w:tcBorders>
                    <w:tl2br w:val="nil"/>
                    <w:tr2bl w:val="nil"/>
                  </w:tcBorders>
                  <w:vAlign w:val="center"/>
                </w:tcPr>
                <w:p w14:paraId="0EFD2AA5">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大力推进煤炭消费减量替代，开展燃煤锅炉综合整治，加快淘汰排放高、污染重的煤电机组，依法严禁秸秆露天焚烧。</w:t>
                  </w:r>
                </w:p>
              </w:tc>
              <w:tc>
                <w:tcPr>
                  <w:tcW w:w="2156" w:type="dxa"/>
                  <w:tcBorders>
                    <w:tl2br w:val="nil"/>
                    <w:tr2bl w:val="nil"/>
                  </w:tcBorders>
                  <w:vAlign w:val="center"/>
                </w:tcPr>
                <w:p w14:paraId="658618F8">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本项目不涉及燃煤锅炉</w:t>
                  </w:r>
                </w:p>
              </w:tc>
              <w:tc>
                <w:tcPr>
                  <w:tcW w:w="806" w:type="dxa"/>
                  <w:tcBorders>
                    <w:tl2br w:val="nil"/>
                    <w:tr2bl w:val="nil"/>
                  </w:tcBorders>
                  <w:vAlign w:val="center"/>
                </w:tcPr>
                <w:p w14:paraId="156A934C">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bl>
          <w:p w14:paraId="58ED9144">
            <w:pPr>
              <w:pStyle w:val="32"/>
              <w:ind w:firstLine="480"/>
              <w:rPr>
                <w:rFonts w:hint="default" w:cs="Times New Roman"/>
                <w:color w:val="auto"/>
                <w:lang w:val="en-US" w:eastAsia="zh-CN"/>
              </w:rPr>
            </w:pPr>
            <w:r>
              <w:rPr>
                <w:rFonts w:hint="eastAsia" w:cs="Times New Roman"/>
                <w:color w:val="auto"/>
                <w:lang w:val="en-US" w:eastAsia="zh-CN"/>
              </w:rPr>
              <w:t>综上，本项目能够符合《安徽省贯彻落实淮河生态经济带发展规划实施方案》要求。</w:t>
            </w:r>
          </w:p>
          <w:p w14:paraId="77B4EECD">
            <w:pPr>
              <w:pStyle w:val="32"/>
              <w:ind w:firstLine="480"/>
              <w:rPr>
                <w:rFonts w:hint="eastAsia" w:cs="Times New Roman"/>
                <w:color w:val="auto"/>
                <w:lang w:val="en-US" w:eastAsia="zh-CN"/>
              </w:rPr>
            </w:pPr>
            <w:r>
              <w:rPr>
                <w:rFonts w:hint="eastAsia" w:cs="Times New Roman"/>
                <w:color w:val="auto"/>
                <w:lang w:val="en-US" w:eastAsia="zh-CN"/>
              </w:rPr>
              <w:t>（2）与《安徽省长江经济带发展负面清单实施细则》（试行，2022年版）相符性分析</w:t>
            </w:r>
          </w:p>
          <w:p w14:paraId="05DFF258">
            <w:pPr>
              <w:pStyle w:val="29"/>
              <w:rPr>
                <w:rFonts w:hint="eastAsia"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w:t>
            </w:r>
            <w:r>
              <w:rPr>
                <w:rFonts w:hint="default" w:ascii="Times New Roman" w:hAnsi="Times New Roman" w:eastAsia="仿宋_GB2312" w:cs="Times New Roman"/>
                <w:color w:val="auto"/>
                <w:highlight w:val="none"/>
                <w:lang w:val="zh-CN"/>
              </w:rPr>
              <w:t>1-</w:t>
            </w:r>
            <w:r>
              <w:rPr>
                <w:rFonts w:hint="eastAsia" w:eastAsia="仿宋_GB2312" w:cs="Times New Roman"/>
                <w:color w:val="auto"/>
                <w:highlight w:val="none"/>
                <w:lang w:val="en-US" w:eastAsia="zh-CN"/>
              </w:rPr>
              <w:t>6</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与《</w:t>
            </w:r>
            <w:r>
              <w:rPr>
                <w:rFonts w:hint="eastAsia" w:eastAsia="仿宋_GB2312" w:cs="Times New Roman"/>
                <w:color w:val="auto"/>
                <w:lang w:val="en-US" w:eastAsia="zh-CN"/>
              </w:rPr>
              <w:t>安徽省</w:t>
            </w:r>
            <w:r>
              <w:rPr>
                <w:rFonts w:hint="eastAsia" w:ascii="Times New Roman" w:hAnsi="Times New Roman" w:eastAsia="仿宋_GB2312" w:cs="Times New Roman"/>
                <w:color w:val="auto"/>
                <w:lang w:val="en-US" w:eastAsia="zh-CN"/>
              </w:rPr>
              <w:t>长江经济带发展负面清单</w:t>
            </w:r>
            <w:r>
              <w:rPr>
                <w:rFonts w:hint="eastAsia" w:eastAsia="仿宋_GB2312" w:cs="Times New Roman"/>
                <w:color w:val="auto"/>
                <w:lang w:val="en-US" w:eastAsia="zh-CN"/>
              </w:rPr>
              <w:t>实施细则</w:t>
            </w:r>
            <w:r>
              <w:rPr>
                <w:rFonts w:hint="eastAsia" w:ascii="Times New Roman" w:hAnsi="Times New Roman" w:eastAsia="仿宋_GB2312" w:cs="Times New Roman"/>
                <w:color w:val="auto"/>
                <w:lang w:val="en-US" w:eastAsia="zh-CN"/>
              </w:rPr>
              <w:t>》相符性分析</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3828"/>
              <w:gridCol w:w="2376"/>
              <w:gridCol w:w="731"/>
            </w:tblGrid>
            <w:tr w14:paraId="332D4B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1" w:type="dxa"/>
                  <w:tcBorders>
                    <w:tl2br w:val="nil"/>
                    <w:tr2bl w:val="nil"/>
                  </w:tcBorders>
                  <w:vAlign w:val="center"/>
                </w:tcPr>
                <w:p w14:paraId="160B385E">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序号</w:t>
                  </w:r>
                </w:p>
              </w:tc>
              <w:tc>
                <w:tcPr>
                  <w:tcW w:w="3828" w:type="dxa"/>
                  <w:tcBorders>
                    <w:tl2br w:val="nil"/>
                    <w:tr2bl w:val="nil"/>
                  </w:tcBorders>
                  <w:vAlign w:val="center"/>
                </w:tcPr>
                <w:p w14:paraId="5FEA4614">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eastAsia" w:ascii="Times New Roman" w:cs="Times New Roman"/>
                      <w:b/>
                      <w:bCs/>
                      <w:color w:val="auto"/>
                      <w:sz w:val="18"/>
                      <w:szCs w:val="18"/>
                      <w:lang w:val="en-US" w:eastAsia="zh-CN"/>
                    </w:rPr>
                    <w:t>内容</w:t>
                  </w:r>
                  <w:r>
                    <w:rPr>
                      <w:rFonts w:hint="default" w:ascii="Times New Roman" w:hAnsi="Times New Roman" w:eastAsia="仿宋_GB2312" w:cs="Times New Roman"/>
                      <w:b/>
                      <w:bCs/>
                      <w:color w:val="auto"/>
                      <w:sz w:val="18"/>
                      <w:szCs w:val="18"/>
                    </w:rPr>
                    <w:t>摘要</w:t>
                  </w:r>
                </w:p>
              </w:tc>
              <w:tc>
                <w:tcPr>
                  <w:tcW w:w="2376" w:type="dxa"/>
                  <w:tcBorders>
                    <w:tl2br w:val="nil"/>
                    <w:tr2bl w:val="nil"/>
                  </w:tcBorders>
                  <w:vAlign w:val="center"/>
                </w:tcPr>
                <w:p w14:paraId="1F53BF30">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项目情况</w:t>
                  </w:r>
                </w:p>
              </w:tc>
              <w:tc>
                <w:tcPr>
                  <w:tcW w:w="731" w:type="dxa"/>
                  <w:tcBorders>
                    <w:tl2br w:val="nil"/>
                    <w:tr2bl w:val="nil"/>
                  </w:tcBorders>
                  <w:vAlign w:val="center"/>
                </w:tcPr>
                <w:p w14:paraId="6BE2BA14">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分析结果</w:t>
                  </w:r>
                </w:p>
              </w:tc>
            </w:tr>
            <w:tr w14:paraId="40072C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0BE2C326">
                  <w:pPr>
                    <w:pStyle w:val="38"/>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color w:val="auto"/>
                      <w:sz w:val="18"/>
                      <w:szCs w:val="18"/>
                    </w:rPr>
                  </w:pPr>
                </w:p>
              </w:tc>
              <w:tc>
                <w:tcPr>
                  <w:tcW w:w="3828" w:type="dxa"/>
                  <w:tcBorders>
                    <w:tl2br w:val="nil"/>
                    <w:tr2bl w:val="nil"/>
                  </w:tcBorders>
                  <w:vAlign w:val="center"/>
                </w:tcPr>
                <w:p w14:paraId="116B5662">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禁止未经许可在长江（安徽段）干支流、湖泊新设、改设或扩大排污口</w:t>
                  </w:r>
                </w:p>
              </w:tc>
              <w:tc>
                <w:tcPr>
                  <w:tcW w:w="2376" w:type="dxa"/>
                  <w:tcBorders>
                    <w:tl2br w:val="nil"/>
                    <w:tr2bl w:val="nil"/>
                  </w:tcBorders>
                  <w:vAlign w:val="center"/>
                </w:tcPr>
                <w:p w14:paraId="436E0149">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18"/>
                      <w:szCs w:val="18"/>
                      <w:lang w:val="en-US" w:eastAsia="zh-CN"/>
                    </w:rPr>
                  </w:pPr>
                  <w:r>
                    <w:rPr>
                      <w:rFonts w:hint="default" w:ascii="Times New Roman" w:hAnsi="Times New Roman" w:eastAsia="仿宋_GB2312" w:cs="Times New Roman"/>
                      <w:color w:val="auto"/>
                      <w:sz w:val="18"/>
                      <w:szCs w:val="18"/>
                    </w:rPr>
                    <w:t>项目为陆地管线运输项目，</w:t>
                  </w:r>
                  <w:r>
                    <w:rPr>
                      <w:rFonts w:hint="eastAsia" w:ascii="Times New Roman" w:cs="Times New Roman"/>
                      <w:color w:val="auto"/>
                      <w:sz w:val="18"/>
                      <w:szCs w:val="18"/>
                      <w:lang w:val="en-US" w:eastAsia="zh-CN"/>
                    </w:rPr>
                    <w:t>不属于排污口建设项目</w:t>
                  </w:r>
                </w:p>
              </w:tc>
              <w:tc>
                <w:tcPr>
                  <w:tcW w:w="731" w:type="dxa"/>
                  <w:tcBorders>
                    <w:tl2br w:val="nil"/>
                    <w:tr2bl w:val="nil"/>
                  </w:tcBorders>
                  <w:vAlign w:val="center"/>
                </w:tcPr>
                <w:p w14:paraId="02A00147">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符合</w:t>
                  </w:r>
                </w:p>
              </w:tc>
            </w:tr>
            <w:tr w14:paraId="46A7C3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31BF417B">
                  <w:pPr>
                    <w:pStyle w:val="38"/>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color w:val="auto"/>
                      <w:sz w:val="18"/>
                      <w:szCs w:val="18"/>
                    </w:rPr>
                  </w:pPr>
                </w:p>
              </w:tc>
              <w:tc>
                <w:tcPr>
                  <w:tcW w:w="3828" w:type="dxa"/>
                  <w:tcBorders>
                    <w:tl2br w:val="nil"/>
                    <w:tr2bl w:val="nil"/>
                  </w:tcBorders>
                  <w:vAlign w:val="center"/>
                </w:tcPr>
                <w:p w14:paraId="31262974">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禁止在长江干流安徽段及华阳河、水阳江、皖河、青弋江、漳河、滁河干流以及菜子湖（包括白兔湖、嬉子湖、长河）、巢湖（包括巢湖主体、裕溪河）等 8 个主要支流和 44个全面禁捕水生生物保护区开展生产性捕捞</w:t>
                  </w:r>
                </w:p>
              </w:tc>
              <w:tc>
                <w:tcPr>
                  <w:tcW w:w="2376" w:type="dxa"/>
                  <w:tcBorders>
                    <w:tl2br w:val="nil"/>
                    <w:tr2bl w:val="nil"/>
                  </w:tcBorders>
                  <w:vAlign w:val="center"/>
                </w:tcPr>
                <w:p w14:paraId="30021520">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项目为陆地管线运输项目，</w:t>
                  </w:r>
                  <w:r>
                    <w:rPr>
                      <w:rFonts w:hint="eastAsia" w:ascii="Times New Roman" w:cs="Times New Roman"/>
                      <w:color w:val="auto"/>
                      <w:sz w:val="18"/>
                      <w:szCs w:val="18"/>
                      <w:lang w:val="en-US" w:eastAsia="zh-CN"/>
                    </w:rPr>
                    <w:t>不涉及生产性捕捞</w:t>
                  </w:r>
                </w:p>
              </w:tc>
              <w:tc>
                <w:tcPr>
                  <w:tcW w:w="731" w:type="dxa"/>
                  <w:tcBorders>
                    <w:tl2br w:val="nil"/>
                    <w:tr2bl w:val="nil"/>
                  </w:tcBorders>
                  <w:vAlign w:val="center"/>
                </w:tcPr>
                <w:p w14:paraId="6A852485">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符合</w:t>
                  </w:r>
                </w:p>
              </w:tc>
            </w:tr>
            <w:tr w14:paraId="512AD4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7BFB078A">
                  <w:pPr>
                    <w:pStyle w:val="38"/>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color w:val="auto"/>
                      <w:sz w:val="18"/>
                      <w:szCs w:val="18"/>
                    </w:rPr>
                  </w:pPr>
                </w:p>
              </w:tc>
              <w:tc>
                <w:tcPr>
                  <w:tcW w:w="3828" w:type="dxa"/>
                  <w:tcBorders>
                    <w:tl2br w:val="nil"/>
                    <w:tr2bl w:val="nil"/>
                  </w:tcBorders>
                  <w:vAlign w:val="center"/>
                </w:tcPr>
                <w:p w14:paraId="46346B19">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禁止在长江（安徽段）干支流、巢湖岸线一公里范围内新建、扩建化工园区和化工项目。已批未开工的项目，依法停止建设，支持重新选址。已经开工建设的项目，严格进行检查评估，不符合岸线规划和环保、安全要求的，全部依法依规停建搬迁。</w:t>
                  </w:r>
                </w:p>
              </w:tc>
              <w:tc>
                <w:tcPr>
                  <w:tcW w:w="2376" w:type="dxa"/>
                  <w:tcBorders>
                    <w:tl2br w:val="nil"/>
                    <w:tr2bl w:val="nil"/>
                  </w:tcBorders>
                  <w:vAlign w:val="center"/>
                </w:tcPr>
                <w:p w14:paraId="02FF198C">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cs="Times New Roman"/>
                      <w:color w:val="auto"/>
                      <w:sz w:val="18"/>
                      <w:szCs w:val="18"/>
                      <w:lang w:val="en-US" w:eastAsia="zh-CN"/>
                    </w:rPr>
                    <w:t>本项目位于安徽（淮北）新型煤化工合成新材料基地，项目不属于</w:t>
                  </w:r>
                  <w:r>
                    <w:rPr>
                      <w:rFonts w:hint="default" w:ascii="Times New Roman" w:hAnsi="Times New Roman" w:eastAsia="仿宋_GB2312" w:cs="Times New Roman"/>
                      <w:color w:val="auto"/>
                      <w:sz w:val="18"/>
                      <w:szCs w:val="18"/>
                    </w:rPr>
                    <w:t>长江（安徽段）干支流、巢湖岸线一公里范围；项目为陆地管线运输项目，</w:t>
                  </w:r>
                  <w:r>
                    <w:rPr>
                      <w:rFonts w:hint="eastAsia" w:ascii="Times New Roman" w:cs="Times New Roman"/>
                      <w:color w:val="auto"/>
                      <w:sz w:val="18"/>
                      <w:szCs w:val="18"/>
                      <w:lang w:val="en-US" w:eastAsia="zh-CN"/>
                    </w:rPr>
                    <w:t>不属于已批未开工、已开工建设项目。</w:t>
                  </w:r>
                </w:p>
              </w:tc>
              <w:tc>
                <w:tcPr>
                  <w:tcW w:w="731" w:type="dxa"/>
                  <w:tcBorders>
                    <w:tl2br w:val="nil"/>
                    <w:tr2bl w:val="nil"/>
                  </w:tcBorders>
                  <w:vAlign w:val="center"/>
                </w:tcPr>
                <w:p w14:paraId="14093191">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符合</w:t>
                  </w:r>
                </w:p>
              </w:tc>
            </w:tr>
            <w:tr w14:paraId="4227AD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58A07196">
                  <w:pPr>
                    <w:pStyle w:val="38"/>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color w:val="auto"/>
                      <w:sz w:val="18"/>
                      <w:szCs w:val="18"/>
                    </w:rPr>
                  </w:pPr>
                </w:p>
              </w:tc>
              <w:tc>
                <w:tcPr>
                  <w:tcW w:w="3828" w:type="dxa"/>
                  <w:tcBorders>
                    <w:tl2br w:val="nil"/>
                    <w:tr2bl w:val="nil"/>
                  </w:tcBorders>
                  <w:vAlign w:val="center"/>
                </w:tcPr>
                <w:p w14:paraId="7D115067">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禁止在长江干流岸线三公里范围内和主要支流岸线一公里范围内新建、改建、扩建尾矿库、冶炼渣库和磷石膏库，以提升安全、生态环境保护水平为目的的改建除外。</w:t>
                  </w:r>
                </w:p>
              </w:tc>
              <w:tc>
                <w:tcPr>
                  <w:tcW w:w="2376" w:type="dxa"/>
                  <w:vMerge w:val="restart"/>
                  <w:tcBorders>
                    <w:tl2br w:val="nil"/>
                    <w:tr2bl w:val="nil"/>
                  </w:tcBorders>
                  <w:vAlign w:val="center"/>
                </w:tcPr>
                <w:p w14:paraId="609DDEAC">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color w:val="auto"/>
                      <w:sz w:val="18"/>
                      <w:szCs w:val="18"/>
                      <w:lang w:val="en-US" w:eastAsia="zh-CN"/>
                    </w:rPr>
                  </w:pPr>
                  <w:r>
                    <w:rPr>
                      <w:rFonts w:hint="eastAsia" w:ascii="Times New Roman" w:cs="Times New Roman"/>
                      <w:color w:val="auto"/>
                      <w:sz w:val="18"/>
                      <w:szCs w:val="18"/>
                      <w:lang w:val="en-US" w:eastAsia="zh-CN"/>
                    </w:rPr>
                    <w:t>本项目不属于</w:t>
                  </w:r>
                  <w:r>
                    <w:rPr>
                      <w:rFonts w:hint="default" w:ascii="Times New Roman" w:hAnsi="Times New Roman" w:eastAsia="仿宋_GB2312" w:cs="Times New Roman"/>
                      <w:color w:val="auto"/>
                      <w:sz w:val="18"/>
                      <w:szCs w:val="18"/>
                    </w:rPr>
                    <w:t>长江干流岸线三公里范围内和主要支流岸线一公里范围</w:t>
                  </w:r>
                  <w:r>
                    <w:rPr>
                      <w:rFonts w:hint="eastAsia" w:ascii="Times New Roman" w:cs="Times New Roman"/>
                      <w:color w:val="auto"/>
                      <w:sz w:val="18"/>
                      <w:szCs w:val="18"/>
                      <w:lang w:eastAsia="zh-CN"/>
                    </w:rPr>
                    <w:t>，</w:t>
                  </w:r>
                  <w:r>
                    <w:rPr>
                      <w:rFonts w:hint="default" w:ascii="Times New Roman" w:hAnsi="Times New Roman" w:eastAsia="仿宋_GB2312" w:cs="Times New Roman"/>
                      <w:color w:val="auto"/>
                      <w:sz w:val="18"/>
                      <w:szCs w:val="18"/>
                    </w:rPr>
                    <w:t>项目为陆地管线运输项目，</w:t>
                  </w:r>
                  <w:r>
                    <w:rPr>
                      <w:rFonts w:hint="eastAsia" w:ascii="Times New Roman" w:cs="Times New Roman"/>
                      <w:color w:val="auto"/>
                      <w:sz w:val="18"/>
                      <w:szCs w:val="18"/>
                      <w:lang w:val="en-US" w:eastAsia="zh-CN"/>
                    </w:rPr>
                    <w:t>不属于文件中禁止类产业项目</w:t>
                  </w:r>
                </w:p>
              </w:tc>
              <w:tc>
                <w:tcPr>
                  <w:tcW w:w="731" w:type="dxa"/>
                  <w:tcBorders>
                    <w:tl2br w:val="nil"/>
                    <w:tr2bl w:val="nil"/>
                  </w:tcBorders>
                  <w:vAlign w:val="center"/>
                </w:tcPr>
                <w:p w14:paraId="0227B87A">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符合</w:t>
                  </w:r>
                </w:p>
              </w:tc>
            </w:tr>
            <w:tr w14:paraId="2B110B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6B6CEC6E">
                  <w:pPr>
                    <w:pStyle w:val="38"/>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color w:val="auto"/>
                      <w:sz w:val="18"/>
                      <w:szCs w:val="18"/>
                    </w:rPr>
                  </w:pPr>
                </w:p>
              </w:tc>
              <w:tc>
                <w:tcPr>
                  <w:tcW w:w="3828" w:type="dxa"/>
                  <w:tcBorders>
                    <w:tl2br w:val="nil"/>
                    <w:tr2bl w:val="nil"/>
                  </w:tcBorders>
                  <w:vAlign w:val="center"/>
                </w:tcPr>
                <w:p w14:paraId="29CAE5BC">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rPr>
                    <w:t>禁止在合规园区外新建、扩建钢铁、石化、化工、焦化、建材、有色、制浆造纸等高污染项目</w:t>
                  </w:r>
                  <w:r>
                    <w:rPr>
                      <w:rFonts w:hint="eastAsia" w:ascii="Times New Roman" w:cs="Times New Roman"/>
                      <w:color w:val="auto"/>
                      <w:sz w:val="18"/>
                      <w:szCs w:val="18"/>
                      <w:lang w:eastAsia="zh-CN"/>
                    </w:rPr>
                    <w:t>。</w:t>
                  </w:r>
                </w:p>
              </w:tc>
              <w:tc>
                <w:tcPr>
                  <w:tcW w:w="2376" w:type="dxa"/>
                  <w:vMerge w:val="continue"/>
                  <w:tcBorders>
                    <w:tl2br w:val="nil"/>
                    <w:tr2bl w:val="nil"/>
                  </w:tcBorders>
                  <w:vAlign w:val="center"/>
                </w:tcPr>
                <w:p w14:paraId="786E93B4">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18"/>
                      <w:szCs w:val="18"/>
                      <w:lang w:val="en-US" w:eastAsia="zh-CN"/>
                    </w:rPr>
                  </w:pPr>
                </w:p>
              </w:tc>
              <w:tc>
                <w:tcPr>
                  <w:tcW w:w="731" w:type="dxa"/>
                  <w:tcBorders>
                    <w:tl2br w:val="nil"/>
                    <w:tr2bl w:val="nil"/>
                  </w:tcBorders>
                  <w:vAlign w:val="center"/>
                </w:tcPr>
                <w:p w14:paraId="45E52741">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符合</w:t>
                  </w:r>
                </w:p>
              </w:tc>
            </w:tr>
            <w:tr w14:paraId="28C571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3BA3BA37">
                  <w:pPr>
                    <w:pStyle w:val="38"/>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color w:val="auto"/>
                      <w:sz w:val="18"/>
                      <w:szCs w:val="18"/>
                    </w:rPr>
                  </w:pPr>
                </w:p>
              </w:tc>
              <w:tc>
                <w:tcPr>
                  <w:tcW w:w="3828" w:type="dxa"/>
                  <w:tcBorders>
                    <w:tl2br w:val="nil"/>
                    <w:tr2bl w:val="nil"/>
                  </w:tcBorders>
                  <w:vAlign w:val="center"/>
                </w:tcPr>
                <w:p w14:paraId="31403985">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rPr>
                    <w:t>禁止新建、扩建不符合国家石化、现代煤化工等产业布局规划的项目</w:t>
                  </w:r>
                  <w:r>
                    <w:rPr>
                      <w:rFonts w:hint="eastAsia" w:ascii="Times New Roman" w:cs="Times New Roman"/>
                      <w:color w:val="auto"/>
                      <w:sz w:val="18"/>
                      <w:szCs w:val="18"/>
                      <w:lang w:eastAsia="zh-CN"/>
                    </w:rPr>
                    <w:t>。</w:t>
                  </w:r>
                </w:p>
              </w:tc>
              <w:tc>
                <w:tcPr>
                  <w:tcW w:w="2376" w:type="dxa"/>
                  <w:vMerge w:val="continue"/>
                  <w:tcBorders>
                    <w:tl2br w:val="nil"/>
                    <w:tr2bl w:val="nil"/>
                  </w:tcBorders>
                  <w:vAlign w:val="center"/>
                </w:tcPr>
                <w:p w14:paraId="710BC365">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18"/>
                      <w:szCs w:val="18"/>
                      <w:lang w:val="en-US" w:eastAsia="zh-CN"/>
                    </w:rPr>
                  </w:pPr>
                </w:p>
              </w:tc>
              <w:tc>
                <w:tcPr>
                  <w:tcW w:w="731" w:type="dxa"/>
                  <w:tcBorders>
                    <w:tl2br w:val="nil"/>
                    <w:tr2bl w:val="nil"/>
                  </w:tcBorders>
                  <w:vAlign w:val="center"/>
                </w:tcPr>
                <w:p w14:paraId="15493D55">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符合</w:t>
                  </w:r>
                </w:p>
              </w:tc>
            </w:tr>
            <w:tr w14:paraId="7609BC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675964C2">
                  <w:pPr>
                    <w:pStyle w:val="38"/>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color w:val="auto"/>
                      <w:sz w:val="18"/>
                      <w:szCs w:val="18"/>
                    </w:rPr>
                  </w:pPr>
                </w:p>
              </w:tc>
              <w:tc>
                <w:tcPr>
                  <w:tcW w:w="3828" w:type="dxa"/>
                  <w:tcBorders>
                    <w:tl2br w:val="nil"/>
                    <w:tr2bl w:val="nil"/>
                  </w:tcBorders>
                  <w:vAlign w:val="center"/>
                </w:tcPr>
                <w:p w14:paraId="6F8CDE88">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rPr>
                    <w:t>禁止新建、扩建法律法规和相关政策明令禁止的落后产能项目</w:t>
                  </w:r>
                  <w:r>
                    <w:rPr>
                      <w:rFonts w:hint="eastAsia" w:ascii="Times New Roman" w:cs="Times New Roman"/>
                      <w:color w:val="auto"/>
                      <w:sz w:val="18"/>
                      <w:szCs w:val="18"/>
                      <w:lang w:eastAsia="zh-CN"/>
                    </w:rPr>
                    <w:t>。严格执行国家《产业结构调整指导目录》淘汰类和限制类有关规定，禁止投资建设属于淘汰类的项目，禁止投资新建属于限制类的项目。对属于限制类的现有生产能力，允许企业在一定期限内采取措施改造升级。禁止新建、扩建不符合国家产能置换要求的严重过剩产能行业的项目。禁止新建、扩建不符合要求的高耗能高排放项目。</w:t>
                  </w:r>
                </w:p>
              </w:tc>
              <w:tc>
                <w:tcPr>
                  <w:tcW w:w="2376" w:type="dxa"/>
                  <w:vMerge w:val="continue"/>
                  <w:tcBorders>
                    <w:tl2br w:val="nil"/>
                    <w:tr2bl w:val="nil"/>
                  </w:tcBorders>
                  <w:vAlign w:val="center"/>
                </w:tcPr>
                <w:p w14:paraId="798DC4BA">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18"/>
                      <w:szCs w:val="18"/>
                      <w:lang w:val="en-US" w:eastAsia="zh-CN"/>
                    </w:rPr>
                  </w:pPr>
                </w:p>
              </w:tc>
              <w:tc>
                <w:tcPr>
                  <w:tcW w:w="731" w:type="dxa"/>
                  <w:tcBorders>
                    <w:tl2br w:val="nil"/>
                    <w:tr2bl w:val="nil"/>
                  </w:tcBorders>
                  <w:vAlign w:val="center"/>
                </w:tcPr>
                <w:p w14:paraId="5E873162">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符合</w:t>
                  </w:r>
                </w:p>
              </w:tc>
            </w:tr>
          </w:tbl>
          <w:p w14:paraId="237C5291">
            <w:pPr>
              <w:pStyle w:val="32"/>
              <w:ind w:firstLine="480"/>
              <w:rPr>
                <w:rFonts w:hint="eastAsia" w:cs="Times New Roman"/>
                <w:color w:val="auto"/>
                <w:lang w:val="en-US" w:eastAsia="zh-CN"/>
              </w:rPr>
            </w:pPr>
            <w:r>
              <w:rPr>
                <w:rFonts w:hint="eastAsia" w:cs="Times New Roman"/>
                <w:color w:val="auto"/>
                <w:lang w:val="en-US" w:eastAsia="zh-CN"/>
              </w:rPr>
              <w:t>综上，本项目能够符合《安徽省长江经济带发展负面清单实施细则》（试行，2022年版）要求。</w:t>
            </w:r>
          </w:p>
          <w:p w14:paraId="130500FF">
            <w:pPr>
              <w:pStyle w:val="32"/>
              <w:ind w:firstLine="480"/>
              <w:rPr>
                <w:rFonts w:hint="default" w:cs="Times New Roman"/>
                <w:color w:val="auto"/>
                <w:lang w:val="en-US" w:eastAsia="zh-CN"/>
              </w:rPr>
            </w:pPr>
            <w:r>
              <w:rPr>
                <w:rFonts w:hint="eastAsia" w:cs="Times New Roman"/>
                <w:color w:val="auto"/>
                <w:lang w:val="en-US" w:eastAsia="zh-CN"/>
              </w:rPr>
              <w:t>（3）与《安徽省空气质量持续改善行动方案》（皖政[2024]36号）相符性分析</w:t>
            </w:r>
          </w:p>
          <w:p w14:paraId="46D34915">
            <w:pPr>
              <w:pStyle w:val="32"/>
              <w:ind w:left="0" w:leftChars="0" w:firstLine="0" w:firstLineChars="0"/>
              <w:jc w:val="center"/>
              <w:rPr>
                <w:rFonts w:hint="eastAsia"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color w:val="auto"/>
                <w:kern w:val="2"/>
                <w:sz w:val="21"/>
                <w:szCs w:val="21"/>
                <w:lang w:val="zh-CN" w:eastAsia="zh-CN" w:bidi="ar-SA"/>
              </w:rPr>
              <w:t>表1-</w:t>
            </w:r>
            <w:r>
              <w:rPr>
                <w:rFonts w:hint="eastAsia" w:cs="Times New Roman"/>
                <w:b/>
                <w:color w:val="auto"/>
                <w:kern w:val="2"/>
                <w:sz w:val="21"/>
                <w:szCs w:val="21"/>
                <w:lang w:val="en-US" w:eastAsia="zh-CN" w:bidi="ar-SA"/>
              </w:rPr>
              <w:t>7</w:t>
            </w:r>
            <w:r>
              <w:rPr>
                <w:rFonts w:hint="default" w:ascii="Times New Roman" w:hAnsi="Times New Roman" w:eastAsia="仿宋_GB2312" w:cs="Times New Roman"/>
                <w:b/>
                <w:color w:val="auto"/>
                <w:kern w:val="2"/>
                <w:sz w:val="21"/>
                <w:szCs w:val="21"/>
                <w:lang w:val="zh-CN" w:eastAsia="zh-CN" w:bidi="ar-SA"/>
              </w:rPr>
              <w:t xml:space="preserve"> </w:t>
            </w:r>
            <w:r>
              <w:rPr>
                <w:rFonts w:hint="eastAsia" w:ascii="Times New Roman" w:hAnsi="Times New Roman" w:eastAsia="仿宋_GB2312" w:cs="Times New Roman"/>
                <w:b/>
                <w:color w:val="auto"/>
                <w:kern w:val="2"/>
                <w:sz w:val="21"/>
                <w:szCs w:val="21"/>
                <w:lang w:val="en-US" w:eastAsia="zh-CN" w:bidi="ar-SA"/>
              </w:rPr>
              <w:t>与《安徽省空气质量持续改善行动方案》（皖政[2024]36号）相符性分析</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3"/>
              <w:gridCol w:w="3800"/>
              <w:gridCol w:w="2461"/>
              <w:gridCol w:w="832"/>
            </w:tblGrid>
            <w:tr w14:paraId="0C98E8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noWrap w:val="0"/>
                  <w:vAlign w:val="center"/>
                </w:tcPr>
                <w:p w14:paraId="2C231956">
                  <w:pPr>
                    <w:pStyle w:val="3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序号</w:t>
                  </w:r>
                </w:p>
              </w:tc>
              <w:tc>
                <w:tcPr>
                  <w:tcW w:w="3800" w:type="dxa"/>
                  <w:tcBorders>
                    <w:tl2br w:val="nil"/>
                    <w:tr2bl w:val="nil"/>
                  </w:tcBorders>
                  <w:noWrap w:val="0"/>
                  <w:vAlign w:val="center"/>
                </w:tcPr>
                <w:p w14:paraId="7D619994">
                  <w:pPr>
                    <w:pStyle w:val="3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内容摘要</w:t>
                  </w:r>
                </w:p>
              </w:tc>
              <w:tc>
                <w:tcPr>
                  <w:tcW w:w="2461" w:type="dxa"/>
                  <w:tcBorders>
                    <w:tl2br w:val="nil"/>
                    <w:tr2bl w:val="nil"/>
                  </w:tcBorders>
                  <w:noWrap w:val="0"/>
                  <w:vAlign w:val="center"/>
                </w:tcPr>
                <w:p w14:paraId="68708546">
                  <w:pPr>
                    <w:pStyle w:val="3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项目情况</w:t>
                  </w:r>
                </w:p>
              </w:tc>
              <w:tc>
                <w:tcPr>
                  <w:tcW w:w="832" w:type="dxa"/>
                  <w:tcBorders>
                    <w:tl2br w:val="nil"/>
                    <w:tr2bl w:val="nil"/>
                  </w:tcBorders>
                  <w:noWrap w:val="0"/>
                  <w:vAlign w:val="center"/>
                </w:tcPr>
                <w:p w14:paraId="60DBC961">
                  <w:pPr>
                    <w:pStyle w:val="3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分析结果</w:t>
                  </w:r>
                </w:p>
              </w:tc>
            </w:tr>
            <w:tr w14:paraId="775B40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noWrap w:val="0"/>
                  <w:vAlign w:val="center"/>
                </w:tcPr>
                <w:p w14:paraId="663C473D">
                  <w:pPr>
                    <w:pStyle w:val="3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3800" w:type="dxa"/>
                  <w:tcBorders>
                    <w:tl2br w:val="nil"/>
                    <w:tr2bl w:val="nil"/>
                  </w:tcBorders>
                  <w:noWrap w:val="0"/>
                  <w:vAlign w:val="center"/>
                </w:tcPr>
                <w:p w14:paraId="5D7C4C3C">
                  <w:pPr>
                    <w:pStyle w:val="30"/>
                    <w:keepNext w:val="0"/>
                    <w:keepLines w:val="0"/>
                    <w:pageBreakBefore w:val="0"/>
                    <w:widowControl/>
                    <w:kinsoku/>
                    <w:wordWrap/>
                    <w:overflowPunct/>
                    <w:topLinePunct w:val="0"/>
                    <w:autoSpaceDE/>
                    <w:autoSpaceDN/>
                    <w:bidi w:val="0"/>
                    <w:adjustRightInd/>
                    <w:snapToGrid/>
                    <w:jc w:val="both"/>
                    <w:textAlignment w:val="auto"/>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二、优化调整产业结构布局</w:t>
                  </w:r>
                </w:p>
                <w:p w14:paraId="156DEEBC">
                  <w:pPr>
                    <w:pStyle w:val="30"/>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eastAsia="仿宋_GB2312" w:cs="Times New Roman"/>
                      <w:color w:val="auto"/>
                      <w:sz w:val="18"/>
                      <w:szCs w:val="18"/>
                    </w:rPr>
                  </w:pPr>
                  <w:r>
                    <w:rPr>
                      <w:rFonts w:hint="eastAsia" w:eastAsia="仿宋_GB2312" w:cs="Times New Roman"/>
                      <w:color w:val="auto"/>
                      <w:sz w:val="18"/>
                      <w:szCs w:val="18"/>
                      <w:lang w:eastAsia="zh-CN"/>
                    </w:rPr>
                    <w:t>（</w:t>
                  </w:r>
                  <w:r>
                    <w:rPr>
                      <w:rFonts w:hint="eastAsia" w:eastAsia="仿宋_GB2312" w:cs="Times New Roman"/>
                      <w:color w:val="auto"/>
                      <w:sz w:val="18"/>
                      <w:szCs w:val="18"/>
                      <w:lang w:val="en-US" w:eastAsia="zh-CN"/>
                    </w:rPr>
                    <w:t>三</w:t>
                  </w:r>
                  <w:r>
                    <w:rPr>
                      <w:rFonts w:hint="eastAsia" w:eastAsia="仿宋_GB2312" w:cs="Times New Roman"/>
                      <w:color w:val="auto"/>
                      <w:sz w:val="18"/>
                      <w:szCs w:val="18"/>
                      <w:lang w:eastAsia="zh-CN"/>
                    </w:rPr>
                    <w:t>）</w:t>
                  </w:r>
                  <w:r>
                    <w:rPr>
                      <w:rFonts w:hint="default" w:ascii="Times New Roman" w:hAnsi="Times New Roman" w:eastAsia="仿宋_GB2312" w:cs="Times New Roman"/>
                      <w:color w:val="auto"/>
                      <w:sz w:val="18"/>
                      <w:szCs w:val="18"/>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2461" w:type="dxa"/>
                  <w:tcBorders>
                    <w:tl2br w:val="nil"/>
                    <w:tr2bl w:val="nil"/>
                  </w:tcBorders>
                  <w:noWrap w:val="0"/>
                  <w:vAlign w:val="center"/>
                </w:tcPr>
                <w:p w14:paraId="7EFE7D2C">
                  <w:pPr>
                    <w:pStyle w:val="30"/>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本</w:t>
                  </w:r>
                  <w:r>
                    <w:rPr>
                      <w:rFonts w:hint="default" w:ascii="Times New Roman" w:hAnsi="Times New Roman" w:eastAsia="仿宋_GB2312" w:cs="Times New Roman"/>
                      <w:color w:val="auto"/>
                      <w:sz w:val="18"/>
                      <w:szCs w:val="18"/>
                    </w:rPr>
                    <w:t>项目为陆地管线运输项目，</w:t>
                  </w:r>
                  <w:r>
                    <w:rPr>
                      <w:rFonts w:hint="eastAsia" w:eastAsia="仿宋_GB2312" w:cs="Times New Roman"/>
                      <w:color w:val="auto"/>
                      <w:sz w:val="18"/>
                      <w:szCs w:val="18"/>
                      <w:lang w:val="en-US" w:eastAsia="zh-CN"/>
                    </w:rPr>
                    <w:t>不属于</w:t>
                  </w:r>
                  <w:r>
                    <w:rPr>
                      <w:rFonts w:hint="default" w:ascii="Times New Roman" w:hAnsi="Times New Roman" w:eastAsia="仿宋_GB2312" w:cs="Times New Roman"/>
                      <w:color w:val="auto"/>
                      <w:sz w:val="18"/>
                      <w:szCs w:val="18"/>
                    </w:rPr>
                    <w:t>高耗能、高排放、低水平项目</w:t>
                  </w:r>
                  <w:r>
                    <w:rPr>
                      <w:rFonts w:hint="eastAsia" w:eastAsia="仿宋_GB2312" w:cs="Times New Roman"/>
                      <w:color w:val="auto"/>
                      <w:sz w:val="18"/>
                      <w:szCs w:val="18"/>
                      <w:lang w:eastAsia="zh-CN"/>
                    </w:rPr>
                    <w:t>。</w:t>
                  </w:r>
                  <w:r>
                    <w:rPr>
                      <w:rFonts w:hint="eastAsia" w:eastAsia="仿宋_GB2312" w:cs="Times New Roman"/>
                      <w:color w:val="auto"/>
                      <w:sz w:val="18"/>
                      <w:szCs w:val="18"/>
                      <w:lang w:val="en-US" w:eastAsia="zh-CN"/>
                    </w:rPr>
                    <w:t>本项目氢气采用管道运输方式，满足清洁运输要求。</w:t>
                  </w:r>
                </w:p>
              </w:tc>
              <w:tc>
                <w:tcPr>
                  <w:tcW w:w="832" w:type="dxa"/>
                  <w:tcBorders>
                    <w:tl2br w:val="nil"/>
                    <w:tr2bl w:val="nil"/>
                  </w:tcBorders>
                  <w:noWrap w:val="0"/>
                  <w:vAlign w:val="center"/>
                </w:tcPr>
                <w:p w14:paraId="78E72334">
                  <w:pPr>
                    <w:pStyle w:val="3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相符</w:t>
                  </w:r>
                </w:p>
              </w:tc>
            </w:tr>
            <w:tr w14:paraId="3FD511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Borders>
                    <w:tl2br w:val="nil"/>
                    <w:tr2bl w:val="nil"/>
                  </w:tcBorders>
                  <w:noWrap w:val="0"/>
                  <w:vAlign w:val="center"/>
                </w:tcPr>
                <w:p w14:paraId="53CE654A">
                  <w:pPr>
                    <w:pStyle w:val="3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3800" w:type="dxa"/>
                  <w:tcBorders>
                    <w:tl2br w:val="nil"/>
                    <w:tr2bl w:val="nil"/>
                  </w:tcBorders>
                  <w:noWrap w:val="0"/>
                  <w:vAlign w:val="center"/>
                </w:tcPr>
                <w:p w14:paraId="62AE8A39">
                  <w:pPr>
                    <w:pStyle w:val="30"/>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三、加快能源结构绿色低碳转型</w:t>
                  </w:r>
                </w:p>
                <w:p w14:paraId="028BB1D6">
                  <w:pPr>
                    <w:pStyle w:val="30"/>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七）加快推广使用清洁能源。深入实施风电光伏发电装机倍增工程，提高电能占终端能源消费比重。到2025年，非化石能源消费比重达到15.5%以上，电能占终端能源消费比重达到30%左右。加快推进天然气入皖管道建设，提升城镇燃气管网覆盖率，增强天然气供应能力，新增天然气优先保障居民生活和清洁取暖需求。</w:t>
                  </w:r>
                </w:p>
              </w:tc>
              <w:tc>
                <w:tcPr>
                  <w:tcW w:w="2461" w:type="dxa"/>
                  <w:tcBorders>
                    <w:tl2br w:val="nil"/>
                    <w:tr2bl w:val="nil"/>
                  </w:tcBorders>
                  <w:noWrap w:val="0"/>
                  <w:vAlign w:val="center"/>
                </w:tcPr>
                <w:p w14:paraId="3B5C0D61">
                  <w:pPr>
                    <w:pStyle w:val="30"/>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本项目主要是氢气陆地管线运输项目，氢气属于清洁能源。</w:t>
                  </w:r>
                </w:p>
              </w:tc>
              <w:tc>
                <w:tcPr>
                  <w:tcW w:w="832" w:type="dxa"/>
                  <w:tcBorders>
                    <w:tl2br w:val="nil"/>
                    <w:tr2bl w:val="nil"/>
                  </w:tcBorders>
                  <w:noWrap w:val="0"/>
                  <w:vAlign w:val="center"/>
                </w:tcPr>
                <w:p w14:paraId="68A2C70B">
                  <w:pPr>
                    <w:pStyle w:val="3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相符</w:t>
                  </w:r>
                </w:p>
              </w:tc>
            </w:tr>
          </w:tbl>
          <w:p w14:paraId="1DA353BC">
            <w:pPr>
              <w:pStyle w:val="32"/>
              <w:ind w:firstLine="480"/>
              <w:rPr>
                <w:rFonts w:hint="default" w:cs="Times New Roman"/>
                <w:color w:val="auto"/>
                <w:lang w:val="en-US" w:eastAsia="zh-CN"/>
              </w:rPr>
            </w:pPr>
            <w:r>
              <w:rPr>
                <w:rFonts w:hint="eastAsia" w:cs="Times New Roman"/>
                <w:color w:val="auto"/>
                <w:lang w:val="en-US" w:eastAsia="zh-CN"/>
              </w:rPr>
              <w:t>综上，本项目能够符合《安徽省空气质量持续改善行动方案》（皖政[2024]36号）要求。</w:t>
            </w:r>
          </w:p>
        </w:tc>
      </w:tr>
    </w:tbl>
    <w:p w14:paraId="5A534EE5">
      <w:pPr>
        <w:ind w:firstLine="600"/>
        <w:outlineLvl w:val="0"/>
        <w:rPr>
          <w:rFonts w:hint="default" w:ascii="Times New Roman" w:hAnsi="Times New Roman" w:eastAsia="仿宋_GB2312" w:cs="Times New Roman"/>
          <w:color w:val="000000"/>
          <w:sz w:val="30"/>
        </w:rPr>
        <w:sectPr>
          <w:footerReference r:id="rId12"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02F77A4">
      <w:pPr>
        <w:pStyle w:val="3"/>
        <w:spacing w:before="24" w:after="24"/>
        <w:rPr>
          <w:rFonts w:hint="eastAsia" w:ascii="Times New Roman" w:hAnsi="Times New Roman" w:eastAsia="仿宋_GB2312" w:cs="Times New Roman"/>
          <w:b/>
          <w:bCs w:val="0"/>
          <w:lang w:val="en-US" w:eastAsia="zh-CN"/>
        </w:rPr>
      </w:pPr>
      <w:bookmarkStart w:id="5" w:name="_Toc663"/>
      <w:r>
        <w:rPr>
          <w:rFonts w:hint="default" w:ascii="Times New Roman" w:hAnsi="Times New Roman" w:eastAsia="仿宋_GB2312" w:cs="Times New Roman"/>
          <w:b/>
          <w:bCs w:val="0"/>
        </w:rPr>
        <w:t>二、建设</w:t>
      </w:r>
      <w:bookmarkEnd w:id="5"/>
      <w:r>
        <w:rPr>
          <w:rFonts w:hint="eastAsia" w:eastAsia="仿宋_GB2312" w:cs="Times New Roman"/>
          <w:b/>
          <w:bCs w:val="0"/>
          <w:lang w:val="en-US" w:eastAsia="zh-CN"/>
        </w:rPr>
        <w:t>项目工程分析</w:t>
      </w:r>
    </w:p>
    <w:tbl>
      <w:tblPr>
        <w:tblStyle w:val="14"/>
        <w:tblW w:w="90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36"/>
      </w:tblGrid>
      <w:tr w14:paraId="4CCC9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noWrap w:val="0"/>
            <w:vAlign w:val="center"/>
          </w:tcPr>
          <w:p w14:paraId="3C5BFC9E">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地理位置</w:t>
            </w:r>
          </w:p>
        </w:tc>
        <w:tc>
          <w:tcPr>
            <w:tcW w:w="8236" w:type="dxa"/>
            <w:noWrap w:val="0"/>
            <w:vAlign w:val="top"/>
          </w:tcPr>
          <w:p w14:paraId="1427204C">
            <w:pPr>
              <w:pStyle w:val="32"/>
              <w:ind w:firstLine="480"/>
              <w:rPr>
                <w:rFonts w:hint="default" w:ascii="Times New Roman" w:hAnsi="Times New Roman" w:eastAsia="仿宋_GB2312" w:cs="Times New Roman"/>
                <w:color w:val="auto"/>
                <w:lang w:val="en-US" w:eastAsia="zh-CN"/>
              </w:rPr>
            </w:pPr>
            <w:r>
              <w:rPr>
                <w:rFonts w:hint="eastAsia" w:cs="Times New Roman"/>
                <w:color w:val="auto"/>
                <w:lang w:val="en-US" w:eastAsia="zh-CN"/>
              </w:rPr>
              <w:t>本项目为淮北润土高分子新材料研究院有限公司科创加速器氢气管道项目</w:t>
            </w:r>
            <w:r>
              <w:rPr>
                <w:rFonts w:hint="eastAsia" w:ascii="Times New Roman" w:hAnsi="Times New Roman" w:cs="Times New Roman"/>
                <w:color w:val="auto"/>
                <w:lang w:val="en-US" w:eastAsia="zh-CN"/>
              </w:rPr>
              <w:t>，位于安徽淮北新型煤化工合成材料基地内。</w:t>
            </w:r>
          </w:p>
          <w:p w14:paraId="113B5579">
            <w:pPr>
              <w:pStyle w:val="32"/>
              <w:ind w:firstLine="480"/>
              <w:rPr>
                <w:rFonts w:hint="eastAsia" w:cs="Times New Roman"/>
                <w:color w:val="auto"/>
                <w:highlight w:val="none"/>
                <w:lang w:val="en-US" w:eastAsia="zh-CN"/>
              </w:rPr>
            </w:pPr>
            <w:r>
              <w:rPr>
                <w:rFonts w:hint="eastAsia" w:cs="Times New Roman"/>
                <w:b w:val="0"/>
                <w:bCs w:val="0"/>
                <w:color w:val="auto"/>
                <w:lang w:val="en-US" w:eastAsia="zh-CN"/>
              </w:rPr>
              <w:t>拟建氢气管道走向</w:t>
            </w:r>
            <w:r>
              <w:rPr>
                <w:rFonts w:hint="eastAsia" w:cs="Times New Roman"/>
                <w:color w:val="auto"/>
                <w:lang w:val="en-US" w:eastAsia="zh-CN"/>
              </w:rPr>
              <w:t>：从创新路跨路管廊中临涣焦化至安徽湛为氢气主管引出后，先沿创新路既有跨路管廊由南向北敷设并穿越道路，再沿园区现有管墩自东向西敷设至创新路与淮化路交叉口，继而沿淮化路管墩向北延伸，抵达淮北润土公司厂区西界后接入厂区，</w:t>
            </w:r>
            <w:r>
              <w:rPr>
                <w:rFonts w:hint="eastAsia" w:cs="Times New Roman"/>
                <w:color w:val="auto"/>
                <w:highlight w:val="none"/>
                <w:lang w:val="en-US" w:eastAsia="zh-CN"/>
              </w:rPr>
              <w:t>最终接至企业2号车间的MAK生产装置，同时为3-6号车间规划远期项目预留了氢气接口。</w:t>
            </w:r>
          </w:p>
          <w:p w14:paraId="7082D791">
            <w:pPr>
              <w:pStyle w:val="32"/>
              <w:ind w:firstLine="480"/>
              <w:rPr>
                <w:rFonts w:hint="default" w:ascii="Times New Roman" w:hAnsi="Times New Roman" w:eastAsia="仿宋_GB2312" w:cs="Times New Roman"/>
                <w:color w:val="auto"/>
              </w:rPr>
            </w:pPr>
            <w:r>
              <w:rPr>
                <w:rFonts w:hint="eastAsia" w:cs="Times New Roman"/>
                <w:color w:val="auto"/>
                <w:highlight w:val="none"/>
                <w:lang w:val="en-US" w:eastAsia="zh-CN"/>
              </w:rPr>
              <w:t>本项目</w:t>
            </w:r>
            <w:r>
              <w:rPr>
                <w:rFonts w:hint="eastAsia" w:cs="Times New Roman"/>
                <w:color w:val="auto"/>
                <w:lang w:val="en-US" w:eastAsia="zh-CN"/>
              </w:rPr>
              <w:t>氢气管道走向详见附图2。</w:t>
            </w:r>
          </w:p>
        </w:tc>
      </w:tr>
      <w:tr w14:paraId="4FDA4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noWrap w:val="0"/>
            <w:vAlign w:val="center"/>
          </w:tcPr>
          <w:p w14:paraId="7011F34F">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项目组成及规模</w:t>
            </w:r>
          </w:p>
        </w:tc>
        <w:tc>
          <w:tcPr>
            <w:tcW w:w="8236" w:type="dxa"/>
            <w:noWrap w:val="0"/>
            <w:vAlign w:val="top"/>
          </w:tcPr>
          <w:p w14:paraId="3B7DA04C">
            <w:pPr>
              <w:pStyle w:val="32"/>
              <w:ind w:firstLine="480"/>
              <w:rPr>
                <w:rFonts w:hint="default" w:ascii="Times New Roman" w:hAnsi="Times New Roman" w:eastAsia="仿宋_GB2312" w:cs="Times New Roman"/>
                <w:b/>
                <w:bCs/>
                <w:color w:val="auto"/>
              </w:rPr>
            </w:pPr>
            <w:r>
              <w:rPr>
                <w:rFonts w:hint="eastAsia" w:cs="Times New Roman"/>
                <w:b/>
                <w:bCs/>
                <w:color w:val="auto"/>
                <w:lang w:val="en-US" w:eastAsia="zh-CN"/>
              </w:rPr>
              <w:t xml:space="preserve">2.2.1 </w:t>
            </w:r>
            <w:r>
              <w:rPr>
                <w:rFonts w:hint="default" w:ascii="Times New Roman" w:hAnsi="Times New Roman" w:eastAsia="仿宋_GB2312" w:cs="Times New Roman"/>
                <w:b/>
                <w:bCs/>
                <w:color w:val="auto"/>
              </w:rPr>
              <w:t>企业概况</w:t>
            </w:r>
          </w:p>
          <w:p w14:paraId="518928F6">
            <w:pPr>
              <w:pStyle w:val="32"/>
              <w:ind w:firstLine="480"/>
              <w:rPr>
                <w:rFonts w:hint="eastAsia" w:cs="Times New Roman"/>
                <w:color w:val="auto"/>
                <w:lang w:eastAsia="zh-CN"/>
              </w:rPr>
            </w:pPr>
            <w:r>
              <w:rPr>
                <w:rFonts w:hint="default" w:ascii="Times New Roman" w:hAnsi="Times New Roman" w:eastAsia="仿宋_GB2312" w:cs="Times New Roman"/>
                <w:color w:val="auto"/>
              </w:rPr>
              <w:t>淮北润土高分子新材料研究院有限公司（以下简称“润土</w:t>
            </w:r>
            <w:r>
              <w:rPr>
                <w:rFonts w:hint="eastAsia" w:cs="Times New Roman"/>
                <w:color w:val="auto"/>
                <w:lang w:val="en-US" w:eastAsia="zh-CN"/>
              </w:rPr>
              <w:t>公司</w:t>
            </w:r>
            <w:r>
              <w:rPr>
                <w:rFonts w:hint="default" w:ascii="Times New Roman" w:hAnsi="Times New Roman" w:eastAsia="仿宋_GB2312" w:cs="Times New Roman"/>
                <w:color w:val="auto"/>
              </w:rPr>
              <w:t>”）成立于20</w:t>
            </w:r>
            <w:r>
              <w:rPr>
                <w:rFonts w:hint="eastAsia" w:cs="Times New Roman"/>
                <w:color w:val="auto"/>
                <w:lang w:val="en-US" w:eastAsia="zh-CN"/>
              </w:rPr>
              <w:t>23</w:t>
            </w:r>
            <w:r>
              <w:rPr>
                <w:rFonts w:hint="default" w:ascii="Times New Roman" w:hAnsi="Times New Roman" w:eastAsia="仿宋_GB2312" w:cs="Times New Roman"/>
                <w:color w:val="auto"/>
              </w:rPr>
              <w:t>年</w:t>
            </w:r>
            <w:r>
              <w:rPr>
                <w:rFonts w:hint="eastAsia" w:cs="Times New Roman"/>
                <w:color w:val="auto"/>
                <w:lang w:val="en-US" w:eastAsia="zh-CN"/>
              </w:rPr>
              <w:t>4</w:t>
            </w:r>
            <w:r>
              <w:rPr>
                <w:rFonts w:hint="default" w:ascii="Times New Roman" w:hAnsi="Times New Roman" w:eastAsia="仿宋_GB2312" w:cs="Times New Roman"/>
                <w:color w:val="auto"/>
              </w:rPr>
              <w:t>月</w:t>
            </w:r>
            <w:r>
              <w:rPr>
                <w:rFonts w:hint="eastAsia" w:ascii="Times New Roman" w:hAnsi="Times New Roman" w:cs="Times New Roman"/>
                <w:color w:val="auto"/>
                <w:lang w:eastAsia="zh-CN"/>
              </w:rPr>
              <w:t>，位于安徽省淮北市新型煤化工合成材料基地企业孵化器215号房间</w:t>
            </w:r>
            <w:r>
              <w:rPr>
                <w:rFonts w:hint="eastAsia" w:cs="Times New Roman"/>
                <w:color w:val="auto"/>
                <w:lang w:eastAsia="zh-CN"/>
              </w:rPr>
              <w:t>，公司专注于工程和技术研究、技术开发以及化工产品生产领域，拥有“一种化工园区难降解高毒性有机废水强化预处理组合装置”和“一种多介质环境协同处置脱硫废水循环利用系统”两项专利技术。公司业务聚焦于高分子新材料及相关环保技术的研发与应用。淮北润土高分子新材料研究院有限公司入选2025年国家级科技型中小企业。该公司作为安徽省先进高分子结构材料战略性新兴产业基地的核心载体，与中试通（上海）科技有限公司合作推动科技成果转化，在高分子新材料研发领域取得显著进展。化工新材料行业正处于快速发展阶段，先进储能材料、光伏材料等领域具有较大发展潜力。</w:t>
            </w:r>
          </w:p>
          <w:p w14:paraId="3D4102FF">
            <w:pPr>
              <w:pStyle w:val="32"/>
              <w:ind w:firstLine="480"/>
              <w:rPr>
                <w:rFonts w:hint="eastAsia" w:cs="Times New Roman"/>
                <w:color w:val="auto"/>
                <w:lang w:eastAsia="zh-CN"/>
              </w:rPr>
            </w:pPr>
            <w:r>
              <w:rPr>
                <w:rFonts w:hint="eastAsia" w:cs="Times New Roman"/>
                <w:color w:val="auto"/>
                <w:lang w:val="en-US" w:eastAsia="zh-CN"/>
              </w:rPr>
              <w:t>经营范围包括</w:t>
            </w:r>
            <w:r>
              <w:rPr>
                <w:rFonts w:hint="eastAsia" w:cs="Times New Roman"/>
                <w:color w:val="auto"/>
                <w:lang w:eastAsia="zh-CN"/>
              </w:rPr>
              <w:t>工程和技术研究和试验发展；技术服务、技术开发、技术咨询、技术交流、技术转让、技术推广；会议及展览服务；专用化学产品制造（不含危险化学品）；专用化学产品销售（不含危险化学品）；化工产品生产（不含许可类化工产品）；化工产品销售（不含许可类化工产品）；环保咨询服务；环境保护专用设备销售；环境监测专用仪器仪表销售；环境保护监测；水环境污染防治服务；大气环境污染防治服务；水污染治理；土壤环境污染防治服务；土壤污染治理与修复服务；农业面源和重金属污染防治技术服务；光污染治理服务；噪声与振动控制服务；固体废物治理；生态资源监测；生态恢复及生态保护服务；环境保护专用设备制造；机械设备研发；工业工程设计服务；工程管理服务；环境应急治理服务（除许可业务外，可自主依法经营法律法规非禁止或限制的项目）。</w:t>
            </w:r>
          </w:p>
          <w:p w14:paraId="34AABADA">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企业现有项目及环保手续履行情况见下表。</w:t>
            </w:r>
          </w:p>
          <w:p w14:paraId="76A96F03">
            <w:pPr>
              <w:pStyle w:val="32"/>
              <w:spacing w:line="240" w:lineRule="auto"/>
              <w:ind w:firstLine="0" w:firstLineChars="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表2</w:t>
            </w:r>
            <w:r>
              <w:rPr>
                <w:rFonts w:hint="eastAsia" w:cs="Times New Roman"/>
                <w:b/>
                <w:bCs/>
                <w:color w:val="auto"/>
                <w:sz w:val="21"/>
                <w:szCs w:val="21"/>
                <w:lang w:val="en-US" w:eastAsia="zh-CN"/>
              </w:rPr>
              <w:t>.2</w:t>
            </w:r>
            <w:r>
              <w:rPr>
                <w:rFonts w:hint="default" w:ascii="Times New Roman" w:hAnsi="Times New Roman" w:eastAsia="仿宋_GB2312" w:cs="Times New Roman"/>
                <w:b/>
                <w:bCs/>
                <w:color w:val="auto"/>
                <w:sz w:val="21"/>
                <w:szCs w:val="21"/>
              </w:rPr>
              <w:t>-1  企业现有项目环保手续履行情况一览表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04"/>
              <w:gridCol w:w="1619"/>
              <w:gridCol w:w="1671"/>
              <w:gridCol w:w="1074"/>
              <w:gridCol w:w="1052"/>
            </w:tblGrid>
            <w:tr w14:paraId="021801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1" w:type="pct"/>
                  <w:tcBorders>
                    <w:tl2br w:val="nil"/>
                    <w:tr2bl w:val="nil"/>
                  </w:tcBorders>
                  <w:noWrap w:val="0"/>
                  <w:vAlign w:val="center"/>
                </w:tcPr>
                <w:p w14:paraId="755EDBF4">
                  <w:pPr>
                    <w:pStyle w:val="32"/>
                    <w:spacing w:line="240" w:lineRule="auto"/>
                    <w:ind w:firstLine="0" w:firstLineChars="0"/>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项目名称</w:t>
                  </w:r>
                </w:p>
              </w:tc>
              <w:tc>
                <w:tcPr>
                  <w:tcW w:w="950" w:type="pct"/>
                  <w:tcBorders>
                    <w:tl2br w:val="nil"/>
                    <w:tr2bl w:val="nil"/>
                  </w:tcBorders>
                  <w:noWrap w:val="0"/>
                  <w:vAlign w:val="center"/>
                </w:tcPr>
                <w:p w14:paraId="572F3637">
                  <w:pPr>
                    <w:pStyle w:val="32"/>
                    <w:spacing w:line="240" w:lineRule="auto"/>
                    <w:ind w:firstLine="0" w:firstLineChars="0"/>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产品方案</w:t>
                  </w:r>
                </w:p>
              </w:tc>
              <w:tc>
                <w:tcPr>
                  <w:tcW w:w="980" w:type="pct"/>
                  <w:tcBorders>
                    <w:tl2br w:val="nil"/>
                    <w:tr2bl w:val="nil"/>
                  </w:tcBorders>
                  <w:noWrap w:val="0"/>
                  <w:vAlign w:val="center"/>
                </w:tcPr>
                <w:p w14:paraId="5BC0C6B5">
                  <w:pPr>
                    <w:pStyle w:val="32"/>
                    <w:spacing w:line="240" w:lineRule="auto"/>
                    <w:ind w:firstLine="0" w:firstLineChars="0"/>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环评情况</w:t>
                  </w:r>
                </w:p>
              </w:tc>
              <w:tc>
                <w:tcPr>
                  <w:tcW w:w="630" w:type="pct"/>
                  <w:tcBorders>
                    <w:tl2br w:val="nil"/>
                    <w:tr2bl w:val="nil"/>
                  </w:tcBorders>
                  <w:noWrap w:val="0"/>
                  <w:vAlign w:val="center"/>
                </w:tcPr>
                <w:p w14:paraId="36DA8B42">
                  <w:pPr>
                    <w:pStyle w:val="32"/>
                    <w:spacing w:line="240" w:lineRule="auto"/>
                    <w:ind w:firstLine="0" w:firstLineChars="0"/>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验收情况</w:t>
                  </w:r>
                </w:p>
              </w:tc>
              <w:tc>
                <w:tcPr>
                  <w:tcW w:w="617" w:type="pct"/>
                  <w:tcBorders>
                    <w:tl2br w:val="nil"/>
                    <w:tr2bl w:val="nil"/>
                  </w:tcBorders>
                  <w:noWrap w:val="0"/>
                  <w:vAlign w:val="center"/>
                </w:tcPr>
                <w:p w14:paraId="1C938620">
                  <w:pPr>
                    <w:pStyle w:val="32"/>
                    <w:spacing w:line="240" w:lineRule="auto"/>
                    <w:ind w:firstLine="0" w:firstLineChars="0"/>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highlight w:val="none"/>
                    </w:rPr>
                    <w:t>排污许可申请情况</w:t>
                  </w:r>
                </w:p>
              </w:tc>
            </w:tr>
            <w:tr w14:paraId="09E088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1" w:type="pct"/>
                  <w:tcBorders>
                    <w:tl2br w:val="nil"/>
                    <w:tr2bl w:val="nil"/>
                  </w:tcBorders>
                  <w:shd w:val="clear" w:color="auto" w:fill="auto"/>
                  <w:noWrap w:val="0"/>
                  <w:vAlign w:val="center"/>
                </w:tcPr>
                <w:p w14:paraId="4900952B">
                  <w:pPr>
                    <w:pStyle w:val="32"/>
                    <w:wordWrap w:val="0"/>
                    <w:spacing w:line="240" w:lineRule="auto"/>
                    <w:ind w:firstLine="0" w:firstLineChars="0"/>
                    <w:rPr>
                      <w:rFonts w:hint="eastAsia" w:ascii="Times New Roman" w:hAnsi="Times New Roman" w:eastAsia="仿宋_GB2312" w:cs="Times New Roman"/>
                      <w:color w:val="auto"/>
                      <w:kern w:val="2"/>
                      <w:sz w:val="18"/>
                      <w:szCs w:val="18"/>
                      <w:lang w:val="en-US" w:eastAsia="zh-CN" w:bidi="ar-SA"/>
                    </w:rPr>
                  </w:pPr>
                  <w:r>
                    <w:rPr>
                      <w:rFonts w:hint="eastAsia" w:cs="Times New Roman"/>
                      <w:color w:val="auto"/>
                      <w:sz w:val="18"/>
                      <w:szCs w:val="18"/>
                      <w:lang w:eastAsia="zh-CN"/>
                    </w:rPr>
                    <w:t>《</w:t>
                  </w:r>
                  <w:r>
                    <w:rPr>
                      <w:rFonts w:hint="eastAsia" w:cs="Times New Roman"/>
                      <w:color w:val="auto"/>
                      <w:sz w:val="18"/>
                      <w:szCs w:val="18"/>
                      <w:lang w:val="en-US" w:eastAsia="zh-CN"/>
                    </w:rPr>
                    <w:t>淮北润土高分子新材料研究院有限公司200吨/年MMPA精细功能溶剂中试项目环境影响报告书</w:t>
                  </w:r>
                  <w:r>
                    <w:rPr>
                      <w:rFonts w:hint="eastAsia" w:cs="Times New Roman"/>
                      <w:color w:val="auto"/>
                      <w:sz w:val="18"/>
                      <w:szCs w:val="18"/>
                      <w:lang w:eastAsia="zh-CN"/>
                    </w:rPr>
                    <w:t>》</w:t>
                  </w:r>
                </w:p>
              </w:tc>
              <w:tc>
                <w:tcPr>
                  <w:tcW w:w="950" w:type="pct"/>
                  <w:tcBorders>
                    <w:tl2br w:val="nil"/>
                    <w:tr2bl w:val="nil"/>
                  </w:tcBorders>
                  <w:shd w:val="clear" w:color="auto" w:fill="auto"/>
                  <w:noWrap w:val="0"/>
                  <w:vAlign w:val="center"/>
                </w:tcPr>
                <w:p w14:paraId="6F55D86D">
                  <w:pPr>
                    <w:pStyle w:val="32"/>
                    <w:spacing w:line="240" w:lineRule="auto"/>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sz w:val="18"/>
                      <w:szCs w:val="18"/>
                      <w:lang w:val="en-US" w:eastAsia="zh-CN"/>
                    </w:rPr>
                    <w:t>200吨/年MMPA精细功能溶剂的中试生产能力</w:t>
                  </w:r>
                </w:p>
              </w:tc>
              <w:tc>
                <w:tcPr>
                  <w:tcW w:w="980" w:type="pct"/>
                  <w:tcBorders>
                    <w:tl2br w:val="nil"/>
                    <w:tr2bl w:val="nil"/>
                  </w:tcBorders>
                  <w:shd w:val="clear" w:color="auto" w:fill="auto"/>
                  <w:noWrap w:val="0"/>
                  <w:vAlign w:val="center"/>
                </w:tcPr>
                <w:p w14:paraId="0B326EF4">
                  <w:pPr>
                    <w:pStyle w:val="32"/>
                    <w:wordWrap w:val="0"/>
                    <w:spacing w:line="240" w:lineRule="auto"/>
                    <w:ind w:firstLine="0" w:firstLineChars="0"/>
                    <w:rPr>
                      <w:rFonts w:hint="eastAsia" w:ascii="Times New Roman" w:hAnsi="Times New Roman" w:eastAsia="仿宋_GB2312" w:cs="Times New Roman"/>
                      <w:color w:val="auto"/>
                      <w:kern w:val="2"/>
                      <w:sz w:val="18"/>
                      <w:szCs w:val="18"/>
                      <w:lang w:val="en-US" w:eastAsia="zh-CN" w:bidi="ar-SA"/>
                    </w:rPr>
                  </w:pPr>
                  <w:r>
                    <w:rPr>
                      <w:rFonts w:hint="eastAsia" w:cs="Times New Roman"/>
                      <w:color w:val="auto"/>
                      <w:sz w:val="18"/>
                      <w:szCs w:val="18"/>
                      <w:lang w:val="en-US" w:eastAsia="zh-CN"/>
                    </w:rPr>
                    <w:t>2026年1月22日，淮环行[2026]03号</w:t>
                  </w:r>
                </w:p>
              </w:tc>
              <w:tc>
                <w:tcPr>
                  <w:tcW w:w="630" w:type="pct"/>
                  <w:tcBorders>
                    <w:tl2br w:val="nil"/>
                    <w:tr2bl w:val="nil"/>
                  </w:tcBorders>
                  <w:noWrap w:val="0"/>
                  <w:vAlign w:val="center"/>
                </w:tcPr>
                <w:p w14:paraId="5D0F19E6">
                  <w:pPr>
                    <w:pStyle w:val="32"/>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暂未开展</w:t>
                  </w:r>
                </w:p>
              </w:tc>
              <w:tc>
                <w:tcPr>
                  <w:tcW w:w="617" w:type="pct"/>
                  <w:vMerge w:val="restart"/>
                  <w:tcBorders>
                    <w:tl2br w:val="nil"/>
                    <w:tr2bl w:val="nil"/>
                  </w:tcBorders>
                  <w:noWrap w:val="0"/>
                  <w:vAlign w:val="center"/>
                </w:tcPr>
                <w:p w14:paraId="037A5578">
                  <w:pPr>
                    <w:pStyle w:val="32"/>
                    <w:spacing w:line="240" w:lineRule="auto"/>
                    <w:ind w:firstLine="0" w:firstLineChars="0"/>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2026年5月6日申领排污许可证</w:t>
                  </w:r>
                </w:p>
              </w:tc>
            </w:tr>
            <w:tr w14:paraId="7B8DE6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1" w:type="pct"/>
                  <w:tcBorders>
                    <w:tl2br w:val="nil"/>
                    <w:tr2bl w:val="nil"/>
                  </w:tcBorders>
                  <w:shd w:val="clear" w:color="auto" w:fill="auto"/>
                  <w:noWrap w:val="0"/>
                  <w:vAlign w:val="center"/>
                </w:tcPr>
                <w:p w14:paraId="415F20E1">
                  <w:pPr>
                    <w:pStyle w:val="32"/>
                    <w:wordWrap w:val="0"/>
                    <w:spacing w:line="240" w:lineRule="auto"/>
                    <w:ind w:firstLine="0" w:firstLineChars="0"/>
                    <w:rPr>
                      <w:rFonts w:hint="eastAsia" w:ascii="Times New Roman" w:hAnsi="Times New Roman" w:eastAsia="仿宋_GB2312" w:cs="Times New Roman"/>
                      <w:color w:val="auto"/>
                      <w:kern w:val="2"/>
                      <w:sz w:val="18"/>
                      <w:szCs w:val="18"/>
                      <w:lang w:val="en-US" w:eastAsia="zh-CN" w:bidi="ar-SA"/>
                    </w:rPr>
                  </w:pPr>
                  <w:r>
                    <w:rPr>
                      <w:rFonts w:hint="eastAsia" w:cs="Times New Roman"/>
                      <w:color w:val="auto"/>
                      <w:sz w:val="18"/>
                      <w:szCs w:val="18"/>
                      <w:lang w:eastAsia="zh-CN"/>
                    </w:rPr>
                    <w:t>《</w:t>
                  </w:r>
                  <w:r>
                    <w:rPr>
                      <w:rFonts w:hint="eastAsia" w:cs="Times New Roman"/>
                      <w:color w:val="auto"/>
                      <w:sz w:val="18"/>
                      <w:szCs w:val="18"/>
                      <w:lang w:val="en-US" w:eastAsia="zh-CN"/>
                    </w:rPr>
                    <w:t>淮北润土高分子新材料研究院有限公司900吨/年MAK精细功能溶剂建设项目环境影响报告书</w:t>
                  </w:r>
                  <w:r>
                    <w:rPr>
                      <w:rFonts w:hint="eastAsia" w:cs="Times New Roman"/>
                      <w:color w:val="auto"/>
                      <w:sz w:val="18"/>
                      <w:szCs w:val="18"/>
                      <w:lang w:eastAsia="zh-CN"/>
                    </w:rPr>
                    <w:t>》</w:t>
                  </w:r>
                </w:p>
              </w:tc>
              <w:tc>
                <w:tcPr>
                  <w:tcW w:w="950" w:type="pct"/>
                  <w:tcBorders>
                    <w:tl2br w:val="nil"/>
                    <w:tr2bl w:val="nil"/>
                  </w:tcBorders>
                  <w:shd w:val="clear" w:color="auto" w:fill="auto"/>
                  <w:noWrap w:val="0"/>
                  <w:vAlign w:val="center"/>
                </w:tcPr>
                <w:p w14:paraId="6CAA6370">
                  <w:pPr>
                    <w:pStyle w:val="32"/>
                    <w:spacing w:line="240" w:lineRule="auto"/>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sz w:val="18"/>
                      <w:szCs w:val="18"/>
                      <w:lang w:val="en-US" w:eastAsia="zh-CN"/>
                    </w:rPr>
                    <w:t>900吨/年MAK精细功能溶剂</w:t>
                  </w:r>
                </w:p>
              </w:tc>
              <w:tc>
                <w:tcPr>
                  <w:tcW w:w="980" w:type="pct"/>
                  <w:tcBorders>
                    <w:tl2br w:val="nil"/>
                    <w:tr2bl w:val="nil"/>
                  </w:tcBorders>
                  <w:shd w:val="clear" w:color="auto" w:fill="auto"/>
                  <w:noWrap w:val="0"/>
                  <w:vAlign w:val="center"/>
                </w:tcPr>
                <w:p w14:paraId="1E74BAC3">
                  <w:pPr>
                    <w:pStyle w:val="32"/>
                    <w:wordWrap w:val="0"/>
                    <w:spacing w:line="240" w:lineRule="auto"/>
                    <w:ind w:firstLine="0" w:firstLineChars="0"/>
                    <w:rPr>
                      <w:rFonts w:hint="eastAsia" w:ascii="Times New Roman" w:hAnsi="Times New Roman" w:eastAsia="仿宋_GB2312" w:cs="Times New Roman"/>
                      <w:color w:val="auto"/>
                      <w:kern w:val="2"/>
                      <w:sz w:val="18"/>
                      <w:szCs w:val="18"/>
                      <w:lang w:val="en-US" w:eastAsia="zh-CN" w:bidi="ar-SA"/>
                    </w:rPr>
                  </w:pPr>
                  <w:r>
                    <w:rPr>
                      <w:rFonts w:hint="eastAsia" w:cs="Times New Roman"/>
                      <w:color w:val="auto"/>
                      <w:sz w:val="18"/>
                      <w:szCs w:val="18"/>
                      <w:lang w:val="en-US" w:eastAsia="zh-CN"/>
                    </w:rPr>
                    <w:t>2026年2月4日，淮环行[2026]04号</w:t>
                  </w:r>
                </w:p>
              </w:tc>
              <w:tc>
                <w:tcPr>
                  <w:tcW w:w="630" w:type="pct"/>
                  <w:tcBorders>
                    <w:tl2br w:val="nil"/>
                    <w:tr2bl w:val="nil"/>
                  </w:tcBorders>
                  <w:noWrap w:val="0"/>
                  <w:vAlign w:val="center"/>
                </w:tcPr>
                <w:p w14:paraId="4F421EC0">
                  <w:pPr>
                    <w:pStyle w:val="32"/>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暂未开展</w:t>
                  </w:r>
                </w:p>
              </w:tc>
              <w:tc>
                <w:tcPr>
                  <w:tcW w:w="617" w:type="pct"/>
                  <w:vMerge w:val="continue"/>
                  <w:tcBorders>
                    <w:tl2br w:val="nil"/>
                    <w:tr2bl w:val="nil"/>
                  </w:tcBorders>
                  <w:noWrap w:val="0"/>
                  <w:vAlign w:val="center"/>
                </w:tcPr>
                <w:p w14:paraId="579E8B1F">
                  <w:pPr>
                    <w:pStyle w:val="32"/>
                    <w:spacing w:line="240" w:lineRule="auto"/>
                    <w:ind w:firstLine="0" w:firstLineChars="0"/>
                    <w:rPr>
                      <w:rFonts w:hint="default" w:ascii="Times New Roman" w:hAnsi="Times New Roman" w:eastAsia="仿宋_GB2312" w:cs="Times New Roman"/>
                      <w:color w:val="auto"/>
                      <w:sz w:val="18"/>
                      <w:szCs w:val="18"/>
                      <w:lang w:val="en-US" w:eastAsia="zh-CN"/>
                    </w:rPr>
                  </w:pPr>
                </w:p>
              </w:tc>
            </w:tr>
            <w:tr w14:paraId="534B84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1" w:type="pct"/>
                  <w:tcBorders>
                    <w:tl2br w:val="nil"/>
                    <w:tr2bl w:val="nil"/>
                  </w:tcBorders>
                  <w:noWrap w:val="0"/>
                  <w:vAlign w:val="center"/>
                </w:tcPr>
                <w:p w14:paraId="1D1B8468">
                  <w:pPr>
                    <w:pStyle w:val="32"/>
                    <w:wordWrap w:val="0"/>
                    <w:spacing w:line="240" w:lineRule="auto"/>
                    <w:ind w:firstLine="0" w:firstLineChars="0"/>
                    <w:rPr>
                      <w:rFonts w:hint="eastAsia" w:ascii="Times New Roman" w:hAnsi="Times New Roman" w:eastAsia="仿宋_GB2312" w:cs="Times New Roman"/>
                      <w:color w:val="auto"/>
                      <w:sz w:val="18"/>
                      <w:szCs w:val="18"/>
                      <w:lang w:eastAsia="zh-CN"/>
                    </w:rPr>
                  </w:pPr>
                  <w:r>
                    <w:rPr>
                      <w:rFonts w:hint="eastAsia" w:cs="Times New Roman"/>
                      <w:color w:val="auto"/>
                      <w:sz w:val="18"/>
                      <w:szCs w:val="18"/>
                      <w:lang w:eastAsia="zh-CN"/>
                    </w:rPr>
                    <w:t>《</w:t>
                  </w:r>
                  <w:r>
                    <w:rPr>
                      <w:rFonts w:hint="eastAsia" w:cs="Times New Roman"/>
                      <w:color w:val="auto"/>
                      <w:sz w:val="18"/>
                      <w:szCs w:val="18"/>
                      <w:lang w:val="en-US" w:eastAsia="zh-CN"/>
                    </w:rPr>
                    <w:t>淮北润土高分子新材料研究院有限公司年产100t/a间氯过氧苯甲酸中试项目环境影响报告书</w:t>
                  </w:r>
                  <w:r>
                    <w:rPr>
                      <w:rFonts w:hint="eastAsia" w:cs="Times New Roman"/>
                      <w:color w:val="auto"/>
                      <w:sz w:val="18"/>
                      <w:szCs w:val="18"/>
                      <w:lang w:eastAsia="zh-CN"/>
                    </w:rPr>
                    <w:t>》</w:t>
                  </w:r>
                </w:p>
              </w:tc>
              <w:tc>
                <w:tcPr>
                  <w:tcW w:w="950" w:type="pct"/>
                  <w:tcBorders>
                    <w:tl2br w:val="nil"/>
                    <w:tr2bl w:val="nil"/>
                  </w:tcBorders>
                  <w:noWrap w:val="0"/>
                  <w:vAlign w:val="center"/>
                </w:tcPr>
                <w:p w14:paraId="393E5BFF">
                  <w:pPr>
                    <w:pStyle w:val="32"/>
                    <w:spacing w:line="240" w:lineRule="auto"/>
                    <w:ind w:firstLine="0" w:firstLineChars="0"/>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100t/a间氯过氧苯甲酸的中试生产能力</w:t>
                  </w:r>
                </w:p>
              </w:tc>
              <w:tc>
                <w:tcPr>
                  <w:tcW w:w="980" w:type="pct"/>
                  <w:tcBorders>
                    <w:tl2br w:val="nil"/>
                    <w:tr2bl w:val="nil"/>
                  </w:tcBorders>
                  <w:noWrap w:val="0"/>
                  <w:vAlign w:val="center"/>
                </w:tcPr>
                <w:p w14:paraId="69D2AA24">
                  <w:pPr>
                    <w:pStyle w:val="32"/>
                    <w:wordWrap w:val="0"/>
                    <w:spacing w:line="240" w:lineRule="auto"/>
                    <w:ind w:firstLine="0" w:firstLineChars="0"/>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2026年3月18日，淮环行[2026]13号</w:t>
                  </w:r>
                </w:p>
              </w:tc>
              <w:tc>
                <w:tcPr>
                  <w:tcW w:w="630" w:type="pct"/>
                  <w:tcBorders>
                    <w:tl2br w:val="nil"/>
                    <w:tr2bl w:val="nil"/>
                  </w:tcBorders>
                  <w:noWrap w:val="0"/>
                  <w:vAlign w:val="center"/>
                </w:tcPr>
                <w:p w14:paraId="1EEEA6AC">
                  <w:pPr>
                    <w:pStyle w:val="32"/>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暂未开展</w:t>
                  </w:r>
                </w:p>
              </w:tc>
              <w:tc>
                <w:tcPr>
                  <w:tcW w:w="617" w:type="pct"/>
                  <w:vMerge w:val="continue"/>
                  <w:tcBorders>
                    <w:tl2br w:val="nil"/>
                    <w:tr2bl w:val="nil"/>
                  </w:tcBorders>
                  <w:noWrap w:val="0"/>
                  <w:vAlign w:val="center"/>
                </w:tcPr>
                <w:p w14:paraId="69EE6F35">
                  <w:pPr>
                    <w:pStyle w:val="32"/>
                    <w:spacing w:line="240" w:lineRule="auto"/>
                    <w:ind w:firstLine="0" w:firstLineChars="0"/>
                    <w:rPr>
                      <w:rFonts w:hint="default" w:ascii="Times New Roman" w:hAnsi="Times New Roman" w:eastAsia="仿宋_GB2312" w:cs="Times New Roman"/>
                      <w:color w:val="auto"/>
                      <w:sz w:val="18"/>
                      <w:szCs w:val="18"/>
                      <w:lang w:val="en-US" w:eastAsia="zh-CN"/>
                    </w:rPr>
                  </w:pPr>
                </w:p>
              </w:tc>
            </w:tr>
          </w:tbl>
          <w:p w14:paraId="7F8A4286">
            <w:pPr>
              <w:pStyle w:val="32"/>
              <w:ind w:firstLine="480"/>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2.2.2 项目由来</w:t>
            </w:r>
          </w:p>
          <w:p w14:paraId="640C80E8">
            <w:pPr>
              <w:pStyle w:val="32"/>
              <w:ind w:firstLine="480"/>
              <w:rPr>
                <w:rFonts w:hint="default" w:cs="Times New Roman"/>
                <w:color w:val="auto"/>
                <w:lang w:val="en-US" w:eastAsia="zh-CN"/>
              </w:rPr>
            </w:pPr>
            <w:r>
              <w:rPr>
                <w:rFonts w:hint="eastAsia" w:cs="Times New Roman"/>
                <w:color w:val="auto"/>
                <w:lang w:val="en-US" w:eastAsia="zh-CN"/>
              </w:rPr>
              <w:t>《淮北润土高分子新材料研究院有限公司900吨/年MAK精细功能溶剂建设项目》已于2026年2月4日获得环评批复（淮环行[2026]04号），该项目以丙酮（AC）和正丁醛（BD）为原料，经碱催化一步法羟醛缩合、脱水后，再通过</w:t>
            </w:r>
            <w:r>
              <w:rPr>
                <w:rFonts w:hint="eastAsia" w:cs="Times New Roman"/>
                <w:b/>
                <w:bCs/>
                <w:color w:val="auto"/>
                <w:lang w:val="en-US" w:eastAsia="zh-CN"/>
              </w:rPr>
              <w:t>加氢反应</w:t>
            </w:r>
            <w:r>
              <w:rPr>
                <w:rFonts w:hint="eastAsia" w:cs="Times New Roman"/>
                <w:color w:val="auto"/>
                <w:lang w:val="en-US" w:eastAsia="zh-CN"/>
              </w:rPr>
              <w:t>制得产品2-庚酮（MAK），生产过程中需要使用</w:t>
            </w:r>
            <w:r>
              <w:rPr>
                <w:rFonts w:hint="eastAsia" w:cs="Times New Roman"/>
                <w:b/>
                <w:bCs/>
                <w:color w:val="auto"/>
                <w:lang w:val="en-US" w:eastAsia="zh-CN"/>
              </w:rPr>
              <w:t>氢气</w:t>
            </w:r>
            <w:r>
              <w:rPr>
                <w:rFonts w:hint="eastAsia" w:cs="Times New Roman"/>
                <w:color w:val="auto"/>
                <w:lang w:val="en-US" w:eastAsia="zh-CN"/>
              </w:rPr>
              <w:t>作为反应原料。此外，企业后续规划项目同样存在氢气使用需求。</w:t>
            </w:r>
          </w:p>
          <w:p w14:paraId="7E8FF6B3">
            <w:pPr>
              <w:pStyle w:val="32"/>
              <w:ind w:firstLine="480"/>
              <w:rPr>
                <w:rFonts w:hint="eastAsia" w:cs="Times New Roman"/>
                <w:color w:val="auto"/>
                <w:lang w:val="en-US" w:eastAsia="zh-CN"/>
              </w:rPr>
            </w:pPr>
            <w:r>
              <w:rPr>
                <w:rFonts w:hint="eastAsia" w:cs="Times New Roman"/>
                <w:color w:val="auto"/>
                <w:lang w:val="en-US" w:eastAsia="zh-CN"/>
              </w:rPr>
              <w:t>为了保障年产900吨MAK精细功能溶剂项目以及后期引进项目的高质量发展，满足各项目用气需求，企业拟建设氢气输送管道，目前该项目已取得安徽（淮北）新型煤化工合成新材料基地管理委员会关于本项目的备案（项目代码：2601-340664-04-01-417124）。</w:t>
            </w:r>
          </w:p>
          <w:p w14:paraId="063AF794">
            <w:pPr>
              <w:pStyle w:val="32"/>
              <w:ind w:firstLine="480"/>
              <w:rPr>
                <w:rFonts w:hint="default" w:cs="Times New Roman"/>
                <w:b/>
                <w:bCs/>
                <w:color w:val="auto"/>
                <w:lang w:val="en-US" w:eastAsia="zh-CN"/>
              </w:rPr>
            </w:pPr>
            <w:r>
              <w:rPr>
                <w:rFonts w:hint="eastAsia" w:cs="Times New Roman"/>
                <w:b/>
                <w:bCs/>
                <w:color w:val="auto"/>
                <w:lang w:val="en-US" w:eastAsia="zh-CN"/>
              </w:rPr>
              <w:t>2.2.3 项目分析判定情况</w:t>
            </w:r>
          </w:p>
          <w:p w14:paraId="0253A6C5">
            <w:pPr>
              <w:pStyle w:val="32"/>
              <w:ind w:firstLine="480"/>
              <w:rPr>
                <w:rFonts w:hint="default" w:cs="Times New Roman"/>
                <w:b/>
                <w:bCs/>
                <w:color w:val="auto"/>
                <w:lang w:val="en-US" w:eastAsia="zh-CN"/>
              </w:rPr>
            </w:pPr>
            <w:r>
              <w:rPr>
                <w:rFonts w:hint="eastAsia" w:cs="Times New Roman"/>
                <w:b/>
                <w:bCs/>
                <w:color w:val="auto"/>
                <w:lang w:val="en-US" w:eastAsia="zh-CN"/>
              </w:rPr>
              <w:t>2.2.3.1 国民经济行业类别判定</w:t>
            </w:r>
          </w:p>
          <w:p w14:paraId="1AE054E8">
            <w:pPr>
              <w:pStyle w:val="32"/>
              <w:ind w:firstLine="480"/>
              <w:rPr>
                <w:rFonts w:hint="eastAsia" w:cs="Times New Roman"/>
                <w:color w:val="auto"/>
                <w:lang w:val="en-US" w:eastAsia="zh-CN"/>
              </w:rPr>
            </w:pPr>
            <w:r>
              <w:rPr>
                <w:rFonts w:hint="eastAsia" w:cs="Times New Roman"/>
                <w:color w:val="auto"/>
                <w:lang w:val="en-US" w:eastAsia="zh-CN"/>
              </w:rPr>
              <w:t>本项目为氢气管道建设项目，属于《国民经济行业分类（GB/T4754-2017）》的G5720陆地管道运输项目。</w:t>
            </w:r>
          </w:p>
          <w:p w14:paraId="2D3D209A">
            <w:pPr>
              <w:pStyle w:val="32"/>
              <w:ind w:firstLine="480"/>
              <w:rPr>
                <w:rFonts w:hint="default" w:cs="Times New Roman"/>
                <w:b/>
                <w:bCs/>
                <w:color w:val="auto"/>
                <w:lang w:val="en-US" w:eastAsia="zh-CN"/>
              </w:rPr>
            </w:pPr>
            <w:r>
              <w:rPr>
                <w:rFonts w:hint="eastAsia" w:cs="Times New Roman"/>
                <w:b/>
                <w:bCs/>
                <w:color w:val="auto"/>
                <w:lang w:val="en-US" w:eastAsia="zh-CN"/>
              </w:rPr>
              <w:t>2.2.3.2 环境影响评价类别判定</w:t>
            </w:r>
          </w:p>
          <w:p w14:paraId="330871B5">
            <w:pPr>
              <w:pStyle w:val="32"/>
              <w:ind w:firstLine="480"/>
              <w:rPr>
                <w:rFonts w:hint="default" w:cs="Times New Roman"/>
                <w:color w:val="auto"/>
                <w:lang w:val="en-US" w:eastAsia="zh-CN"/>
              </w:rPr>
            </w:pPr>
            <w:r>
              <w:rPr>
                <w:rFonts w:hint="default" w:cs="Times New Roman"/>
                <w:color w:val="auto"/>
                <w:lang w:val="en-US" w:eastAsia="zh-CN"/>
              </w:rPr>
              <w:t>根据《建设项目环境影响评价分类管理名录（2021年版）》，项目属于“五十二、交通运输业、管道运输业”中“14</w:t>
            </w:r>
            <w:r>
              <w:rPr>
                <w:rFonts w:hint="eastAsia" w:cs="Times New Roman"/>
                <w:color w:val="auto"/>
                <w:lang w:val="en-US" w:eastAsia="zh-CN"/>
              </w:rPr>
              <w:t>8危险化学品输送管线（不含企业厂区内管线）</w:t>
            </w:r>
            <w:r>
              <w:rPr>
                <w:rFonts w:hint="default" w:cs="Times New Roman"/>
                <w:color w:val="auto"/>
                <w:lang w:val="en-US" w:eastAsia="zh-CN"/>
              </w:rPr>
              <w:t>”中“其他”类</w:t>
            </w:r>
            <w:r>
              <w:rPr>
                <w:rFonts w:hint="eastAsia" w:cs="Times New Roman"/>
                <w:color w:val="auto"/>
                <w:lang w:val="en-US" w:eastAsia="zh-CN"/>
              </w:rPr>
              <w:t>，</w:t>
            </w:r>
            <w:r>
              <w:rPr>
                <w:rFonts w:hint="default" w:cs="Times New Roman"/>
                <w:color w:val="auto"/>
                <w:lang w:val="en-US" w:eastAsia="zh-CN"/>
              </w:rPr>
              <w:t>应编制报告表。为此，淮北润土高分子新材料研究院有限公司特委托我单位开展项目环境影响评价报告表的编制工作。</w:t>
            </w:r>
          </w:p>
          <w:p w14:paraId="61ACE5A7">
            <w:pPr>
              <w:pStyle w:val="32"/>
              <w:ind w:firstLine="480"/>
              <w:rPr>
                <w:rFonts w:hint="default" w:cs="Times New Roman"/>
                <w:b/>
                <w:bCs/>
                <w:color w:val="auto"/>
                <w:lang w:val="en-US" w:eastAsia="zh-CN"/>
              </w:rPr>
            </w:pPr>
            <w:r>
              <w:rPr>
                <w:rFonts w:hint="eastAsia" w:cs="Times New Roman"/>
                <w:b/>
                <w:bCs/>
                <w:color w:val="auto"/>
                <w:lang w:val="en-US" w:eastAsia="zh-CN"/>
              </w:rPr>
              <w:t>2.2.3.3 排污许可管理</w:t>
            </w:r>
          </w:p>
          <w:p w14:paraId="6F4FDA1E">
            <w:pPr>
              <w:pStyle w:val="32"/>
              <w:ind w:firstLine="480"/>
              <w:rPr>
                <w:rFonts w:hint="default" w:cs="Times New Roman"/>
                <w:color w:val="auto"/>
                <w:lang w:val="en-US" w:eastAsia="zh-CN"/>
              </w:rPr>
            </w:pPr>
            <w:r>
              <w:rPr>
                <w:rFonts w:hint="default" w:cs="Times New Roman"/>
                <w:color w:val="auto"/>
                <w:lang w:val="en-US" w:eastAsia="zh-CN"/>
              </w:rPr>
              <w:t>根据《固定污染源排污许可分类管理名录（2019版）》，G5720陆地管道运输项目不属于名录内行业类别，可不纳入排污许可管理。</w:t>
            </w:r>
          </w:p>
          <w:p w14:paraId="10EDED9F">
            <w:pPr>
              <w:pStyle w:val="32"/>
              <w:ind w:firstLine="482"/>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2.2.4 管廊、管墩内部管道间距符合性分析</w:t>
            </w:r>
          </w:p>
          <w:p w14:paraId="78E89CDD">
            <w:pPr>
              <w:pStyle w:val="32"/>
              <w:ind w:firstLine="482"/>
              <w:rPr>
                <w:rFonts w:hint="default"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本项目管廊、管墩内部管道间距符合性分析如下表所示。</w:t>
            </w:r>
          </w:p>
          <w:p w14:paraId="66D290AE">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1"/>
                <w:szCs w:val="21"/>
                <w:lang w:val="zh-CN"/>
                <w14:textFill>
                  <w14:solidFill>
                    <w14:schemeClr w14:val="tx1"/>
                  </w14:solidFill>
                </w14:textFill>
              </w:rPr>
              <w:t>表</w:t>
            </w:r>
            <w:r>
              <w:rPr>
                <w:rFonts w:hint="eastAsia" w:ascii="Times New Roman" w:hAnsi="Times New Roman" w:eastAsia="仿宋_GB2312"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仿宋_GB2312" w:cs="Times New Roman"/>
                <w:b/>
                <w:bCs/>
                <w:color w:val="000000" w:themeColor="text1"/>
                <w:sz w:val="21"/>
                <w:szCs w:val="21"/>
                <w:lang w:val="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仿宋_GB2312" w:cs="Times New Roman"/>
                <w:b/>
                <w:bCs/>
                <w:color w:val="000000" w:themeColor="text1"/>
                <w:sz w:val="21"/>
                <w:szCs w:val="21"/>
                <w:lang w:val="zh-CN"/>
                <w14:textFill>
                  <w14:solidFill>
                    <w14:schemeClr w14:val="tx1"/>
                  </w14:solidFill>
                </w14:textFill>
              </w:rPr>
              <w:t xml:space="preserve"> </w:t>
            </w:r>
            <w:r>
              <w:rPr>
                <w:rFonts w:hint="eastAsia" w:ascii="Times New Roman" w:hAnsi="Times New Roman" w:eastAsia="仿宋_GB2312" w:cs="Times New Roman"/>
                <w:b/>
                <w:bCs/>
                <w:color w:val="000000" w:themeColor="text1"/>
                <w:sz w:val="21"/>
                <w:szCs w:val="21"/>
                <w:lang w:val="en-US" w:eastAsia="zh-CN"/>
                <w14:textFill>
                  <w14:solidFill>
                    <w14:schemeClr w14:val="tx1"/>
                  </w14:solidFill>
                </w14:textFill>
              </w:rPr>
              <w:t>管廊内部</w:t>
            </w:r>
            <w:r>
              <w:rPr>
                <w:rFonts w:hint="eastAsia" w:ascii="Times New Roman" w:hAnsi="Times New Roman" w:cs="Times New Roman"/>
                <w:b/>
                <w:bCs/>
                <w:color w:val="000000" w:themeColor="text1"/>
                <w:sz w:val="21"/>
                <w:szCs w:val="21"/>
                <w:lang w:val="en-US" w:eastAsia="zh-CN"/>
                <w14:textFill>
                  <w14:solidFill>
                    <w14:schemeClr w14:val="tx1"/>
                  </w14:solidFill>
                </w14:textFill>
              </w:rPr>
              <w:t>管道间距符合性分析</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2"/>
              <w:gridCol w:w="1761"/>
              <w:gridCol w:w="2535"/>
              <w:gridCol w:w="2145"/>
              <w:gridCol w:w="1584"/>
            </w:tblGrid>
            <w:tr w14:paraId="3DC7B9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289" w:type="pct"/>
                  <w:vMerge w:val="restart"/>
                  <w:tcBorders>
                    <w:tl2br w:val="nil"/>
                    <w:tr2bl w:val="nil"/>
                  </w:tcBorders>
                  <w:noWrap w:val="0"/>
                  <w:vAlign w:val="center"/>
                </w:tcPr>
                <w:p w14:paraId="26190E5D">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color w:val="000000" w:themeColor="text1"/>
                      <w:sz w:val="18"/>
                      <w:szCs w:val="18"/>
                      <w14:textFill>
                        <w14:solidFill>
                          <w14:schemeClr w14:val="tx1"/>
                        </w14:solidFill>
                      </w14:textFill>
                    </w:rPr>
                  </w:pPr>
                  <w:r>
                    <w:rPr>
                      <w:rFonts w:hint="default" w:ascii="Times New Roman" w:hAnsi="Times New Roman" w:eastAsia="仿宋_GB2312" w:cs="Times New Roman"/>
                      <w:b/>
                      <w:bCs/>
                      <w:color w:val="000000" w:themeColor="text1"/>
                      <w:sz w:val="18"/>
                      <w:szCs w:val="18"/>
                      <w14:textFill>
                        <w14:solidFill>
                          <w14:schemeClr w14:val="tx1"/>
                        </w14:solidFill>
                      </w14:textFill>
                    </w:rPr>
                    <w:t>序号</w:t>
                  </w:r>
                </w:p>
              </w:tc>
              <w:tc>
                <w:tcPr>
                  <w:tcW w:w="1034" w:type="pct"/>
                  <w:vMerge w:val="restart"/>
                  <w:tcBorders>
                    <w:tl2br w:val="nil"/>
                    <w:tr2bl w:val="nil"/>
                  </w:tcBorders>
                  <w:noWrap w:val="0"/>
                  <w:vAlign w:val="center"/>
                </w:tcPr>
                <w:p w14:paraId="4923ED6A">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color w:val="000000" w:themeColor="text1"/>
                      <w:sz w:val="18"/>
                      <w:szCs w:val="18"/>
                      <w:lang w:val="en-US" w:eastAsia="zh-CN"/>
                      <w14:textFill>
                        <w14:solidFill>
                          <w14:schemeClr w14:val="tx1"/>
                        </w14:solidFill>
                      </w14:textFill>
                    </w:rPr>
                  </w:pPr>
                  <w:r>
                    <w:rPr>
                      <w:rFonts w:hint="default" w:ascii="Times New Roman" w:hAnsi="Times New Roman" w:eastAsia="仿宋_GB2312" w:cs="Times New Roman"/>
                      <w:b/>
                      <w:bCs/>
                      <w:color w:val="000000" w:themeColor="text1"/>
                      <w:sz w:val="18"/>
                      <w:szCs w:val="18"/>
                      <w:lang w:val="en-US" w:eastAsia="zh-CN"/>
                      <w14:textFill>
                        <w14:solidFill>
                          <w14:schemeClr w14:val="tx1"/>
                        </w14:solidFill>
                      </w14:textFill>
                    </w:rPr>
                    <w:t>具体场所</w:t>
                  </w:r>
                </w:p>
              </w:tc>
              <w:tc>
                <w:tcPr>
                  <w:tcW w:w="2747" w:type="pct"/>
                  <w:gridSpan w:val="2"/>
                  <w:tcBorders>
                    <w:tl2br w:val="nil"/>
                    <w:tr2bl w:val="nil"/>
                  </w:tcBorders>
                  <w:noWrap w:val="0"/>
                  <w:vAlign w:val="center"/>
                </w:tcPr>
                <w:p w14:paraId="24A6C228">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color w:val="000000" w:themeColor="text1"/>
                      <w:sz w:val="18"/>
                      <w:szCs w:val="18"/>
                      <w:lang w:val="en-US" w:eastAsia="zh-CN"/>
                      <w14:textFill>
                        <w14:solidFill>
                          <w14:schemeClr w14:val="tx1"/>
                        </w14:solidFill>
                      </w14:textFill>
                    </w:rPr>
                  </w:pPr>
                  <w:r>
                    <w:rPr>
                      <w:rFonts w:hint="default" w:ascii="Times New Roman" w:hAnsi="Times New Roman" w:eastAsia="仿宋_GB2312" w:cs="Times New Roman"/>
                      <w:b/>
                      <w:bCs/>
                      <w:color w:val="000000" w:themeColor="text1"/>
                      <w:sz w:val="18"/>
                      <w:szCs w:val="18"/>
                      <w:lang w:val="en-US" w:eastAsia="zh-CN"/>
                      <w14:textFill>
                        <w14:solidFill>
                          <w14:schemeClr w14:val="tx1"/>
                        </w14:solidFill>
                      </w14:textFill>
                    </w:rPr>
                    <w:t>断面布置</w:t>
                  </w:r>
                </w:p>
              </w:tc>
              <w:tc>
                <w:tcPr>
                  <w:tcW w:w="928" w:type="pct"/>
                  <w:vMerge w:val="restart"/>
                  <w:tcBorders>
                    <w:tl2br w:val="nil"/>
                    <w:tr2bl w:val="nil"/>
                  </w:tcBorders>
                  <w:noWrap w:val="0"/>
                  <w:vAlign w:val="center"/>
                </w:tcPr>
                <w:p w14:paraId="3A4E662A">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color w:val="000000" w:themeColor="text1"/>
                      <w:sz w:val="18"/>
                      <w:szCs w:val="18"/>
                      <w:lang w:val="en-US" w:eastAsia="zh-CN"/>
                      <w14:textFill>
                        <w14:solidFill>
                          <w14:schemeClr w14:val="tx1"/>
                        </w14:solidFill>
                      </w14:textFill>
                    </w:rPr>
                  </w:pPr>
                  <w:r>
                    <w:rPr>
                      <w:rFonts w:hint="default" w:ascii="Times New Roman" w:hAnsi="Times New Roman" w:eastAsia="仿宋_GB2312" w:cs="Times New Roman"/>
                      <w:b/>
                      <w:bCs/>
                      <w:color w:val="000000" w:themeColor="text1"/>
                      <w:sz w:val="18"/>
                      <w:szCs w:val="18"/>
                      <w:lang w:val="en-US" w:eastAsia="zh-CN"/>
                      <w14:textFill>
                        <w14:solidFill>
                          <w14:schemeClr w14:val="tx1"/>
                        </w14:solidFill>
                      </w14:textFill>
                    </w:rPr>
                    <w:t>符合性说明</w:t>
                  </w:r>
                </w:p>
              </w:tc>
            </w:tr>
            <w:tr w14:paraId="4DBA13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89" w:type="pct"/>
                  <w:vMerge w:val="continue"/>
                  <w:tcBorders>
                    <w:tl2br w:val="nil"/>
                    <w:tr2bl w:val="nil"/>
                  </w:tcBorders>
                  <w:noWrap w:val="0"/>
                  <w:vAlign w:val="center"/>
                </w:tcPr>
                <w:p w14:paraId="35A5F55C">
                  <w:pPr>
                    <w:keepNext w:val="0"/>
                    <w:keepLines w:val="0"/>
                    <w:pageBreakBefore w:val="0"/>
                    <w:numPr>
                      <w:ilvl w:val="0"/>
                      <w:numId w:val="0"/>
                    </w:numPr>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color w:val="000000" w:themeColor="text1"/>
                      <w:sz w:val="18"/>
                      <w:szCs w:val="18"/>
                      <w14:textFill>
                        <w14:solidFill>
                          <w14:schemeClr w14:val="tx1"/>
                        </w14:solidFill>
                      </w14:textFill>
                    </w:rPr>
                  </w:pPr>
                </w:p>
              </w:tc>
              <w:tc>
                <w:tcPr>
                  <w:tcW w:w="1034" w:type="pct"/>
                  <w:vMerge w:val="continue"/>
                  <w:tcBorders>
                    <w:tl2br w:val="nil"/>
                    <w:tr2bl w:val="nil"/>
                  </w:tcBorders>
                  <w:noWrap w:val="0"/>
                  <w:vAlign w:val="center"/>
                </w:tcPr>
                <w:p w14:paraId="52145774">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color w:val="000000" w:themeColor="text1"/>
                      <w:sz w:val="18"/>
                      <w:szCs w:val="18"/>
                      <w:lang w:val="en-US" w:eastAsia="zh-CN"/>
                      <w14:textFill>
                        <w14:solidFill>
                          <w14:schemeClr w14:val="tx1"/>
                        </w14:solidFill>
                      </w14:textFill>
                    </w:rPr>
                  </w:pPr>
                </w:p>
              </w:tc>
              <w:tc>
                <w:tcPr>
                  <w:tcW w:w="1488" w:type="pct"/>
                  <w:tcBorders>
                    <w:tl2br w:val="nil"/>
                    <w:tr2bl w:val="nil"/>
                  </w:tcBorders>
                  <w:noWrap w:val="0"/>
                  <w:vAlign w:val="center"/>
                </w:tcPr>
                <w:p w14:paraId="2B66B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000000" w:themeColor="text1"/>
                      <w:spacing w:val="-4"/>
                      <w:sz w:val="18"/>
                      <w:szCs w:val="18"/>
                      <w:lang w:val="en-US" w:eastAsia="zh-CN"/>
                      <w14:textFill>
                        <w14:solidFill>
                          <w14:schemeClr w14:val="tx1"/>
                        </w14:solidFill>
                      </w14:textFill>
                    </w:rPr>
                  </w:pPr>
                  <w:r>
                    <w:rPr>
                      <w:rFonts w:hint="default" w:ascii="Times New Roman" w:hAnsi="Times New Roman" w:eastAsia="仿宋_GB2312" w:cs="Times New Roman"/>
                      <w:b/>
                      <w:bCs/>
                      <w:color w:val="000000" w:themeColor="text1"/>
                      <w:spacing w:val="-4"/>
                      <w:sz w:val="18"/>
                      <w:szCs w:val="18"/>
                      <w:lang w:val="en-US" w:eastAsia="zh-CN"/>
                      <w14:textFill>
                        <w14:solidFill>
                          <w14:schemeClr w14:val="tx1"/>
                        </w14:solidFill>
                      </w14:textFill>
                    </w:rPr>
                    <w:t>一层</w:t>
                  </w:r>
                </w:p>
              </w:tc>
              <w:tc>
                <w:tcPr>
                  <w:tcW w:w="1259" w:type="pct"/>
                  <w:tcBorders>
                    <w:tl2br w:val="nil"/>
                    <w:tr2bl w:val="nil"/>
                  </w:tcBorders>
                  <w:noWrap w:val="0"/>
                  <w:vAlign w:val="center"/>
                </w:tcPr>
                <w:p w14:paraId="2C7D9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000000" w:themeColor="text1"/>
                      <w:spacing w:val="-4"/>
                      <w:sz w:val="18"/>
                      <w:szCs w:val="18"/>
                      <w:lang w:val="en-US" w:eastAsia="zh-CN"/>
                      <w14:textFill>
                        <w14:solidFill>
                          <w14:schemeClr w14:val="tx1"/>
                        </w14:solidFill>
                      </w14:textFill>
                    </w:rPr>
                  </w:pPr>
                  <w:r>
                    <w:rPr>
                      <w:rFonts w:hint="default" w:ascii="Times New Roman" w:hAnsi="Times New Roman" w:eastAsia="仿宋_GB2312" w:cs="Times New Roman"/>
                      <w:b/>
                      <w:bCs/>
                      <w:color w:val="000000" w:themeColor="text1"/>
                      <w:spacing w:val="-4"/>
                      <w:sz w:val="18"/>
                      <w:szCs w:val="18"/>
                      <w:lang w:val="en-US" w:eastAsia="zh-CN"/>
                      <w14:textFill>
                        <w14:solidFill>
                          <w14:schemeClr w14:val="tx1"/>
                        </w14:solidFill>
                      </w14:textFill>
                    </w:rPr>
                    <w:t>二层</w:t>
                  </w:r>
                </w:p>
              </w:tc>
              <w:tc>
                <w:tcPr>
                  <w:tcW w:w="928" w:type="pct"/>
                  <w:vMerge w:val="continue"/>
                  <w:tcBorders>
                    <w:tl2br w:val="nil"/>
                    <w:tr2bl w:val="nil"/>
                  </w:tcBorders>
                  <w:noWrap w:val="0"/>
                  <w:vAlign w:val="center"/>
                </w:tcPr>
                <w:p w14:paraId="6E2E54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000000" w:themeColor="text1"/>
                      <w:spacing w:val="-4"/>
                      <w:sz w:val="18"/>
                      <w:szCs w:val="18"/>
                      <w:lang w:val="en-US" w:eastAsia="zh-CN"/>
                      <w14:textFill>
                        <w14:solidFill>
                          <w14:schemeClr w14:val="tx1"/>
                        </w14:solidFill>
                      </w14:textFill>
                    </w:rPr>
                  </w:pPr>
                </w:p>
              </w:tc>
            </w:tr>
            <w:tr w14:paraId="316237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289" w:type="pct"/>
                  <w:tcBorders>
                    <w:tl2br w:val="nil"/>
                    <w:tr2bl w:val="nil"/>
                  </w:tcBorders>
                  <w:noWrap w:val="0"/>
                  <w:vAlign w:val="center"/>
                </w:tcPr>
                <w:p w14:paraId="18985A85">
                  <w:pPr>
                    <w:keepNext w:val="0"/>
                    <w:keepLines w:val="0"/>
                    <w:pageBreakBefore w:val="0"/>
                    <w:numPr>
                      <w:ilvl w:val="0"/>
                      <w:numId w:val="0"/>
                    </w:numPr>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color w:val="000000" w:themeColor="text1"/>
                      <w:sz w:val="18"/>
                      <w:szCs w:val="18"/>
                      <w:lang w:val="en-US" w:eastAsia="zh-CN"/>
                      <w14:textFill>
                        <w14:solidFill>
                          <w14:schemeClr w14:val="tx1"/>
                        </w14:solidFill>
                      </w14:textFill>
                    </w:rPr>
                  </w:pPr>
                  <w:r>
                    <w:rPr>
                      <w:rFonts w:hint="eastAsia" w:cs="Times New Roman"/>
                      <w:b/>
                      <w:bCs/>
                      <w:color w:val="000000" w:themeColor="text1"/>
                      <w:sz w:val="18"/>
                      <w:szCs w:val="18"/>
                      <w:lang w:val="en-US" w:eastAsia="zh-CN"/>
                      <w14:textFill>
                        <w14:solidFill>
                          <w14:schemeClr w14:val="tx1"/>
                        </w14:solidFill>
                      </w14:textFill>
                    </w:rPr>
                    <w:t>1</w:t>
                  </w:r>
                </w:p>
              </w:tc>
              <w:tc>
                <w:tcPr>
                  <w:tcW w:w="1034" w:type="pct"/>
                  <w:tcBorders>
                    <w:tl2br w:val="nil"/>
                    <w:tr2bl w:val="nil"/>
                  </w:tcBorders>
                  <w:noWrap w:val="0"/>
                  <w:vAlign w:val="center"/>
                </w:tcPr>
                <w:p w14:paraId="05F83158">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color w:val="000000" w:themeColor="text1"/>
                      <w:sz w:val="18"/>
                      <w:szCs w:val="18"/>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18"/>
                      <w:szCs w:val="18"/>
                      <w:lang w:val="en-US" w:eastAsia="zh-CN"/>
                      <w14:textFill>
                        <w14:solidFill>
                          <w14:schemeClr w14:val="tx1"/>
                        </w14:solidFill>
                      </w14:textFill>
                    </w:rPr>
                    <w:t>创新路跨路管廊</w:t>
                  </w:r>
                </w:p>
                <w:p w14:paraId="327062B8">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color w:val="000000" w:themeColor="text1"/>
                      <w:sz w:val="18"/>
                      <w:szCs w:val="18"/>
                      <w:lang w:val="en-US" w:eastAsia="zh-CN"/>
                      <w14:textFill>
                        <w14:solidFill>
                          <w14:schemeClr w14:val="tx1"/>
                        </w14:solidFill>
                      </w14:textFill>
                    </w:rPr>
                  </w:pPr>
                  <w:r>
                    <w:rPr>
                      <w:rFonts w:hint="eastAsia" w:cs="Times New Roman"/>
                      <w:b w:val="0"/>
                      <w:bCs/>
                      <w:color w:val="000000" w:themeColor="text1"/>
                      <w:sz w:val="18"/>
                      <w:szCs w:val="18"/>
                      <w:lang w:val="en-US" w:eastAsia="zh-CN"/>
                      <w14:textFill>
                        <w14:solidFill>
                          <w14:schemeClr w14:val="tx1"/>
                        </w14:solidFill>
                      </w14:textFill>
                    </w:rPr>
                    <w:t>（AB段，详见下图）</w:t>
                  </w:r>
                </w:p>
              </w:tc>
              <w:tc>
                <w:tcPr>
                  <w:tcW w:w="1488" w:type="pct"/>
                  <w:tcBorders>
                    <w:tl2br w:val="nil"/>
                    <w:tr2bl w:val="nil"/>
                  </w:tcBorders>
                  <w:noWrap w:val="0"/>
                  <w:vAlign w:val="center"/>
                </w:tcPr>
                <w:p w14:paraId="20631DA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仿宋_GB2312" w:cs="Times New Roman"/>
                      <w:b/>
                      <w:color w:val="000000" w:themeColor="text1"/>
                      <w:kern w:val="2"/>
                      <w:sz w:val="18"/>
                      <w:szCs w:val="18"/>
                      <w:lang w:val="en-US" w:eastAsia="zh-CN" w:bidi="ar-SA"/>
                      <w14:textFill>
                        <w14:solidFill>
                          <w14:schemeClr w14:val="tx1"/>
                        </w14:solidFill>
                      </w14:textFill>
                    </w:rPr>
                    <w:t>本项目氢气管道</w:t>
                  </w:r>
                  <w:r>
                    <w:rPr>
                      <w:rFonts w:hint="default" w:ascii="Times New Roman" w:hAnsi="Times New Roman" w:eastAsia="仿宋_GB2312" w:cs="Times New Roman"/>
                      <w:b/>
                      <w:bCs w:val="0"/>
                      <w:color w:val="000000" w:themeColor="text1"/>
                      <w:kern w:val="2"/>
                      <w:sz w:val="18"/>
                      <w:szCs w:val="18"/>
                      <w:lang w:val="en-US" w:eastAsia="zh-CN" w:bidi="ar-SA"/>
                      <w14:textFill>
                        <w14:solidFill>
                          <w14:schemeClr w14:val="tx1"/>
                        </w14:solidFill>
                      </w14:textFill>
                    </w:rPr>
                    <w:t>DN</w:t>
                  </w:r>
                  <w:r>
                    <w:rPr>
                      <w:rFonts w:hint="eastAsia" w:cs="Times New Roman"/>
                      <w:b/>
                      <w:bCs w:val="0"/>
                      <w:color w:val="000000" w:themeColor="text1"/>
                      <w:kern w:val="2"/>
                      <w:sz w:val="18"/>
                      <w:szCs w:val="18"/>
                      <w:lang w:val="en-US" w:eastAsia="zh-CN" w:bidi="ar-SA"/>
                      <w14:textFill>
                        <w14:solidFill>
                          <w14:schemeClr w14:val="tx1"/>
                        </w14:solidFill>
                      </w14:textFill>
                    </w:rPr>
                    <w:t>5</w:t>
                  </w:r>
                  <w:r>
                    <w:rPr>
                      <w:rFonts w:hint="default" w:ascii="Times New Roman" w:hAnsi="Times New Roman" w:eastAsia="仿宋_GB2312" w:cs="Times New Roman"/>
                      <w:b/>
                      <w:bCs w:val="0"/>
                      <w:color w:val="000000" w:themeColor="text1"/>
                      <w:kern w:val="2"/>
                      <w:sz w:val="18"/>
                      <w:szCs w:val="18"/>
                      <w:lang w:val="en-US" w:eastAsia="zh-CN" w:bidi="ar-SA"/>
                      <w14:textFill>
                        <w14:solidFill>
                          <w14:schemeClr w14:val="tx1"/>
                        </w14:solidFill>
                      </w14:textFill>
                    </w:rPr>
                    <w:t>0</w:t>
                  </w:r>
                </w:p>
                <w:p w14:paraId="4A12289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润土公司污水管道</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DN</w:t>
                  </w:r>
                  <w:r>
                    <w:rPr>
                      <w:rFonts w:hint="eastAsia" w:cs="Times New Roman"/>
                      <w:b w:val="0"/>
                      <w:bCs/>
                      <w:color w:val="000000" w:themeColor="text1"/>
                      <w:kern w:val="2"/>
                      <w:sz w:val="18"/>
                      <w:szCs w:val="18"/>
                      <w:lang w:val="en-US" w:eastAsia="zh-CN" w:bidi="ar-SA"/>
                      <w14:textFill>
                        <w14:solidFill>
                          <w14:schemeClr w14:val="tx1"/>
                        </w14:solidFill>
                      </w14:textFill>
                    </w:rPr>
                    <w:t>10</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0</w:t>
                  </w:r>
                </w:p>
                <w:p w14:paraId="2C94BD5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润土公司蒸汽</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管道DN1</w:t>
                  </w:r>
                  <w:r>
                    <w:rPr>
                      <w:rFonts w:hint="eastAsia" w:cs="Times New Roman"/>
                      <w:b w:val="0"/>
                      <w:bCs/>
                      <w:color w:val="000000" w:themeColor="text1"/>
                      <w:kern w:val="2"/>
                      <w:sz w:val="18"/>
                      <w:szCs w:val="18"/>
                      <w:lang w:val="en-US" w:eastAsia="zh-CN" w:bidi="ar-SA"/>
                      <w14:textFill>
                        <w14:solidFill>
                          <w14:schemeClr w14:val="tx1"/>
                        </w14:solidFill>
                      </w14:textFill>
                    </w:rPr>
                    <w:t>25</w:t>
                  </w:r>
                </w:p>
                <w:p w14:paraId="22A75D9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color w:val="000000" w:themeColor="text1"/>
                      <w:spacing w:val="-4"/>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晶诚生物氮气</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管道DN</w:t>
                  </w:r>
                  <w:r>
                    <w:rPr>
                      <w:rFonts w:hint="eastAsia" w:cs="Times New Roman"/>
                      <w:b w:val="0"/>
                      <w:bCs/>
                      <w:color w:val="000000" w:themeColor="text1"/>
                      <w:kern w:val="2"/>
                      <w:sz w:val="18"/>
                      <w:szCs w:val="18"/>
                      <w:lang w:val="en-US" w:eastAsia="zh-CN" w:bidi="ar-SA"/>
                      <w14:textFill>
                        <w14:solidFill>
                          <w14:schemeClr w14:val="tx1"/>
                        </w14:solidFill>
                      </w14:textFill>
                    </w:rPr>
                    <w:t>8</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0</w:t>
                  </w:r>
                </w:p>
              </w:tc>
              <w:tc>
                <w:tcPr>
                  <w:tcW w:w="1259" w:type="pct"/>
                  <w:tcBorders>
                    <w:tl2br w:val="nil"/>
                    <w:tr2bl w:val="nil"/>
                  </w:tcBorders>
                  <w:noWrap w:val="0"/>
                  <w:vAlign w:val="center"/>
                </w:tcPr>
                <w:p w14:paraId="147DA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000000" w:themeColor="text1"/>
                      <w:spacing w:val="-4"/>
                      <w:sz w:val="18"/>
                      <w:szCs w:val="18"/>
                      <w:lang w:val="en-US" w:eastAsia="zh-CN"/>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晶诚生物污水</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管道DN</w:t>
                  </w:r>
                  <w:r>
                    <w:rPr>
                      <w:rFonts w:hint="eastAsia" w:cs="Times New Roman"/>
                      <w:b w:val="0"/>
                      <w:bCs/>
                      <w:color w:val="000000" w:themeColor="text1"/>
                      <w:kern w:val="2"/>
                      <w:sz w:val="18"/>
                      <w:szCs w:val="18"/>
                      <w:lang w:val="en-US" w:eastAsia="zh-CN" w:bidi="ar-SA"/>
                      <w14:textFill>
                        <w14:solidFill>
                          <w14:schemeClr w14:val="tx1"/>
                        </w14:solidFill>
                      </w14:textFill>
                    </w:rPr>
                    <w:t>10</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0</w:t>
                  </w:r>
                </w:p>
              </w:tc>
              <w:tc>
                <w:tcPr>
                  <w:tcW w:w="928" w:type="pct"/>
                  <w:tcBorders>
                    <w:tl2br w:val="nil"/>
                    <w:tr2bl w:val="nil"/>
                  </w:tcBorders>
                  <w:noWrap w:val="0"/>
                  <w:vAlign w:val="center"/>
                </w:tcPr>
                <w:p w14:paraId="2A040E1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bCs/>
                      <w:color w:val="000000" w:themeColor="text1"/>
                      <w:spacing w:val="-4"/>
                      <w:sz w:val="18"/>
                      <w:szCs w:val="18"/>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t>管道之间净距&gt;50mm，管道与立柱壁净距&gt;100mm，氢气管道位于最外侧并在上层。</w:t>
                  </w:r>
                </w:p>
              </w:tc>
            </w:tr>
            <w:tr w14:paraId="77F7A7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289" w:type="pct"/>
                  <w:tcBorders>
                    <w:tl2br w:val="nil"/>
                    <w:tr2bl w:val="nil"/>
                  </w:tcBorders>
                  <w:noWrap w:val="0"/>
                  <w:vAlign w:val="center"/>
                </w:tcPr>
                <w:p w14:paraId="61273A80">
                  <w:pPr>
                    <w:keepNext w:val="0"/>
                    <w:keepLines w:val="0"/>
                    <w:pageBreakBefore w:val="0"/>
                    <w:numPr>
                      <w:ilvl w:val="0"/>
                      <w:numId w:val="0"/>
                    </w:numPr>
                    <w:suppressLineNumbers w:val="0"/>
                    <w:kinsoku/>
                    <w:bidi w:val="0"/>
                    <w:spacing w:before="0" w:beforeAutospacing="0" w:after="0" w:afterAutospacing="0" w:line="240" w:lineRule="auto"/>
                    <w:ind w:left="0" w:right="0" w:firstLine="0" w:firstLineChars="0"/>
                    <w:jc w:val="center"/>
                    <w:rPr>
                      <w:rFonts w:hint="eastAsia" w:cs="Times New Roman"/>
                      <w:b/>
                      <w:bCs/>
                      <w:color w:val="000000" w:themeColor="text1"/>
                      <w:sz w:val="18"/>
                      <w:szCs w:val="18"/>
                      <w:lang w:val="en-US" w:eastAsia="zh-CN"/>
                      <w14:textFill>
                        <w14:solidFill>
                          <w14:schemeClr w14:val="tx1"/>
                        </w14:solidFill>
                      </w14:textFill>
                    </w:rPr>
                  </w:pPr>
                </w:p>
              </w:tc>
              <w:tc>
                <w:tcPr>
                  <w:tcW w:w="1034" w:type="pct"/>
                  <w:tcBorders>
                    <w:tl2br w:val="nil"/>
                    <w:tr2bl w:val="nil"/>
                  </w:tcBorders>
                  <w:noWrap w:val="0"/>
                  <w:vAlign w:val="center"/>
                </w:tcPr>
                <w:p w14:paraId="0D7A5A64">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eastAsia" w:cs="Times New Roman"/>
                      <w:b w:val="0"/>
                      <w:bCs/>
                      <w:color w:val="000000" w:themeColor="text1"/>
                      <w:sz w:val="18"/>
                      <w:szCs w:val="18"/>
                      <w:lang w:val="en-US" w:eastAsia="zh-CN"/>
                      <w14:textFill>
                        <w14:solidFill>
                          <w14:schemeClr w14:val="tx1"/>
                        </w14:solidFill>
                      </w14:textFill>
                    </w:rPr>
                  </w:pPr>
                  <w:r>
                    <w:rPr>
                      <w:rFonts w:hint="eastAsia" w:cs="Times New Roman"/>
                      <w:b w:val="0"/>
                      <w:bCs/>
                      <w:color w:val="000000" w:themeColor="text1"/>
                      <w:sz w:val="18"/>
                      <w:szCs w:val="18"/>
                      <w:lang w:val="en-US" w:eastAsia="zh-CN"/>
                      <w14:textFill>
                        <w14:solidFill>
                          <w14:schemeClr w14:val="tx1"/>
                        </w14:solidFill>
                      </w14:textFill>
                    </w:rPr>
                    <w:t>管墩</w:t>
                  </w:r>
                </w:p>
                <w:p w14:paraId="6B315561">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color w:val="000000" w:themeColor="text1"/>
                      <w:sz w:val="18"/>
                      <w:szCs w:val="18"/>
                      <w:lang w:val="en-US" w:eastAsia="zh-CN"/>
                      <w14:textFill>
                        <w14:solidFill>
                          <w14:schemeClr w14:val="tx1"/>
                        </w14:solidFill>
                      </w14:textFill>
                    </w:rPr>
                  </w:pPr>
                  <w:r>
                    <w:rPr>
                      <w:rFonts w:hint="eastAsia" w:cs="Times New Roman"/>
                      <w:b w:val="0"/>
                      <w:bCs/>
                      <w:color w:val="000000" w:themeColor="text1"/>
                      <w:sz w:val="18"/>
                      <w:szCs w:val="18"/>
                      <w:lang w:val="en-US" w:eastAsia="zh-CN"/>
                      <w14:textFill>
                        <w14:solidFill>
                          <w14:schemeClr w14:val="tx1"/>
                        </w14:solidFill>
                      </w14:textFill>
                    </w:rPr>
                    <w:t>（BC段，详见下图）</w:t>
                  </w:r>
                </w:p>
              </w:tc>
              <w:tc>
                <w:tcPr>
                  <w:tcW w:w="1488" w:type="pct"/>
                  <w:tcBorders>
                    <w:tl2br w:val="nil"/>
                    <w:tr2bl w:val="nil"/>
                  </w:tcBorders>
                  <w:noWrap w:val="0"/>
                  <w:vAlign w:val="center"/>
                </w:tcPr>
                <w:p w14:paraId="6A8098A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仿宋_GB2312" w:cs="Times New Roman"/>
                      <w:b/>
                      <w:color w:val="000000" w:themeColor="text1"/>
                      <w:kern w:val="2"/>
                      <w:sz w:val="18"/>
                      <w:szCs w:val="18"/>
                      <w:lang w:val="en-US" w:eastAsia="zh-CN" w:bidi="ar-SA"/>
                      <w14:textFill>
                        <w14:solidFill>
                          <w14:schemeClr w14:val="tx1"/>
                        </w14:solidFill>
                      </w14:textFill>
                    </w:rPr>
                    <w:t>本项目氢气管道</w:t>
                  </w:r>
                  <w:r>
                    <w:rPr>
                      <w:rFonts w:hint="default" w:ascii="Times New Roman" w:hAnsi="Times New Roman" w:eastAsia="仿宋_GB2312" w:cs="Times New Roman"/>
                      <w:b/>
                      <w:bCs w:val="0"/>
                      <w:color w:val="000000" w:themeColor="text1"/>
                      <w:kern w:val="2"/>
                      <w:sz w:val="18"/>
                      <w:szCs w:val="18"/>
                      <w:lang w:val="en-US" w:eastAsia="zh-CN" w:bidi="ar-SA"/>
                      <w14:textFill>
                        <w14:solidFill>
                          <w14:schemeClr w14:val="tx1"/>
                        </w14:solidFill>
                      </w14:textFill>
                    </w:rPr>
                    <w:t>DN</w:t>
                  </w:r>
                  <w:r>
                    <w:rPr>
                      <w:rFonts w:hint="eastAsia" w:cs="Times New Roman"/>
                      <w:b/>
                      <w:bCs w:val="0"/>
                      <w:color w:val="000000" w:themeColor="text1"/>
                      <w:kern w:val="2"/>
                      <w:sz w:val="18"/>
                      <w:szCs w:val="18"/>
                      <w:lang w:val="en-US" w:eastAsia="zh-CN" w:bidi="ar-SA"/>
                      <w14:textFill>
                        <w14:solidFill>
                          <w14:schemeClr w14:val="tx1"/>
                        </w14:solidFill>
                      </w14:textFill>
                    </w:rPr>
                    <w:t>5</w:t>
                  </w:r>
                  <w:r>
                    <w:rPr>
                      <w:rFonts w:hint="default" w:ascii="Times New Roman" w:hAnsi="Times New Roman" w:eastAsia="仿宋_GB2312" w:cs="Times New Roman"/>
                      <w:b/>
                      <w:bCs w:val="0"/>
                      <w:color w:val="000000" w:themeColor="text1"/>
                      <w:kern w:val="2"/>
                      <w:sz w:val="18"/>
                      <w:szCs w:val="18"/>
                      <w:lang w:val="en-US" w:eastAsia="zh-CN" w:bidi="ar-SA"/>
                      <w14:textFill>
                        <w14:solidFill>
                          <w14:schemeClr w14:val="tx1"/>
                        </w14:solidFill>
                      </w14:textFill>
                    </w:rPr>
                    <w:t>0</w:t>
                  </w:r>
                </w:p>
                <w:p w14:paraId="5FD7145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润土公司污水管道</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DN</w:t>
                  </w:r>
                  <w:r>
                    <w:rPr>
                      <w:rFonts w:hint="eastAsia" w:cs="Times New Roman"/>
                      <w:b w:val="0"/>
                      <w:bCs/>
                      <w:color w:val="000000" w:themeColor="text1"/>
                      <w:kern w:val="2"/>
                      <w:sz w:val="18"/>
                      <w:szCs w:val="18"/>
                      <w:lang w:val="en-US" w:eastAsia="zh-CN" w:bidi="ar-SA"/>
                      <w14:textFill>
                        <w14:solidFill>
                          <w14:schemeClr w14:val="tx1"/>
                        </w14:solidFill>
                      </w14:textFill>
                    </w:rPr>
                    <w:t>10</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0</w:t>
                  </w:r>
                </w:p>
                <w:p w14:paraId="6234096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润土公司蒸汽</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管道DN1</w:t>
                  </w:r>
                  <w:r>
                    <w:rPr>
                      <w:rFonts w:hint="eastAsia" w:cs="Times New Roman"/>
                      <w:b w:val="0"/>
                      <w:bCs/>
                      <w:color w:val="000000" w:themeColor="text1"/>
                      <w:kern w:val="2"/>
                      <w:sz w:val="18"/>
                      <w:szCs w:val="18"/>
                      <w:lang w:val="en-US" w:eastAsia="zh-CN" w:bidi="ar-SA"/>
                      <w14:textFill>
                        <w14:solidFill>
                          <w14:schemeClr w14:val="tx1"/>
                        </w14:solidFill>
                      </w14:textFill>
                    </w:rPr>
                    <w:t>25</w:t>
                  </w:r>
                </w:p>
              </w:tc>
              <w:tc>
                <w:tcPr>
                  <w:tcW w:w="1259" w:type="pct"/>
                  <w:tcBorders>
                    <w:tl2br w:val="nil"/>
                    <w:tr2bl w:val="nil"/>
                  </w:tcBorders>
                  <w:noWrap w:val="0"/>
                  <w:vAlign w:val="center"/>
                </w:tcPr>
                <w:p w14:paraId="7C8AB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w:t>
                  </w:r>
                </w:p>
              </w:tc>
              <w:tc>
                <w:tcPr>
                  <w:tcW w:w="928" w:type="pct"/>
                  <w:tcBorders>
                    <w:tl2br w:val="nil"/>
                    <w:tr2bl w:val="nil"/>
                  </w:tcBorders>
                  <w:noWrap w:val="0"/>
                  <w:vAlign w:val="center"/>
                </w:tcPr>
                <w:p w14:paraId="0E09EF8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t>管道之间净距&gt;50mm，管道与立柱壁净距&gt;100mm，氢气管道位于最外侧并在上层。</w:t>
                  </w:r>
                </w:p>
              </w:tc>
            </w:tr>
            <w:tr w14:paraId="1DD28A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289" w:type="pct"/>
                  <w:tcBorders>
                    <w:tl2br w:val="nil"/>
                    <w:tr2bl w:val="nil"/>
                  </w:tcBorders>
                  <w:noWrap w:val="0"/>
                  <w:vAlign w:val="center"/>
                </w:tcPr>
                <w:p w14:paraId="5BD8A0ED">
                  <w:pPr>
                    <w:keepNext w:val="0"/>
                    <w:keepLines w:val="0"/>
                    <w:pageBreakBefore w:val="0"/>
                    <w:numPr>
                      <w:ilvl w:val="0"/>
                      <w:numId w:val="0"/>
                    </w:numPr>
                    <w:suppressLineNumbers w:val="0"/>
                    <w:kinsoku/>
                    <w:bidi w:val="0"/>
                    <w:spacing w:before="0" w:beforeAutospacing="0" w:after="0" w:afterAutospacing="0" w:line="240" w:lineRule="auto"/>
                    <w:ind w:left="0" w:right="0" w:firstLine="0" w:firstLineChars="0"/>
                    <w:jc w:val="center"/>
                    <w:rPr>
                      <w:rFonts w:hint="eastAsia" w:cs="Times New Roman"/>
                      <w:b/>
                      <w:bCs/>
                      <w:color w:val="000000" w:themeColor="text1"/>
                      <w:sz w:val="18"/>
                      <w:szCs w:val="18"/>
                      <w:lang w:val="en-US" w:eastAsia="zh-CN"/>
                      <w14:textFill>
                        <w14:solidFill>
                          <w14:schemeClr w14:val="tx1"/>
                        </w14:solidFill>
                      </w14:textFill>
                    </w:rPr>
                  </w:pPr>
                </w:p>
              </w:tc>
              <w:tc>
                <w:tcPr>
                  <w:tcW w:w="1034" w:type="pct"/>
                  <w:tcBorders>
                    <w:tl2br w:val="nil"/>
                    <w:tr2bl w:val="nil"/>
                  </w:tcBorders>
                  <w:noWrap w:val="0"/>
                  <w:vAlign w:val="center"/>
                </w:tcPr>
                <w:p w14:paraId="6C3FC21D">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eastAsia" w:cs="Times New Roman"/>
                      <w:b w:val="0"/>
                      <w:bCs/>
                      <w:color w:val="000000" w:themeColor="text1"/>
                      <w:sz w:val="18"/>
                      <w:szCs w:val="18"/>
                      <w:lang w:val="en-US" w:eastAsia="zh-CN"/>
                      <w14:textFill>
                        <w14:solidFill>
                          <w14:schemeClr w14:val="tx1"/>
                        </w14:solidFill>
                      </w14:textFill>
                    </w:rPr>
                  </w:pPr>
                  <w:r>
                    <w:rPr>
                      <w:rFonts w:hint="eastAsia" w:cs="Times New Roman"/>
                      <w:b w:val="0"/>
                      <w:bCs/>
                      <w:color w:val="000000" w:themeColor="text1"/>
                      <w:sz w:val="18"/>
                      <w:szCs w:val="18"/>
                      <w:lang w:val="en-US" w:eastAsia="zh-CN"/>
                      <w14:textFill>
                        <w14:solidFill>
                          <w14:schemeClr w14:val="tx1"/>
                        </w14:solidFill>
                      </w14:textFill>
                    </w:rPr>
                    <w:t>管墩</w:t>
                  </w:r>
                </w:p>
                <w:p w14:paraId="63C5B453">
                  <w:pPr>
                    <w:keepNext w:val="0"/>
                    <w:keepLines w:val="0"/>
                    <w:pageBreakBefore w:val="0"/>
                    <w:suppressLineNumbers w:val="0"/>
                    <w:kinsoku/>
                    <w:bidi w:val="0"/>
                    <w:spacing w:before="0" w:beforeAutospacing="0" w:after="0" w:afterAutospacing="0" w:line="240" w:lineRule="auto"/>
                    <w:ind w:left="0" w:right="0" w:firstLine="0" w:firstLineChars="0"/>
                    <w:jc w:val="center"/>
                    <w:rPr>
                      <w:rFonts w:hint="eastAsia" w:cs="Times New Roman"/>
                      <w:b w:val="0"/>
                      <w:bCs/>
                      <w:color w:val="000000" w:themeColor="text1"/>
                      <w:sz w:val="18"/>
                      <w:szCs w:val="18"/>
                      <w:lang w:val="en-US" w:eastAsia="zh-CN"/>
                      <w14:textFill>
                        <w14:solidFill>
                          <w14:schemeClr w14:val="tx1"/>
                        </w14:solidFill>
                      </w14:textFill>
                    </w:rPr>
                  </w:pPr>
                  <w:r>
                    <w:rPr>
                      <w:rFonts w:hint="eastAsia" w:cs="Times New Roman"/>
                      <w:b w:val="0"/>
                      <w:bCs/>
                      <w:color w:val="000000" w:themeColor="text1"/>
                      <w:sz w:val="18"/>
                      <w:szCs w:val="18"/>
                      <w:lang w:val="en-US" w:eastAsia="zh-CN"/>
                      <w14:textFill>
                        <w14:solidFill>
                          <w14:schemeClr w14:val="tx1"/>
                        </w14:solidFill>
                      </w14:textFill>
                    </w:rPr>
                    <w:t>（CD段，详见下图）</w:t>
                  </w:r>
                </w:p>
              </w:tc>
              <w:tc>
                <w:tcPr>
                  <w:tcW w:w="1488" w:type="pct"/>
                  <w:tcBorders>
                    <w:tl2br w:val="nil"/>
                    <w:tr2bl w:val="nil"/>
                  </w:tcBorders>
                  <w:noWrap w:val="0"/>
                  <w:vAlign w:val="center"/>
                </w:tcPr>
                <w:p w14:paraId="7AB4931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仿宋_GB2312" w:cs="Times New Roman"/>
                      <w:b/>
                      <w:color w:val="000000" w:themeColor="text1"/>
                      <w:kern w:val="2"/>
                      <w:sz w:val="18"/>
                      <w:szCs w:val="18"/>
                      <w:lang w:val="en-US" w:eastAsia="zh-CN" w:bidi="ar-SA"/>
                      <w14:textFill>
                        <w14:solidFill>
                          <w14:schemeClr w14:val="tx1"/>
                        </w14:solidFill>
                      </w14:textFill>
                    </w:rPr>
                    <w:t>本项目氢气管道</w:t>
                  </w:r>
                  <w:r>
                    <w:rPr>
                      <w:rFonts w:hint="default" w:ascii="Times New Roman" w:hAnsi="Times New Roman" w:eastAsia="仿宋_GB2312" w:cs="Times New Roman"/>
                      <w:b/>
                      <w:bCs w:val="0"/>
                      <w:color w:val="000000" w:themeColor="text1"/>
                      <w:kern w:val="2"/>
                      <w:sz w:val="18"/>
                      <w:szCs w:val="18"/>
                      <w:lang w:val="en-US" w:eastAsia="zh-CN" w:bidi="ar-SA"/>
                      <w14:textFill>
                        <w14:solidFill>
                          <w14:schemeClr w14:val="tx1"/>
                        </w14:solidFill>
                      </w14:textFill>
                    </w:rPr>
                    <w:t>DN</w:t>
                  </w:r>
                  <w:r>
                    <w:rPr>
                      <w:rFonts w:hint="eastAsia" w:cs="Times New Roman"/>
                      <w:b/>
                      <w:bCs w:val="0"/>
                      <w:color w:val="000000" w:themeColor="text1"/>
                      <w:kern w:val="2"/>
                      <w:sz w:val="18"/>
                      <w:szCs w:val="18"/>
                      <w:lang w:val="en-US" w:eastAsia="zh-CN" w:bidi="ar-SA"/>
                      <w14:textFill>
                        <w14:solidFill>
                          <w14:schemeClr w14:val="tx1"/>
                        </w14:solidFill>
                      </w14:textFill>
                    </w:rPr>
                    <w:t>5</w:t>
                  </w:r>
                  <w:r>
                    <w:rPr>
                      <w:rFonts w:hint="default" w:ascii="Times New Roman" w:hAnsi="Times New Roman" w:eastAsia="仿宋_GB2312" w:cs="Times New Roman"/>
                      <w:b/>
                      <w:bCs w:val="0"/>
                      <w:color w:val="000000" w:themeColor="text1"/>
                      <w:kern w:val="2"/>
                      <w:sz w:val="18"/>
                      <w:szCs w:val="18"/>
                      <w:lang w:val="en-US" w:eastAsia="zh-CN" w:bidi="ar-SA"/>
                      <w14:textFill>
                        <w14:solidFill>
                          <w14:schemeClr w14:val="tx1"/>
                        </w14:solidFill>
                      </w14:textFill>
                    </w:rPr>
                    <w:t>0</w:t>
                  </w:r>
                </w:p>
                <w:p w14:paraId="6347B06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润土公司污水管道</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DN</w:t>
                  </w:r>
                  <w:r>
                    <w:rPr>
                      <w:rFonts w:hint="eastAsia" w:cs="Times New Roman"/>
                      <w:b w:val="0"/>
                      <w:bCs/>
                      <w:color w:val="000000" w:themeColor="text1"/>
                      <w:kern w:val="2"/>
                      <w:sz w:val="18"/>
                      <w:szCs w:val="18"/>
                      <w:lang w:val="en-US" w:eastAsia="zh-CN" w:bidi="ar-SA"/>
                      <w14:textFill>
                        <w14:solidFill>
                          <w14:schemeClr w14:val="tx1"/>
                        </w14:solidFill>
                      </w14:textFill>
                    </w:rPr>
                    <w:t>10</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0</w:t>
                  </w:r>
                </w:p>
                <w:p w14:paraId="4106294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润土公司蒸汽</w:t>
                  </w:r>
                  <w:r>
                    <w:rPr>
                      <w:rFonts w:hint="default" w:ascii="Times New Roman" w:hAnsi="Times New Roman" w:eastAsia="仿宋_GB2312" w:cs="Times New Roman"/>
                      <w:b w:val="0"/>
                      <w:bCs/>
                      <w:color w:val="000000" w:themeColor="text1"/>
                      <w:kern w:val="2"/>
                      <w:sz w:val="18"/>
                      <w:szCs w:val="18"/>
                      <w:lang w:val="en-US" w:eastAsia="zh-CN" w:bidi="ar-SA"/>
                      <w14:textFill>
                        <w14:solidFill>
                          <w14:schemeClr w14:val="tx1"/>
                        </w14:solidFill>
                      </w14:textFill>
                    </w:rPr>
                    <w:t>管道DN1</w:t>
                  </w:r>
                  <w:r>
                    <w:rPr>
                      <w:rFonts w:hint="eastAsia" w:cs="Times New Roman"/>
                      <w:b w:val="0"/>
                      <w:bCs/>
                      <w:color w:val="000000" w:themeColor="text1"/>
                      <w:kern w:val="2"/>
                      <w:sz w:val="18"/>
                      <w:szCs w:val="18"/>
                      <w:lang w:val="en-US" w:eastAsia="zh-CN" w:bidi="ar-SA"/>
                      <w14:textFill>
                        <w14:solidFill>
                          <w14:schemeClr w14:val="tx1"/>
                        </w14:solidFill>
                      </w14:textFill>
                    </w:rPr>
                    <w:t>25</w:t>
                  </w:r>
                </w:p>
              </w:tc>
              <w:tc>
                <w:tcPr>
                  <w:tcW w:w="1259" w:type="pct"/>
                  <w:tcBorders>
                    <w:tl2br w:val="nil"/>
                    <w:tr2bl w:val="nil"/>
                  </w:tcBorders>
                  <w:noWrap w:val="0"/>
                  <w:vAlign w:val="center"/>
                </w:tcPr>
                <w:p w14:paraId="69595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w:t>
                  </w:r>
                </w:p>
              </w:tc>
              <w:tc>
                <w:tcPr>
                  <w:tcW w:w="928" w:type="pct"/>
                  <w:tcBorders>
                    <w:tl2br w:val="nil"/>
                    <w:tr2bl w:val="nil"/>
                  </w:tcBorders>
                  <w:noWrap w:val="0"/>
                  <w:vAlign w:val="center"/>
                </w:tcPr>
                <w:p w14:paraId="1C367DE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t>管道之间净距&gt;50mm，管道与立柱壁净距&gt;100mm，氢气管道位于最外侧并在上层。</w:t>
                  </w:r>
                </w:p>
              </w:tc>
            </w:tr>
            <w:tr w14:paraId="104090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5000" w:type="pct"/>
                  <w:gridSpan w:val="5"/>
                  <w:tcBorders>
                    <w:tl2br w:val="nil"/>
                    <w:tr2bl w:val="nil"/>
                  </w:tcBorders>
                  <w:noWrap w:val="0"/>
                  <w:vAlign w:val="center"/>
                </w:tcPr>
                <w:p w14:paraId="549EDA6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t>检查依据：</w:t>
                  </w:r>
                </w:p>
                <w:p w14:paraId="7A921A2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t>1、《石油化工金属管道布置设计规范》(SH 3012-2011)第3.3条：管墩或管廊上管道的净距不应小于50mm，法兰外缘与相邻管道的净距不得小于25mm。管道距管廊或构架的立柱、建筑物墙壁或管沟壁的净距不应小于100mm。</w:t>
                  </w:r>
                </w:p>
                <w:p w14:paraId="585C03E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4"/>
                      <w:sz w:val="18"/>
                      <w:szCs w:val="18"/>
                      <w:lang w:val="en-US" w:eastAsia="zh-CN"/>
                      <w14:textFill>
                        <w14:solidFill>
                          <w14:schemeClr w14:val="tx1"/>
                        </w14:solidFill>
                      </w14:textFill>
                    </w:rPr>
                    <w:t>《石油化工金属管道布置设计规范》(SH 3012-2011)第4.2.1条：介质操作温度等于或高于250℃的管道布置宜布置在上层；布置在下层的介质操作温度等于或高于250C的管道可布置在外侧，但不应与液化烃管道相邻；蒸汽、装置空气、氮气、仪表空气等公用物料管道及工艺气体管道宜布置在上层；液化烃和腐蚀性介质管道宜布置在下层，但腐蚀性介质管道不应布置在电动机的正上方；低温介质管道宜布置在下层；低温介质管道、液化烃管道和气体避免受热的管道不应布置在热介质管道的正上方或与不保温的热介质管道相邻布置。</w:t>
                  </w:r>
                </w:p>
              </w:tc>
            </w:tr>
          </w:tbl>
          <w:p w14:paraId="1F32FF7E">
            <w:pPr>
              <w:pStyle w:val="32"/>
              <w:ind w:firstLine="48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本项目氢气管道与相邻管道之间净距≥50mm，管道与立柱、墙壁净距≥100mm，布置符合《石油化工金属管道布置设计规范》(SH 3012-2011)等标准规范要求。</w:t>
            </w:r>
          </w:p>
          <w:p w14:paraId="650A371F">
            <w:pPr>
              <w:pStyle w:val="32"/>
              <w:ind w:firstLine="480"/>
              <w:rPr>
                <w:rFonts w:hint="default" w:cs="Times New Roman"/>
                <w:b w:val="0"/>
                <w:bCs w:val="0"/>
                <w:color w:val="000000" w:themeColor="text1"/>
                <w:lang w:val="en-US" w:eastAsia="zh-CN"/>
                <w14:textFill>
                  <w14:solidFill>
                    <w14:schemeClr w14:val="tx1"/>
                  </w14:solidFill>
                </w14:textFill>
              </w:rPr>
            </w:pPr>
            <w:r>
              <w:rPr>
                <w:rFonts w:hint="default" w:cs="Times New Roman"/>
                <w:b w:val="0"/>
                <w:bCs w:val="0"/>
                <w:color w:val="000000" w:themeColor="text1"/>
                <w:lang w:val="en-US" w:eastAsia="zh-CN"/>
                <w14:textFill>
                  <w14:solidFill>
                    <w14:schemeClr w14:val="tx1"/>
                  </w14:solidFill>
                </w14:textFill>
              </w:rPr>
              <w:t>本</w:t>
            </w:r>
            <w:r>
              <w:rPr>
                <w:rFonts w:hint="eastAsia" w:cs="Times New Roman"/>
                <w:b w:val="0"/>
                <w:bCs w:val="0"/>
                <w:color w:val="000000" w:themeColor="text1"/>
                <w:lang w:val="en-US" w:eastAsia="zh-CN"/>
                <w14:textFill>
                  <w14:solidFill>
                    <w14:schemeClr w14:val="tx1"/>
                  </w14:solidFill>
                </w14:textFill>
              </w:rPr>
              <w:t>项目依托管廊、管墩位置示意</w:t>
            </w:r>
            <w:r>
              <w:rPr>
                <w:rFonts w:hint="default" w:cs="Times New Roman"/>
                <w:b w:val="0"/>
                <w:bCs w:val="0"/>
                <w:color w:val="000000" w:themeColor="text1"/>
                <w:lang w:val="en-US" w:eastAsia="zh-CN"/>
                <w14:textFill>
                  <w14:solidFill>
                    <w14:schemeClr w14:val="tx1"/>
                  </w14:solidFill>
                </w14:textFill>
              </w:rPr>
              <w:t>图如下：</w:t>
            </w:r>
          </w:p>
          <w:p w14:paraId="0E447E24">
            <w:pPr>
              <w:pStyle w:val="32"/>
              <w:ind w:left="0" w:leftChars="0" w:firstLine="0" w:firstLineChars="0"/>
              <w:jc w:val="center"/>
              <w:rPr>
                <w:rFonts w:hint="default" w:cs="Times New Roman"/>
                <w:b w:val="0"/>
                <w:bCs w:val="0"/>
                <w:color w:val="000000" w:themeColor="text1"/>
                <w:lang w:val="en-US" w:eastAsia="zh-CN"/>
                <w14:textFill>
                  <w14:solidFill>
                    <w14:schemeClr w14:val="tx1"/>
                  </w14:solidFill>
                </w14:textFill>
              </w:rPr>
            </w:pPr>
            <w:r>
              <w:drawing>
                <wp:inline distT="0" distB="0" distL="114300" distR="114300">
                  <wp:extent cx="5349240" cy="3761740"/>
                  <wp:effectExtent l="0" t="0" r="0"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349240" cy="3761740"/>
                          </a:xfrm>
                          <a:prstGeom prst="rect">
                            <a:avLst/>
                          </a:prstGeom>
                          <a:noFill/>
                          <a:ln>
                            <a:noFill/>
                          </a:ln>
                        </pic:spPr>
                      </pic:pic>
                    </a:graphicData>
                  </a:graphic>
                </wp:inline>
              </w:drawing>
            </w:r>
          </w:p>
          <w:p w14:paraId="0A72CB62">
            <w:pPr>
              <w:pStyle w:val="32"/>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cs="Times New Roman"/>
                <w:b/>
                <w:bCs/>
                <w:color w:val="auto"/>
                <w:sz w:val="21"/>
                <w:szCs w:val="21"/>
                <w:lang w:val="en-US" w:eastAsia="zh-CN"/>
              </w:rPr>
            </w:pPr>
            <w:r>
              <w:rPr>
                <w:rFonts w:hint="default" w:ascii="Times New Roman" w:hAnsi="Times New Roman" w:eastAsia="仿宋_GB2312" w:cs="Times New Roman"/>
                <w:b/>
                <w:bCs/>
                <w:color w:val="auto"/>
                <w:sz w:val="21"/>
                <w:szCs w:val="21"/>
                <w:lang w:val="en-US" w:eastAsia="zh-CN"/>
              </w:rPr>
              <w:t>图2.2-1 本项目依托管廊、管墩位置</w:t>
            </w:r>
            <w:r>
              <w:rPr>
                <w:rFonts w:hint="eastAsia" w:cs="Times New Roman"/>
                <w:b/>
                <w:bCs/>
                <w:color w:val="auto"/>
                <w:sz w:val="21"/>
                <w:szCs w:val="21"/>
                <w:lang w:val="en-US" w:eastAsia="zh-CN"/>
              </w:rPr>
              <w:t>示意图</w:t>
            </w:r>
          </w:p>
          <w:p w14:paraId="5743D51D">
            <w:pPr>
              <w:pStyle w:val="32"/>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lang w:val="en-US" w:eastAsia="zh-CN"/>
              </w:rPr>
            </w:pPr>
            <w:r>
              <w:drawing>
                <wp:inline distT="0" distB="0" distL="114300" distR="114300">
                  <wp:extent cx="5399405" cy="2259330"/>
                  <wp:effectExtent l="0" t="0" r="1079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399405" cy="2259330"/>
                          </a:xfrm>
                          <a:prstGeom prst="rect">
                            <a:avLst/>
                          </a:prstGeom>
                          <a:noFill/>
                          <a:ln>
                            <a:noFill/>
                          </a:ln>
                        </pic:spPr>
                      </pic:pic>
                    </a:graphicData>
                  </a:graphic>
                </wp:inline>
              </w:drawing>
            </w:r>
          </w:p>
          <w:p w14:paraId="4469E1F3">
            <w:pPr>
              <w:pStyle w:val="32"/>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cs="Times New Roman"/>
                <w:b/>
                <w:bCs/>
                <w:color w:val="auto"/>
                <w:sz w:val="21"/>
                <w:szCs w:val="21"/>
                <w:lang w:val="en-US" w:eastAsia="zh-CN"/>
              </w:rPr>
            </w:pPr>
            <w:r>
              <w:rPr>
                <w:rFonts w:hint="default" w:ascii="Times New Roman" w:hAnsi="Times New Roman" w:eastAsia="仿宋_GB2312" w:cs="Times New Roman"/>
                <w:b/>
                <w:bCs/>
                <w:color w:val="auto"/>
                <w:sz w:val="21"/>
                <w:szCs w:val="21"/>
                <w:lang w:val="en-US" w:eastAsia="zh-CN"/>
              </w:rPr>
              <w:t>图2.2-</w:t>
            </w:r>
            <w:r>
              <w:rPr>
                <w:rFonts w:hint="eastAsia" w:cs="Times New Roman"/>
                <w:b/>
                <w:bCs/>
                <w:color w:val="auto"/>
                <w:sz w:val="21"/>
                <w:szCs w:val="21"/>
                <w:lang w:val="en-US" w:eastAsia="zh-CN"/>
              </w:rPr>
              <w:t>2</w:t>
            </w:r>
            <w:r>
              <w:rPr>
                <w:rFonts w:hint="default" w:ascii="Times New Roman" w:hAnsi="Times New Roman" w:eastAsia="仿宋_GB2312" w:cs="Times New Roman"/>
                <w:b/>
                <w:bCs/>
                <w:color w:val="auto"/>
                <w:sz w:val="21"/>
                <w:szCs w:val="21"/>
                <w:lang w:val="en-US" w:eastAsia="zh-CN"/>
              </w:rPr>
              <w:t xml:space="preserve"> </w:t>
            </w:r>
            <w:r>
              <w:rPr>
                <w:rFonts w:hint="eastAsia" w:cs="Times New Roman"/>
                <w:b/>
                <w:bCs/>
                <w:color w:val="auto"/>
                <w:sz w:val="21"/>
                <w:szCs w:val="21"/>
                <w:lang w:val="en-US" w:eastAsia="zh-CN"/>
              </w:rPr>
              <w:t>创新路跨路管廊结构图</w:t>
            </w:r>
          </w:p>
          <w:p w14:paraId="06E0C990">
            <w:pPr>
              <w:pStyle w:val="32"/>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cs="Times New Roman"/>
                <w:b/>
                <w:bCs/>
                <w:color w:val="auto"/>
                <w:sz w:val="21"/>
                <w:szCs w:val="21"/>
                <w:lang w:val="en-US" w:eastAsia="zh-CN"/>
              </w:rPr>
            </w:pPr>
            <w:r>
              <w:drawing>
                <wp:inline distT="0" distB="0" distL="114300" distR="114300">
                  <wp:extent cx="5059680" cy="4293235"/>
                  <wp:effectExtent l="0" t="0" r="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059680" cy="4293235"/>
                          </a:xfrm>
                          <a:prstGeom prst="rect">
                            <a:avLst/>
                          </a:prstGeom>
                          <a:noFill/>
                          <a:ln>
                            <a:noFill/>
                          </a:ln>
                        </pic:spPr>
                      </pic:pic>
                    </a:graphicData>
                  </a:graphic>
                </wp:inline>
              </w:drawing>
            </w:r>
          </w:p>
          <w:p w14:paraId="224FD1F4">
            <w:pPr>
              <w:pStyle w:val="32"/>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cs="Times New Roman"/>
                <w:b/>
                <w:bCs/>
                <w:color w:val="auto"/>
                <w:sz w:val="21"/>
                <w:szCs w:val="21"/>
                <w:lang w:val="en-US" w:eastAsia="zh-CN"/>
              </w:rPr>
            </w:pPr>
            <w:r>
              <w:rPr>
                <w:rFonts w:hint="default" w:ascii="Times New Roman" w:hAnsi="Times New Roman" w:eastAsia="仿宋_GB2312" w:cs="Times New Roman"/>
                <w:b/>
                <w:bCs/>
                <w:color w:val="auto"/>
                <w:sz w:val="21"/>
                <w:szCs w:val="21"/>
                <w:lang w:val="en-US" w:eastAsia="zh-CN"/>
              </w:rPr>
              <w:t>图2.2-</w:t>
            </w:r>
            <w:r>
              <w:rPr>
                <w:rFonts w:hint="eastAsia" w:cs="Times New Roman"/>
                <w:b/>
                <w:bCs/>
                <w:color w:val="auto"/>
                <w:sz w:val="21"/>
                <w:szCs w:val="21"/>
                <w:lang w:val="en-US" w:eastAsia="zh-CN"/>
              </w:rPr>
              <w:t>3</w:t>
            </w:r>
            <w:r>
              <w:rPr>
                <w:rFonts w:hint="default" w:ascii="Times New Roman" w:hAnsi="Times New Roman" w:eastAsia="仿宋_GB2312" w:cs="Times New Roman"/>
                <w:b/>
                <w:bCs/>
                <w:color w:val="auto"/>
                <w:sz w:val="21"/>
                <w:szCs w:val="21"/>
                <w:lang w:val="en-US" w:eastAsia="zh-CN"/>
              </w:rPr>
              <w:t xml:space="preserve"> </w:t>
            </w:r>
            <w:r>
              <w:rPr>
                <w:rFonts w:hint="eastAsia" w:cs="Times New Roman"/>
                <w:b/>
                <w:bCs/>
                <w:color w:val="auto"/>
                <w:sz w:val="21"/>
                <w:szCs w:val="21"/>
                <w:lang w:val="en-US" w:eastAsia="zh-CN"/>
              </w:rPr>
              <w:t>淮化路管墩结构图</w:t>
            </w:r>
          </w:p>
          <w:p w14:paraId="008E0805">
            <w:pPr>
              <w:pStyle w:val="32"/>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cs="Times New Roman"/>
                <w:b/>
                <w:bCs/>
                <w:color w:val="auto"/>
                <w:sz w:val="21"/>
                <w:szCs w:val="21"/>
                <w:lang w:val="en-US" w:eastAsia="zh-CN"/>
              </w:rPr>
            </w:pPr>
          </w:p>
          <w:p w14:paraId="2E23CBE1">
            <w:pPr>
              <w:pStyle w:val="32"/>
              <w:ind w:firstLine="480"/>
              <w:rPr>
                <w:rFonts w:hint="default" w:cs="Times New Roman"/>
                <w:b/>
                <w:bCs/>
                <w:color w:val="auto"/>
                <w:lang w:val="en-US" w:eastAsia="zh-CN"/>
              </w:rPr>
            </w:pPr>
            <w:r>
              <w:rPr>
                <w:rFonts w:hint="eastAsia" w:cs="Times New Roman"/>
                <w:b/>
                <w:bCs/>
                <w:color w:val="auto"/>
                <w:lang w:val="en-US" w:eastAsia="zh-CN"/>
              </w:rPr>
              <w:t>2.2.5 主要技术工艺和装置、设备、设施安全符合性分析</w:t>
            </w:r>
          </w:p>
          <w:p w14:paraId="640E836B">
            <w:pPr>
              <w:pStyle w:val="32"/>
              <w:ind w:firstLine="480"/>
              <w:rPr>
                <w:rFonts w:hint="default" w:cs="Times New Roman"/>
                <w:b w:val="0"/>
                <w:bCs w:val="0"/>
                <w:color w:val="auto"/>
                <w:lang w:val="en-US" w:eastAsia="zh-CN"/>
              </w:rPr>
            </w:pPr>
            <w:r>
              <w:rPr>
                <w:rFonts w:hint="eastAsia" w:cs="Times New Roman"/>
                <w:color w:val="auto"/>
                <w:highlight w:val="none"/>
                <w:lang w:val="en-US" w:eastAsia="zh-CN"/>
              </w:rPr>
              <w:t>对照</w:t>
            </w:r>
            <w:r>
              <w:rPr>
                <w:rFonts w:hint="eastAsia" w:cs="Times New Roman"/>
                <w:b w:val="0"/>
                <w:bCs w:val="0"/>
                <w:color w:val="auto"/>
                <w:lang w:val="en-US" w:eastAsia="zh-CN"/>
              </w:rPr>
              <w:t>《氢气使用安全技术规程》（GB 4062-2008）、《危险化学品输送管道安全管理规定》（2012年）、《氢气储存输送系统第1部分:通用要求》（GB/T 34542.1-2017）、《氢气输送工业管道技术规程》（T/CAS 851-2024）等技术规范，本项目主要技术工艺和装置、设备、设施安全性等方面均符合相关要求。具体内容如下表所示。</w:t>
            </w:r>
          </w:p>
          <w:p w14:paraId="085CEC04">
            <w:pPr>
              <w:pStyle w:val="29"/>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
                <w:bCs/>
                <w:color w:val="FF0000"/>
                <w:lang w:val="en-US" w:eastAsia="zh-CN"/>
              </w:rPr>
            </w:pPr>
            <w:r>
              <w:rPr>
                <w:rFonts w:hint="default" w:ascii="Times New Roman" w:hAnsi="Times New Roman" w:eastAsia="仿宋_GB2312" w:cs="Times New Roman"/>
                <w:color w:val="auto"/>
                <w:lang w:val="zh-CN"/>
              </w:rPr>
              <w:t>表</w:t>
            </w:r>
            <w:r>
              <w:rPr>
                <w:rFonts w:hint="eastAsia" w:ascii="Times New Roman" w:hAnsi="Times New Roman" w:eastAsia="仿宋_GB2312" w:cs="Times New Roman"/>
                <w:color w:val="auto"/>
                <w:lang w:val="en-US" w:eastAsia="zh-CN"/>
              </w:rPr>
              <w:t>2</w:t>
            </w:r>
            <w:r>
              <w:rPr>
                <w:rFonts w:hint="eastAsia" w:eastAsia="仿宋_GB2312" w:cs="Times New Roman"/>
                <w:color w:val="auto"/>
                <w:lang w:val="en-US" w:eastAsia="zh-CN"/>
              </w:rPr>
              <w:t>.2</w:t>
            </w:r>
            <w:r>
              <w:rPr>
                <w:rFonts w:hint="default" w:ascii="Times New Roman" w:hAnsi="Times New Roman" w:eastAsia="仿宋_GB2312" w:cs="Times New Roman"/>
                <w:color w:val="auto"/>
                <w:lang w:val="zh-CN"/>
              </w:rPr>
              <w:t>-</w:t>
            </w:r>
            <w:r>
              <w:rPr>
                <w:rFonts w:hint="eastAsia" w:eastAsia="仿宋_GB2312" w:cs="Times New Roman"/>
                <w:color w:val="auto"/>
                <w:lang w:val="en-US" w:eastAsia="zh-CN"/>
              </w:rPr>
              <w:t>3</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主要技术工艺和装置、设备、设施安全符合性分析</w:t>
            </w:r>
          </w:p>
          <w:tbl>
            <w:tblPr>
              <w:tblStyle w:val="14"/>
              <w:tblW w:w="492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97"/>
              <w:gridCol w:w="1856"/>
              <w:gridCol w:w="3752"/>
              <w:gridCol w:w="1937"/>
              <w:gridCol w:w="454"/>
            </w:tblGrid>
            <w:tr w14:paraId="773812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02D2E26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sz w:val="18"/>
                      <w:szCs w:val="18"/>
                      <w:highlight w:val="none"/>
                      <w:u w:color="000000"/>
                    </w:rPr>
                    <w:t>序</w:t>
                  </w:r>
                </w:p>
                <w:p w14:paraId="73FD488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sz w:val="18"/>
                      <w:szCs w:val="18"/>
                      <w:highlight w:val="none"/>
                      <w:u w:color="000000"/>
                    </w:rPr>
                    <w:t>号</w:t>
                  </w:r>
                </w:p>
              </w:tc>
              <w:tc>
                <w:tcPr>
                  <w:tcW w:w="3339" w:type="pct"/>
                  <w:gridSpan w:val="2"/>
                  <w:tcBorders>
                    <w:tl2br w:val="nil"/>
                    <w:tr2bl w:val="nil"/>
                  </w:tcBorders>
                  <w:shd w:val="clear" w:color="auto" w:fill="auto"/>
                  <w:tcMar>
                    <w:left w:w="108" w:type="dxa"/>
                    <w:right w:w="108" w:type="dxa"/>
                  </w:tcMar>
                  <w:vAlign w:val="center"/>
                </w:tcPr>
                <w:p w14:paraId="02BC106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_GB2312" w:cs="Times New Roman"/>
                      <w:b/>
                      <w:color w:val="auto"/>
                      <w:sz w:val="18"/>
                      <w:szCs w:val="18"/>
                      <w:highlight w:val="none"/>
                      <w:lang w:eastAsia="zh-CN"/>
                    </w:rPr>
                  </w:pPr>
                  <w:r>
                    <w:rPr>
                      <w:rFonts w:hint="eastAsia" w:ascii="Times New Roman" w:hAnsi="Times New Roman" w:cs="Times New Roman"/>
                      <w:b/>
                      <w:color w:val="auto"/>
                      <w:sz w:val="18"/>
                      <w:szCs w:val="18"/>
                      <w:highlight w:val="none"/>
                      <w:u w:color="000000"/>
                      <w:lang w:val="en-US" w:eastAsia="zh-CN"/>
                    </w:rPr>
                    <w:t>技术规范</w:t>
                  </w:r>
                </w:p>
              </w:tc>
              <w:tc>
                <w:tcPr>
                  <w:tcW w:w="1153" w:type="pct"/>
                  <w:tcBorders>
                    <w:tl2br w:val="nil"/>
                    <w:tr2bl w:val="nil"/>
                  </w:tcBorders>
                  <w:shd w:val="clear" w:color="auto" w:fill="auto"/>
                  <w:tcMar>
                    <w:left w:w="108" w:type="dxa"/>
                    <w:right w:w="108" w:type="dxa"/>
                  </w:tcMar>
                  <w:vAlign w:val="center"/>
                </w:tcPr>
                <w:p w14:paraId="0B6E0BE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color w:val="auto"/>
                      <w:sz w:val="18"/>
                      <w:szCs w:val="18"/>
                      <w:highlight w:val="none"/>
                      <w:u w:color="000000"/>
                    </w:rPr>
                  </w:pPr>
                  <w:r>
                    <w:rPr>
                      <w:rFonts w:hint="eastAsia" w:ascii="Times New Roman" w:hAnsi="Times New Roman" w:cs="Times New Roman"/>
                      <w:b/>
                      <w:color w:val="auto"/>
                      <w:sz w:val="18"/>
                      <w:szCs w:val="18"/>
                      <w:highlight w:val="none"/>
                      <w:u w:color="000000"/>
                      <w:lang w:val="en-US" w:eastAsia="zh-CN"/>
                    </w:rPr>
                    <w:t>本项目</w:t>
                  </w:r>
                  <w:r>
                    <w:rPr>
                      <w:rFonts w:hint="default" w:ascii="Times New Roman" w:hAnsi="Times New Roman" w:eastAsia="仿宋_GB2312" w:cs="Times New Roman"/>
                      <w:b/>
                      <w:color w:val="auto"/>
                      <w:sz w:val="18"/>
                      <w:szCs w:val="18"/>
                      <w:highlight w:val="none"/>
                      <w:u w:color="000000"/>
                      <w:lang w:val="en-US" w:eastAsia="zh-CN"/>
                    </w:rPr>
                    <w:t>情况</w:t>
                  </w:r>
                </w:p>
              </w:tc>
              <w:tc>
                <w:tcPr>
                  <w:tcW w:w="270" w:type="pct"/>
                  <w:tcBorders>
                    <w:tl2br w:val="nil"/>
                    <w:tr2bl w:val="nil"/>
                  </w:tcBorders>
                  <w:shd w:val="clear" w:color="auto" w:fill="auto"/>
                  <w:tcMar>
                    <w:left w:w="108" w:type="dxa"/>
                    <w:right w:w="108" w:type="dxa"/>
                  </w:tcMar>
                  <w:vAlign w:val="center"/>
                </w:tcPr>
                <w:p w14:paraId="1D21CD8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highlight w:val="none"/>
                      <w:u w:color="000000"/>
                      <w:lang w:val="en-US" w:eastAsia="zh-CN"/>
                    </w:rPr>
                  </w:pPr>
                  <w:r>
                    <w:rPr>
                      <w:rFonts w:hint="eastAsia" w:ascii="Times New Roman" w:hAnsi="Times New Roman" w:cs="Times New Roman"/>
                      <w:b/>
                      <w:color w:val="auto"/>
                      <w:sz w:val="18"/>
                      <w:szCs w:val="18"/>
                      <w:highlight w:val="none"/>
                      <w:u w:color="000000"/>
                      <w:lang w:val="en-US" w:eastAsia="zh-CN"/>
                    </w:rPr>
                    <w:t>符合情况</w:t>
                  </w:r>
                </w:p>
              </w:tc>
            </w:tr>
            <w:tr w14:paraId="1DAB99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5C0D0501">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restart"/>
                  <w:tcBorders>
                    <w:tl2br w:val="nil"/>
                    <w:tr2bl w:val="nil"/>
                  </w:tcBorders>
                  <w:shd w:val="clear" w:color="auto" w:fill="auto"/>
                  <w:tcMar>
                    <w:left w:w="108" w:type="dxa"/>
                    <w:right w:w="108" w:type="dxa"/>
                  </w:tcMar>
                  <w:vAlign w:val="center"/>
                </w:tcPr>
                <w:p w14:paraId="27269A9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w:t>
                  </w:r>
                  <w:r>
                    <w:rPr>
                      <w:rFonts w:hint="default" w:ascii="Times New Roman" w:hAnsi="Times New Roman" w:eastAsia="仿宋_GB2312" w:cs="Times New Roman"/>
                      <w:color w:val="auto"/>
                      <w:sz w:val="18"/>
                      <w:szCs w:val="18"/>
                      <w:highlight w:val="none"/>
                    </w:rPr>
                    <w:t>氢气使用安全技术规程</w:t>
                  </w:r>
                  <w:r>
                    <w:rPr>
                      <w:rFonts w:hint="default" w:ascii="Times New Roman" w:hAnsi="Times New Roman" w:eastAsia="仿宋_GB2312"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w:t>
                  </w:r>
                  <w:r>
                    <w:rPr>
                      <w:rFonts w:hint="default" w:ascii="Times New Roman" w:hAnsi="Times New Roman" w:eastAsia="仿宋_GB2312" w:cs="Times New Roman"/>
                      <w:color w:val="auto"/>
                      <w:sz w:val="18"/>
                      <w:szCs w:val="18"/>
                      <w:highlight w:val="none"/>
                      <w:lang w:val="en-US" w:eastAsia="zh-CN"/>
                    </w:rPr>
                    <w:t>GB 4062-2008</w:t>
                  </w:r>
                  <w:r>
                    <w:rPr>
                      <w:rFonts w:hint="eastAsia" w:ascii="Times New Roman" w:hAnsi="Times New Roman" w:cs="Times New Roman"/>
                      <w:color w:val="auto"/>
                      <w:sz w:val="18"/>
                      <w:szCs w:val="18"/>
                      <w:highlight w:val="none"/>
                      <w:lang w:val="en-US" w:eastAsia="zh-CN"/>
                    </w:rPr>
                    <w:t>）</w:t>
                  </w:r>
                </w:p>
              </w:tc>
              <w:tc>
                <w:tcPr>
                  <w:tcW w:w="2234" w:type="pct"/>
                  <w:tcBorders>
                    <w:tl2br w:val="nil"/>
                    <w:tr2bl w:val="nil"/>
                  </w:tcBorders>
                  <w:shd w:val="clear" w:color="auto" w:fill="auto"/>
                  <w:tcMar>
                    <w:left w:w="108" w:type="dxa"/>
                    <w:right w:w="108" w:type="dxa"/>
                  </w:tcMar>
                  <w:vAlign w:val="center"/>
                </w:tcPr>
                <w:p w14:paraId="5C42077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第4.1.7条</w:t>
                  </w:r>
                  <w:r>
                    <w:rPr>
                      <w:rFonts w:hint="eastAsia" w:ascii="Times New Roman" w:hAnsi="Times New Roman" w:cs="Times New Roman"/>
                      <w:color w:val="auto"/>
                      <w:sz w:val="18"/>
                      <w:szCs w:val="18"/>
                      <w:highlight w:val="none"/>
                      <w:lang w:val="en-US" w:eastAsia="zh-CN"/>
                    </w:rPr>
                    <w:t>：</w:t>
                  </w:r>
                  <w:r>
                    <w:rPr>
                      <w:rFonts w:hint="default" w:ascii="Times New Roman" w:hAnsi="Times New Roman" w:eastAsia="仿宋_GB2312" w:cs="Times New Roman"/>
                      <w:color w:val="auto"/>
                      <w:sz w:val="18"/>
                      <w:szCs w:val="18"/>
                      <w:highlight w:val="none"/>
                    </w:rPr>
                    <w:t>氢气有可能积聚处或氢气浓度可能增加处宜设置固定式可燃气体检测报警仪，可燃气体检测报警仪应设在监测点</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释放源</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上方或厂房顶端，其安装高度宜高出释放源0.5m~2m且周围留有不小于0.3m的净空，以便对氢气浓度进行监测。</w:t>
                  </w:r>
                </w:p>
              </w:tc>
              <w:tc>
                <w:tcPr>
                  <w:tcW w:w="1153" w:type="pct"/>
                  <w:tcBorders>
                    <w:tl2br w:val="nil"/>
                    <w:tr2bl w:val="nil"/>
                  </w:tcBorders>
                  <w:shd w:val="clear" w:color="auto" w:fill="auto"/>
                  <w:tcMar>
                    <w:left w:w="108" w:type="dxa"/>
                    <w:right w:w="108" w:type="dxa"/>
                  </w:tcMar>
                  <w:vAlign w:val="center"/>
                </w:tcPr>
                <w:p w14:paraId="0679A0E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在</w:t>
                  </w:r>
                  <w:r>
                    <w:rPr>
                      <w:rFonts w:hint="default" w:ascii="Times New Roman" w:hAnsi="Times New Roman" w:eastAsia="仿宋_GB2312" w:cs="Times New Roman"/>
                      <w:color w:val="auto"/>
                      <w:sz w:val="18"/>
                      <w:szCs w:val="18"/>
                      <w:highlight w:val="none"/>
                      <w:lang w:val="en-US" w:eastAsia="zh-CN"/>
                    </w:rPr>
                    <w:t>氢气</w:t>
                  </w:r>
                  <w:r>
                    <w:rPr>
                      <w:rFonts w:hint="eastAsia" w:cs="Times New Roman"/>
                      <w:color w:val="auto"/>
                      <w:sz w:val="18"/>
                      <w:szCs w:val="18"/>
                      <w:highlight w:val="none"/>
                      <w:lang w:val="en-US" w:eastAsia="zh-CN"/>
                    </w:rPr>
                    <w:t>泄漏</w:t>
                  </w:r>
                  <w:r>
                    <w:rPr>
                      <w:rFonts w:hint="default" w:ascii="Times New Roman" w:hAnsi="Times New Roman" w:eastAsia="仿宋_GB2312" w:cs="Times New Roman"/>
                      <w:color w:val="auto"/>
                      <w:sz w:val="18"/>
                      <w:szCs w:val="18"/>
                      <w:highlight w:val="none"/>
                      <w:lang w:val="en-US" w:eastAsia="zh-CN"/>
                    </w:rPr>
                    <w:t>点均设置了可燃气体泄漏检测仪表。</w:t>
                  </w:r>
                </w:p>
              </w:tc>
              <w:tc>
                <w:tcPr>
                  <w:tcW w:w="270" w:type="pct"/>
                  <w:tcBorders>
                    <w:tl2br w:val="nil"/>
                    <w:tr2bl w:val="nil"/>
                  </w:tcBorders>
                  <w:shd w:val="clear" w:color="auto" w:fill="auto"/>
                  <w:tcMar>
                    <w:left w:w="108" w:type="dxa"/>
                    <w:right w:w="108" w:type="dxa"/>
                  </w:tcMar>
                  <w:vAlign w:val="center"/>
                </w:tcPr>
                <w:p w14:paraId="5B019C83">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25F978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32A05AD2">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406C63C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p>
              </w:tc>
              <w:tc>
                <w:tcPr>
                  <w:tcW w:w="2234" w:type="pct"/>
                  <w:tcBorders>
                    <w:tl2br w:val="nil"/>
                    <w:tr2bl w:val="nil"/>
                  </w:tcBorders>
                  <w:shd w:val="clear" w:color="auto" w:fill="auto"/>
                  <w:tcMar>
                    <w:left w:w="108" w:type="dxa"/>
                    <w:right w:w="108" w:type="dxa"/>
                  </w:tcMar>
                  <w:vAlign w:val="center"/>
                </w:tcPr>
                <w:p w14:paraId="7978288C">
                  <w:pPr>
                    <w:keepNext w:val="0"/>
                    <w:keepLines w:val="0"/>
                    <w:pageBreakBefore w:val="0"/>
                    <w:widowControl w:val="0"/>
                    <w:suppressLineNumbers w:val="0"/>
                    <w:kinsoku/>
                    <w:wordWrap/>
                    <w:overflowPunct/>
                    <w:topLinePunct w:val="0"/>
                    <w:bidi w:val="0"/>
                    <w:adjustRightInd/>
                    <w:snapToGrid/>
                    <w:spacing w:before="29" w:beforeLines="10" w:beforeAutospacing="0" w:after="29" w:afterLines="1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第4.4.4条</w:t>
                  </w:r>
                  <w:r>
                    <w:rPr>
                      <w:rFonts w:hint="eastAsia" w:ascii="Times New Roman" w:hAnsi="Times New Roman" w:cs="Times New Roman"/>
                      <w:color w:val="auto"/>
                      <w:sz w:val="18"/>
                      <w:szCs w:val="18"/>
                      <w:highlight w:val="none"/>
                      <w:lang w:val="en-US" w:eastAsia="zh-CN"/>
                    </w:rPr>
                    <w:t>：</w:t>
                  </w:r>
                  <w:r>
                    <w:rPr>
                      <w:rFonts w:hint="default" w:ascii="Times New Roman" w:hAnsi="Times New Roman" w:eastAsia="仿宋_GB2312" w:cs="Times New Roman"/>
                      <w:color w:val="auto"/>
                      <w:sz w:val="18"/>
                      <w:szCs w:val="18"/>
                      <w:highlight w:val="none"/>
                    </w:rPr>
                    <w:t>氢</w:t>
                  </w:r>
                  <w:r>
                    <w:rPr>
                      <w:rFonts w:hint="default" w:ascii="Times New Roman" w:hAnsi="Times New Roman" w:eastAsia="仿宋_GB2312" w:cs="Times New Roman"/>
                      <w:color w:val="auto"/>
                      <w:kern w:val="2"/>
                      <w:sz w:val="18"/>
                      <w:szCs w:val="18"/>
                      <w:highlight w:val="none"/>
                      <w:lang w:val="en-US" w:eastAsia="zh-CN" w:bidi="ar-SA"/>
                    </w:rPr>
                    <w:t>气管道应采用无缝金属管道，禁止采用铸铁管道，管道的连接应采用焊接或其他有效防止氢气泄漏的连接方式。管道应采用密封性能好的阀门和附件，管道上的阀门宜采用球阀、截止阀。阀门材料的选择应符合GB50177-2005中表12.0.3的规定，管道上法兰、垫片的选择应符合GB50177-2005中表12.0.4的规定。管道之间不宜采用螺纹密封连接，氢气管道与附件连接的密封垫，应采用不锈钢、有色金属、聚四氟乙烯或氟橡胶材料，禁止用生料带或其他绝缘材料作为连接密封手段。</w:t>
                  </w:r>
                </w:p>
              </w:tc>
              <w:tc>
                <w:tcPr>
                  <w:tcW w:w="1153" w:type="pct"/>
                  <w:tcBorders>
                    <w:tl2br w:val="nil"/>
                    <w:tr2bl w:val="nil"/>
                  </w:tcBorders>
                  <w:shd w:val="clear" w:color="auto" w:fill="auto"/>
                  <w:tcMar>
                    <w:left w:w="108" w:type="dxa"/>
                    <w:right w:w="108" w:type="dxa"/>
                  </w:tcMar>
                  <w:vAlign w:val="center"/>
                </w:tcPr>
                <w:p w14:paraId="5129AD6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氢气管道采用20#无缝金属管道。管道采用焊接和法兰连接。阀门材料符合GB50177，密封垫为金属缠绕垫。</w:t>
                  </w:r>
                </w:p>
              </w:tc>
              <w:tc>
                <w:tcPr>
                  <w:tcW w:w="270" w:type="pct"/>
                  <w:tcBorders>
                    <w:tl2br w:val="nil"/>
                    <w:tr2bl w:val="nil"/>
                  </w:tcBorders>
                  <w:shd w:val="clear" w:color="auto" w:fill="auto"/>
                  <w:tcMar>
                    <w:left w:w="108" w:type="dxa"/>
                    <w:right w:w="108" w:type="dxa"/>
                  </w:tcMar>
                  <w:vAlign w:val="center"/>
                </w:tcPr>
                <w:p w14:paraId="5641B727">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3B9B19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0914EE26">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713BB81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p>
              </w:tc>
              <w:tc>
                <w:tcPr>
                  <w:tcW w:w="2234" w:type="pct"/>
                  <w:tcBorders>
                    <w:tl2br w:val="nil"/>
                    <w:tr2bl w:val="nil"/>
                  </w:tcBorders>
                  <w:shd w:val="clear" w:color="auto" w:fill="auto"/>
                  <w:tcMar>
                    <w:left w:w="108" w:type="dxa"/>
                    <w:right w:w="108" w:type="dxa"/>
                  </w:tcMar>
                  <w:vAlign w:val="center"/>
                </w:tcPr>
                <w:p w14:paraId="126DC3D8">
                  <w:pPr>
                    <w:keepNext w:val="0"/>
                    <w:keepLines w:val="0"/>
                    <w:pageBreakBefore w:val="0"/>
                    <w:widowControl w:val="0"/>
                    <w:suppressLineNumbers w:val="0"/>
                    <w:kinsoku/>
                    <w:wordWrap/>
                    <w:overflowPunct/>
                    <w:topLinePunct w:val="0"/>
                    <w:bidi w:val="0"/>
                    <w:adjustRightInd/>
                    <w:snapToGrid/>
                    <w:spacing w:before="29" w:beforeLines="10" w:beforeAutospacing="0" w:after="29" w:afterLines="1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第4.4.6条：</w:t>
                  </w:r>
                  <w:r>
                    <w:rPr>
                      <w:rFonts w:hint="default" w:ascii="Times New Roman" w:hAnsi="Times New Roman" w:eastAsia="仿宋_GB2312" w:cs="Times New Roman"/>
                      <w:color w:val="auto"/>
                      <w:sz w:val="18"/>
                      <w:szCs w:val="18"/>
                      <w:highlight w:val="none"/>
                      <w:lang w:val="en-US" w:eastAsia="zh-CN"/>
                    </w:rPr>
                    <w:t>氢气管道宜采用架空敷设，其支架应为非燃烧体。架空管道不应与电缆、导电线路、高温管线敷设在同一支架上。氢气管道与氧气管道、其他可燃气体、可燃液体的管道共架敷设时，氢气管道应与上述管道之间宜用公用工程管道隔开，或保持不小于</w:t>
                  </w:r>
                  <w:r>
                    <w:rPr>
                      <w:rFonts w:hint="eastAsia" w:ascii="Times New Roman" w:hAnsi="Times New Roman" w:cs="Times New Roman"/>
                      <w:color w:val="auto"/>
                      <w:sz w:val="18"/>
                      <w:szCs w:val="18"/>
                      <w:highlight w:val="none"/>
                      <w:lang w:val="en-US" w:eastAsia="zh-CN"/>
                    </w:rPr>
                    <w:t>250mm</w:t>
                  </w:r>
                  <w:r>
                    <w:rPr>
                      <w:rFonts w:hint="default" w:ascii="Times New Roman" w:hAnsi="Times New Roman" w:eastAsia="仿宋_GB2312" w:cs="Times New Roman"/>
                      <w:color w:val="auto"/>
                      <w:sz w:val="18"/>
                      <w:szCs w:val="18"/>
                      <w:highlight w:val="none"/>
                      <w:lang w:val="en-US" w:eastAsia="zh-CN"/>
                    </w:rPr>
                    <w:t>的净距。分层敷设时，氢气管道应位于上方。</w:t>
                  </w:r>
                </w:p>
              </w:tc>
              <w:tc>
                <w:tcPr>
                  <w:tcW w:w="1153" w:type="pct"/>
                  <w:tcBorders>
                    <w:tl2br w:val="nil"/>
                    <w:tr2bl w:val="nil"/>
                  </w:tcBorders>
                  <w:shd w:val="clear" w:color="auto" w:fill="auto"/>
                  <w:tcMar>
                    <w:left w:w="108" w:type="dxa"/>
                    <w:right w:w="108" w:type="dxa"/>
                  </w:tcMar>
                  <w:vAlign w:val="center"/>
                </w:tcPr>
                <w:p w14:paraId="2FC032B9">
                  <w:pPr>
                    <w:pStyle w:val="2"/>
                    <w:spacing w:line="240" w:lineRule="auto"/>
                    <w:ind w:left="0" w:leftChars="0" w:firstLine="0" w:firstLineChars="0"/>
                    <w:rPr>
                      <w:rFonts w:hint="default"/>
                      <w:lang w:val="en-US" w:eastAsia="zh-CN"/>
                    </w:rPr>
                  </w:pPr>
                  <w:r>
                    <w:rPr>
                      <w:rFonts w:hint="eastAsia" w:cs="Times New Roman"/>
                      <w:color w:val="auto"/>
                      <w:sz w:val="18"/>
                      <w:szCs w:val="18"/>
                      <w:highlight w:val="none"/>
                      <w:lang w:val="en-US" w:eastAsia="zh-CN"/>
                    </w:rPr>
                    <w:t>创新路跨路管廊分层敷设，氢气管道位于最上方；淮化路管墩目前仅敷设单层管线，现有管道不涉及可燃气体和可燃液体。</w:t>
                  </w:r>
                </w:p>
              </w:tc>
              <w:tc>
                <w:tcPr>
                  <w:tcW w:w="270" w:type="pct"/>
                  <w:tcBorders>
                    <w:tl2br w:val="nil"/>
                    <w:tr2bl w:val="nil"/>
                  </w:tcBorders>
                  <w:shd w:val="clear" w:color="auto" w:fill="auto"/>
                  <w:tcMar>
                    <w:left w:w="108" w:type="dxa"/>
                    <w:right w:w="108" w:type="dxa"/>
                  </w:tcMar>
                  <w:vAlign w:val="center"/>
                </w:tcPr>
                <w:p w14:paraId="3698370B">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leftChars="0" w:right="0" w:rightChars="0" w:firstLine="0" w:firstLineChars="0"/>
                    <w:jc w:val="center"/>
                    <w:textAlignment w:val="auto"/>
                    <w:rPr>
                      <w:rFonts w:hint="eastAsia" w:ascii="Times New Roman" w:hAnsi="Times New Roman" w:eastAsia="仿宋_GB2312"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符合</w:t>
                  </w:r>
                </w:p>
              </w:tc>
            </w:tr>
            <w:tr w14:paraId="3DF50D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4EB6F6A3">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1A4BBF8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p>
              </w:tc>
              <w:tc>
                <w:tcPr>
                  <w:tcW w:w="2234" w:type="pct"/>
                  <w:tcBorders>
                    <w:tl2br w:val="nil"/>
                    <w:tr2bl w:val="nil"/>
                  </w:tcBorders>
                  <w:shd w:val="clear" w:color="auto" w:fill="auto"/>
                  <w:tcMar>
                    <w:left w:w="108" w:type="dxa"/>
                    <w:right w:w="108" w:type="dxa"/>
                  </w:tcMar>
                  <w:vAlign w:val="center"/>
                </w:tcPr>
                <w:p w14:paraId="7A776171">
                  <w:pPr>
                    <w:keepNext w:val="0"/>
                    <w:keepLines w:val="0"/>
                    <w:pageBreakBefore w:val="0"/>
                    <w:widowControl w:val="0"/>
                    <w:suppressLineNumbers w:val="0"/>
                    <w:kinsoku/>
                    <w:wordWrap/>
                    <w:overflowPunct/>
                    <w:topLinePunct w:val="0"/>
                    <w:bidi w:val="0"/>
                    <w:adjustRightInd/>
                    <w:snapToGrid/>
                    <w:spacing w:before="29" w:beforeLines="10" w:beforeAutospacing="0" w:after="29" w:afterLines="1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第4.4.9条</w:t>
                  </w:r>
                  <w:r>
                    <w:rPr>
                      <w:rFonts w:hint="eastAsia" w:ascii="Times New Roman" w:hAnsi="Times New Roman" w:cs="Times New Roman"/>
                      <w:color w:val="auto"/>
                      <w:sz w:val="18"/>
                      <w:szCs w:val="18"/>
                      <w:highlight w:val="none"/>
                      <w:lang w:val="en-US" w:eastAsia="zh-CN"/>
                    </w:rPr>
                    <w:t>：</w:t>
                  </w:r>
                  <w:r>
                    <w:rPr>
                      <w:rFonts w:hint="default" w:ascii="Times New Roman" w:hAnsi="Times New Roman" w:eastAsia="仿宋_GB2312" w:cs="Times New Roman"/>
                      <w:color w:val="auto"/>
                      <w:sz w:val="18"/>
                      <w:szCs w:val="18"/>
                      <w:highlight w:val="none"/>
                    </w:rPr>
                    <w:t>氢气管道与其相连的装置、设备之间应安装止回阀</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界区间阀门宜设置有效隔离措施</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防止来自装置、设备的外部火焰回火至氢气系统。</w:t>
                  </w:r>
                </w:p>
              </w:tc>
              <w:tc>
                <w:tcPr>
                  <w:tcW w:w="1153" w:type="pct"/>
                  <w:tcBorders>
                    <w:tl2br w:val="nil"/>
                    <w:tr2bl w:val="nil"/>
                  </w:tcBorders>
                  <w:shd w:val="clear" w:color="auto" w:fill="auto"/>
                  <w:tcMar>
                    <w:left w:w="108" w:type="dxa"/>
                    <w:right w:w="108" w:type="dxa"/>
                  </w:tcMar>
                  <w:vAlign w:val="center"/>
                </w:tcPr>
                <w:p w14:paraId="0FEEEB0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氢气管道与</w:t>
                  </w:r>
                  <w:r>
                    <w:rPr>
                      <w:rFonts w:hint="eastAsia" w:cs="Times New Roman"/>
                      <w:color w:val="auto"/>
                      <w:sz w:val="18"/>
                      <w:szCs w:val="18"/>
                      <w:highlight w:val="none"/>
                      <w:lang w:val="en-US" w:eastAsia="zh-CN"/>
                    </w:rPr>
                    <w:t>相连装备</w:t>
                  </w:r>
                  <w:r>
                    <w:rPr>
                      <w:rFonts w:hint="default" w:ascii="Times New Roman" w:hAnsi="Times New Roman" w:eastAsia="仿宋_GB2312" w:cs="Times New Roman"/>
                      <w:color w:val="auto"/>
                      <w:sz w:val="18"/>
                      <w:szCs w:val="18"/>
                      <w:highlight w:val="none"/>
                      <w:lang w:val="en-US" w:eastAsia="zh-CN"/>
                    </w:rPr>
                    <w:t>之间设计有止回阀和阻火器。</w:t>
                  </w:r>
                </w:p>
              </w:tc>
              <w:tc>
                <w:tcPr>
                  <w:tcW w:w="270" w:type="pct"/>
                  <w:tcBorders>
                    <w:tl2br w:val="nil"/>
                    <w:tr2bl w:val="nil"/>
                  </w:tcBorders>
                  <w:shd w:val="clear" w:color="auto" w:fill="auto"/>
                  <w:tcMar>
                    <w:left w:w="108" w:type="dxa"/>
                    <w:right w:w="108" w:type="dxa"/>
                  </w:tcMar>
                  <w:vAlign w:val="center"/>
                </w:tcPr>
                <w:p w14:paraId="7586636E">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15DC0A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5EB2D9C9">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restart"/>
                  <w:tcBorders>
                    <w:tl2br w:val="nil"/>
                    <w:tr2bl w:val="nil"/>
                  </w:tcBorders>
                  <w:shd w:val="clear" w:color="auto" w:fill="auto"/>
                  <w:tcMar>
                    <w:left w:w="108" w:type="dxa"/>
                    <w:right w:w="108" w:type="dxa"/>
                  </w:tcMar>
                  <w:vAlign w:val="center"/>
                </w:tcPr>
                <w:p w14:paraId="2C52017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《危险化学品输送管道安全管理规定》（2012年）</w:t>
                  </w:r>
                </w:p>
              </w:tc>
              <w:tc>
                <w:tcPr>
                  <w:tcW w:w="2234" w:type="pct"/>
                  <w:tcBorders>
                    <w:tl2br w:val="nil"/>
                    <w:tr2bl w:val="nil"/>
                  </w:tcBorders>
                  <w:shd w:val="clear" w:color="auto" w:fill="auto"/>
                  <w:tcMar>
                    <w:left w:w="108" w:type="dxa"/>
                    <w:right w:w="108" w:type="dxa"/>
                  </w:tcMar>
                  <w:vAlign w:val="center"/>
                </w:tcPr>
                <w:p w14:paraId="17BD250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eastAsia" w:ascii="Times New Roman" w:hAnsi="Times New Roman" w:cs="Times New Roman"/>
                      <w:color w:val="auto"/>
                      <w:sz w:val="18"/>
                      <w:szCs w:val="18"/>
                      <w:highlight w:val="none"/>
                      <w:lang w:val="en-US" w:eastAsia="zh-CN"/>
                    </w:rPr>
                    <w:t>第九条：</w:t>
                  </w:r>
                  <w:r>
                    <w:rPr>
                      <w:rFonts w:hint="default" w:ascii="Times New Roman" w:hAnsi="Times New Roman" w:eastAsia="仿宋_GB2312" w:cs="Times New Roman"/>
                      <w:color w:val="auto"/>
                      <w:sz w:val="18"/>
                      <w:szCs w:val="18"/>
                      <w:highlight w:val="none"/>
                    </w:rPr>
                    <w:t>对新建、改建、扩建的危险化学品管道，建设单位应当依照国家安全生产监督管理总局有关危险化学品建设项目安全监督管理的规定，依法办理安全条件审查、安全设施设计审查和安全设施竣工验收手续。</w:t>
                  </w:r>
                </w:p>
              </w:tc>
              <w:tc>
                <w:tcPr>
                  <w:tcW w:w="1153" w:type="pct"/>
                  <w:vMerge w:val="restart"/>
                  <w:tcBorders>
                    <w:tl2br w:val="nil"/>
                    <w:tr2bl w:val="nil"/>
                  </w:tcBorders>
                  <w:shd w:val="clear" w:color="auto" w:fill="auto"/>
                  <w:tcMar>
                    <w:left w:w="108" w:type="dxa"/>
                    <w:right w:w="108" w:type="dxa"/>
                  </w:tcMar>
                  <w:vAlign w:val="center"/>
                </w:tcPr>
                <w:p w14:paraId="220ABBFB">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企业已委托安徽</w:t>
                  </w:r>
                  <w:r>
                    <w:rPr>
                      <w:rFonts w:hint="eastAsia" w:cs="Times New Roman"/>
                      <w:color w:val="auto"/>
                      <w:sz w:val="18"/>
                      <w:szCs w:val="18"/>
                      <w:highlight w:val="none"/>
                      <w:lang w:val="en-US" w:eastAsia="zh-CN"/>
                    </w:rPr>
                    <w:t>瑞祥安全环保咨询</w:t>
                  </w:r>
                  <w:r>
                    <w:rPr>
                      <w:rFonts w:hint="eastAsia" w:ascii="Times New Roman" w:hAnsi="Times New Roman" w:cs="Times New Roman"/>
                      <w:color w:val="auto"/>
                      <w:sz w:val="18"/>
                      <w:szCs w:val="18"/>
                      <w:highlight w:val="none"/>
                      <w:lang w:val="en-US" w:eastAsia="zh-CN"/>
                    </w:rPr>
                    <w:t>有限公司编制安全条件评价报告，已委托</w:t>
                  </w:r>
                  <w:r>
                    <w:rPr>
                      <w:rFonts w:hint="eastAsia" w:cs="Times New Roman"/>
                      <w:color w:val="auto"/>
                      <w:sz w:val="18"/>
                      <w:szCs w:val="18"/>
                      <w:highlight w:val="none"/>
                      <w:lang w:val="en-US" w:eastAsia="zh-CN"/>
                    </w:rPr>
                    <w:t>宁夏工业设计院有限责任公司</w:t>
                  </w:r>
                  <w:r>
                    <w:rPr>
                      <w:rFonts w:hint="eastAsia" w:ascii="Times New Roman" w:hAnsi="Times New Roman" w:cs="Times New Roman"/>
                      <w:color w:val="auto"/>
                      <w:sz w:val="18"/>
                      <w:szCs w:val="18"/>
                      <w:highlight w:val="none"/>
                      <w:lang w:val="en-US" w:eastAsia="zh-CN"/>
                    </w:rPr>
                    <w:t>编制安全设施</w:t>
                  </w:r>
                  <w:r>
                    <w:rPr>
                      <w:rFonts w:hint="eastAsia" w:cs="Times New Roman"/>
                      <w:color w:val="auto"/>
                      <w:sz w:val="18"/>
                      <w:szCs w:val="18"/>
                      <w:highlight w:val="none"/>
                      <w:lang w:val="en-US" w:eastAsia="zh-CN"/>
                    </w:rPr>
                    <w:t>设计</w:t>
                  </w:r>
                  <w:r>
                    <w:rPr>
                      <w:rFonts w:hint="eastAsia" w:ascii="Times New Roman" w:hAnsi="Times New Roman" w:cs="Times New Roman"/>
                      <w:color w:val="auto"/>
                      <w:sz w:val="18"/>
                      <w:szCs w:val="18"/>
                      <w:highlight w:val="none"/>
                      <w:lang w:val="en-US" w:eastAsia="zh-CN"/>
                    </w:rPr>
                    <w:t>专篇。</w:t>
                  </w:r>
                  <w:r>
                    <w:rPr>
                      <w:rFonts w:hint="eastAsia" w:cs="Times New Roman"/>
                      <w:color w:val="auto"/>
                      <w:sz w:val="18"/>
                      <w:szCs w:val="18"/>
                      <w:highlight w:val="none"/>
                      <w:lang w:val="en-US" w:eastAsia="zh-CN"/>
                    </w:rPr>
                    <w:t>正在同步编制中。</w:t>
                  </w:r>
                </w:p>
              </w:tc>
              <w:tc>
                <w:tcPr>
                  <w:tcW w:w="270" w:type="pct"/>
                  <w:tcBorders>
                    <w:tl2br w:val="nil"/>
                    <w:tr2bl w:val="nil"/>
                  </w:tcBorders>
                  <w:shd w:val="clear" w:color="auto" w:fill="auto"/>
                  <w:tcMar>
                    <w:left w:w="108" w:type="dxa"/>
                    <w:right w:w="108" w:type="dxa"/>
                  </w:tcMar>
                  <w:vAlign w:val="center"/>
                </w:tcPr>
                <w:p w14:paraId="35E8E110">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23D1E5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595F74CE">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416EA1F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p>
              </w:tc>
              <w:tc>
                <w:tcPr>
                  <w:tcW w:w="2234" w:type="pct"/>
                  <w:tcBorders>
                    <w:tl2br w:val="nil"/>
                    <w:tr2bl w:val="nil"/>
                  </w:tcBorders>
                  <w:shd w:val="clear" w:color="auto" w:fill="auto"/>
                  <w:tcMar>
                    <w:left w:w="108" w:type="dxa"/>
                    <w:right w:w="108" w:type="dxa"/>
                  </w:tcMar>
                  <w:vAlign w:val="center"/>
                </w:tcPr>
                <w:p w14:paraId="09DBB13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第十条：对新建、改建、扩建的危险化学品管道，建设单位应当依照有关法律、行政法规的规定，委托具备相应资质的设计单位进行设计。</w:t>
                  </w:r>
                </w:p>
              </w:tc>
              <w:tc>
                <w:tcPr>
                  <w:tcW w:w="1153" w:type="pct"/>
                  <w:vMerge w:val="continue"/>
                  <w:tcBorders>
                    <w:tl2br w:val="nil"/>
                    <w:tr2bl w:val="nil"/>
                  </w:tcBorders>
                  <w:shd w:val="clear" w:color="auto" w:fill="auto"/>
                  <w:tcMar>
                    <w:left w:w="108" w:type="dxa"/>
                    <w:right w:w="108" w:type="dxa"/>
                  </w:tcMar>
                  <w:vAlign w:val="center"/>
                </w:tcPr>
                <w:p w14:paraId="159A0D0D">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270" w:type="pct"/>
                  <w:tcBorders>
                    <w:tl2br w:val="nil"/>
                    <w:tr2bl w:val="nil"/>
                  </w:tcBorders>
                  <w:shd w:val="clear" w:color="auto" w:fill="auto"/>
                  <w:tcMar>
                    <w:left w:w="108" w:type="dxa"/>
                    <w:right w:w="108" w:type="dxa"/>
                  </w:tcMar>
                  <w:vAlign w:val="center"/>
                </w:tcPr>
                <w:p w14:paraId="493B6ACF">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12B3E9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370A8B2D">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453B65E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p>
              </w:tc>
              <w:tc>
                <w:tcPr>
                  <w:tcW w:w="2234" w:type="pct"/>
                  <w:tcBorders>
                    <w:tl2br w:val="nil"/>
                    <w:tr2bl w:val="nil"/>
                  </w:tcBorders>
                  <w:shd w:val="clear" w:color="auto" w:fill="auto"/>
                  <w:tcMar>
                    <w:left w:w="108" w:type="dxa"/>
                    <w:right w:w="108" w:type="dxa"/>
                  </w:tcMar>
                  <w:vAlign w:val="center"/>
                </w:tcPr>
                <w:p w14:paraId="7047CBC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第十五条：危险化学品管道应当设置明显标志。发现标志毁损的，管道单位应当及时予以修复或者更新。</w:t>
                  </w:r>
                </w:p>
              </w:tc>
              <w:tc>
                <w:tcPr>
                  <w:tcW w:w="1153" w:type="pct"/>
                  <w:vMerge w:val="restart"/>
                  <w:tcBorders>
                    <w:tl2br w:val="nil"/>
                    <w:tr2bl w:val="nil"/>
                  </w:tcBorders>
                  <w:shd w:val="clear" w:color="auto" w:fill="auto"/>
                  <w:tcMar>
                    <w:left w:w="108" w:type="dxa"/>
                    <w:right w:w="108" w:type="dxa"/>
                  </w:tcMar>
                  <w:vAlign w:val="center"/>
                </w:tcPr>
                <w:p w14:paraId="662676BA">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项目建成后，企业要按照要求设置管道标志，建立、健全危险化学品管道巡护制度，配备专人进行日常巡护</w:t>
                  </w:r>
                </w:p>
              </w:tc>
              <w:tc>
                <w:tcPr>
                  <w:tcW w:w="270" w:type="pct"/>
                  <w:tcBorders>
                    <w:tl2br w:val="nil"/>
                    <w:tr2bl w:val="nil"/>
                  </w:tcBorders>
                  <w:shd w:val="clear" w:color="auto" w:fill="auto"/>
                  <w:tcMar>
                    <w:left w:w="108" w:type="dxa"/>
                    <w:right w:w="108" w:type="dxa"/>
                  </w:tcMar>
                  <w:vAlign w:val="center"/>
                </w:tcPr>
                <w:p w14:paraId="034F4D74">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217F9E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1DE3EBA7">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2974B95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p>
              </w:tc>
              <w:tc>
                <w:tcPr>
                  <w:tcW w:w="2234" w:type="pct"/>
                  <w:tcBorders>
                    <w:tl2br w:val="nil"/>
                    <w:tr2bl w:val="nil"/>
                  </w:tcBorders>
                  <w:shd w:val="clear" w:color="auto" w:fill="auto"/>
                  <w:tcMar>
                    <w:left w:w="108" w:type="dxa"/>
                    <w:right w:w="108" w:type="dxa"/>
                  </w:tcMar>
                  <w:vAlign w:val="center"/>
                </w:tcPr>
                <w:p w14:paraId="5619A06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第十六条：管道单位应当建立、健全危险化学品管道巡护制度，配备专人进行日常巡护。巡护人员发现危害危险化学品管道安全生产情形的，应当立即报告单位负责人并及时处理。</w:t>
                  </w:r>
                </w:p>
              </w:tc>
              <w:tc>
                <w:tcPr>
                  <w:tcW w:w="1153" w:type="pct"/>
                  <w:vMerge w:val="continue"/>
                  <w:tcBorders>
                    <w:tl2br w:val="nil"/>
                    <w:tr2bl w:val="nil"/>
                  </w:tcBorders>
                  <w:shd w:val="clear" w:color="auto" w:fill="auto"/>
                  <w:tcMar>
                    <w:left w:w="108" w:type="dxa"/>
                    <w:right w:w="108" w:type="dxa"/>
                  </w:tcMar>
                  <w:vAlign w:val="center"/>
                </w:tcPr>
                <w:p w14:paraId="3C593319">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270" w:type="pct"/>
                  <w:tcBorders>
                    <w:tl2br w:val="nil"/>
                    <w:tr2bl w:val="nil"/>
                  </w:tcBorders>
                  <w:shd w:val="clear" w:color="auto" w:fill="auto"/>
                  <w:tcMar>
                    <w:left w:w="108" w:type="dxa"/>
                    <w:right w:w="108" w:type="dxa"/>
                  </w:tcMar>
                  <w:vAlign w:val="center"/>
                </w:tcPr>
                <w:p w14:paraId="17AD5BE0">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7F5146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7F15C248">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restart"/>
                  <w:tcBorders>
                    <w:tl2br w:val="nil"/>
                    <w:tr2bl w:val="nil"/>
                  </w:tcBorders>
                  <w:shd w:val="clear" w:color="auto" w:fill="auto"/>
                  <w:tcMar>
                    <w:left w:w="108" w:type="dxa"/>
                    <w:right w:w="108" w:type="dxa"/>
                  </w:tcMar>
                  <w:vAlign w:val="center"/>
                </w:tcPr>
                <w:p w14:paraId="5D198864">
                  <w:pPr>
                    <w:keepNext w:val="0"/>
                    <w:keepLines w:val="0"/>
                    <w:pageBreakBefore w:val="0"/>
                    <w:widowControl w:val="0"/>
                    <w:suppressLineNumbers w:val="0"/>
                    <w:kinsoku/>
                    <w:wordWrap/>
                    <w:overflowPunct/>
                    <w:topLinePunct w:val="0"/>
                    <w:bidi w:val="0"/>
                    <w:adjustRightInd/>
                    <w:snapToGrid/>
                    <w:spacing w:before="29" w:beforeLines="10" w:beforeAutospacing="0" w:after="29" w:afterLines="10" w:afterAutospacing="0" w:line="240" w:lineRule="auto"/>
                    <w:ind w:left="0" w:leftChars="0" w:right="0" w:rightChars="0" w:firstLine="0" w:firstLineChars="0"/>
                    <w:jc w:val="left"/>
                    <w:textAlignment w:val="auto"/>
                    <w:rPr>
                      <w:rFonts w:hint="default" w:ascii="Times New Roman" w:hAnsi="Times New Roman" w:eastAsia="仿宋_GB2312" w:cs="Times New Roman"/>
                      <w:b/>
                      <w:bCs/>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w:t>
                  </w:r>
                  <w:r>
                    <w:rPr>
                      <w:rFonts w:hint="default" w:ascii="Times New Roman" w:hAnsi="Times New Roman" w:eastAsia="仿宋_GB2312" w:cs="Times New Roman"/>
                      <w:color w:val="auto"/>
                      <w:sz w:val="18"/>
                      <w:szCs w:val="18"/>
                      <w:highlight w:val="none"/>
                    </w:rPr>
                    <w:t>氢气储存输送系统第1部分:通用要求</w:t>
                  </w:r>
                  <w:r>
                    <w:rPr>
                      <w:rFonts w:hint="default" w:ascii="Times New Roman" w:hAnsi="Times New Roman" w:eastAsia="仿宋_GB2312"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w:t>
                  </w:r>
                  <w:r>
                    <w:rPr>
                      <w:rFonts w:hint="default" w:ascii="Times New Roman" w:hAnsi="Times New Roman" w:eastAsia="仿宋_GB2312" w:cs="Times New Roman"/>
                      <w:color w:val="auto"/>
                      <w:sz w:val="18"/>
                      <w:szCs w:val="18"/>
                      <w:highlight w:val="none"/>
                      <w:lang w:val="en-US" w:eastAsia="zh-CN"/>
                    </w:rPr>
                    <w:t>GB/T 34542.1-2017</w:t>
                  </w:r>
                  <w:r>
                    <w:rPr>
                      <w:rFonts w:hint="eastAsia" w:ascii="Times New Roman" w:hAnsi="Times New Roman" w:cs="Times New Roman"/>
                      <w:color w:val="auto"/>
                      <w:sz w:val="18"/>
                      <w:szCs w:val="18"/>
                      <w:highlight w:val="none"/>
                      <w:lang w:val="en-US" w:eastAsia="zh-CN"/>
                    </w:rPr>
                    <w:t>）</w:t>
                  </w:r>
                </w:p>
              </w:tc>
              <w:tc>
                <w:tcPr>
                  <w:tcW w:w="2234" w:type="pct"/>
                  <w:tcBorders>
                    <w:tl2br w:val="nil"/>
                    <w:tr2bl w:val="nil"/>
                  </w:tcBorders>
                  <w:shd w:val="clear" w:color="auto" w:fill="auto"/>
                  <w:tcMar>
                    <w:left w:w="108" w:type="dxa"/>
                    <w:right w:w="108" w:type="dxa"/>
                  </w:tcMar>
                  <w:vAlign w:val="center"/>
                </w:tcPr>
                <w:p w14:paraId="6A8C0B5D">
                  <w:pPr>
                    <w:keepNext w:val="0"/>
                    <w:keepLines w:val="0"/>
                    <w:pageBreakBefore w:val="0"/>
                    <w:widowControl w:val="0"/>
                    <w:suppressLineNumbers w:val="0"/>
                    <w:kinsoku/>
                    <w:wordWrap/>
                    <w:overflowPunct/>
                    <w:topLinePunct w:val="0"/>
                    <w:bidi w:val="0"/>
                    <w:adjustRightInd/>
                    <w:snapToGrid/>
                    <w:spacing w:before="29" w:beforeLines="10" w:beforeAutospacing="0" w:after="29" w:afterLines="1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第</w:t>
                  </w:r>
                  <w:r>
                    <w:rPr>
                      <w:rFonts w:hint="default" w:ascii="Times New Roman" w:hAnsi="Times New Roman" w:eastAsia="仿宋_GB2312" w:cs="Times New Roman"/>
                      <w:color w:val="auto"/>
                      <w:sz w:val="18"/>
                      <w:szCs w:val="18"/>
                      <w:highlight w:val="none"/>
                    </w:rPr>
                    <w:t>4.2.6.3</w:t>
                  </w:r>
                  <w:r>
                    <w:rPr>
                      <w:rFonts w:hint="default" w:ascii="Times New Roman" w:hAnsi="Times New Roman" w:eastAsia="仿宋_GB2312" w:cs="Times New Roman"/>
                      <w:color w:val="auto"/>
                      <w:sz w:val="18"/>
                      <w:szCs w:val="18"/>
                      <w:highlight w:val="none"/>
                      <w:lang w:val="en-US" w:eastAsia="zh-CN"/>
                    </w:rPr>
                    <w:t>条</w:t>
                  </w:r>
                  <w:r>
                    <w:rPr>
                      <w:rFonts w:hint="eastAsia" w:ascii="Times New Roman" w:hAnsi="Times New Roman" w:cs="Times New Roman"/>
                      <w:color w:val="auto"/>
                      <w:sz w:val="18"/>
                      <w:szCs w:val="18"/>
                      <w:highlight w:val="none"/>
                      <w:lang w:val="en-US" w:eastAsia="zh-CN"/>
                    </w:rPr>
                    <w:t>：</w:t>
                  </w:r>
                  <w:r>
                    <w:rPr>
                      <w:rFonts w:hint="default" w:ascii="Times New Roman" w:hAnsi="Times New Roman" w:eastAsia="仿宋_GB2312" w:cs="Times New Roman"/>
                      <w:color w:val="auto"/>
                      <w:sz w:val="18"/>
                      <w:szCs w:val="18"/>
                      <w:highlight w:val="none"/>
                    </w:rPr>
                    <w:t>氢气管道的连接宜采用焊接、卡套接头或者其他能有效防止氢气泄漏的连接方式</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且应符合相应的耐温耐压要求。</w:t>
                  </w:r>
                </w:p>
              </w:tc>
              <w:tc>
                <w:tcPr>
                  <w:tcW w:w="1153" w:type="pct"/>
                  <w:tcBorders>
                    <w:tl2br w:val="nil"/>
                    <w:tr2bl w:val="nil"/>
                  </w:tcBorders>
                  <w:shd w:val="clear" w:color="auto" w:fill="auto"/>
                  <w:tcMar>
                    <w:left w:w="108" w:type="dxa"/>
                    <w:right w:w="108" w:type="dxa"/>
                  </w:tcMar>
                  <w:vAlign w:val="center"/>
                </w:tcPr>
                <w:p w14:paraId="42D3435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rPr>
                    <w:t>氢气管道的连接采用焊接</w:t>
                  </w:r>
                  <w:r>
                    <w:rPr>
                      <w:rFonts w:hint="default" w:ascii="Times New Roman" w:hAnsi="Times New Roman" w:eastAsia="仿宋_GB2312" w:cs="Times New Roman"/>
                      <w:color w:val="auto"/>
                      <w:sz w:val="18"/>
                      <w:szCs w:val="18"/>
                      <w:highlight w:val="none"/>
                      <w:lang w:val="en-US" w:eastAsia="zh-CN"/>
                    </w:rPr>
                    <w:t>。符合相应的耐温耐压要求。</w:t>
                  </w:r>
                </w:p>
              </w:tc>
              <w:tc>
                <w:tcPr>
                  <w:tcW w:w="270" w:type="pct"/>
                  <w:tcBorders>
                    <w:tl2br w:val="nil"/>
                    <w:tr2bl w:val="nil"/>
                  </w:tcBorders>
                  <w:shd w:val="clear" w:color="auto" w:fill="auto"/>
                  <w:tcMar>
                    <w:left w:w="108" w:type="dxa"/>
                    <w:right w:w="108" w:type="dxa"/>
                  </w:tcMar>
                  <w:vAlign w:val="center"/>
                </w:tcPr>
                <w:p w14:paraId="09BFFB0E">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5F1163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69E52EB3">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41FA81C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p>
              </w:tc>
              <w:tc>
                <w:tcPr>
                  <w:tcW w:w="2234" w:type="pct"/>
                  <w:tcBorders>
                    <w:tl2br w:val="nil"/>
                    <w:tr2bl w:val="nil"/>
                  </w:tcBorders>
                  <w:shd w:val="clear" w:color="auto" w:fill="auto"/>
                  <w:tcMar>
                    <w:left w:w="108" w:type="dxa"/>
                    <w:right w:w="108" w:type="dxa"/>
                  </w:tcMar>
                  <w:vAlign w:val="center"/>
                </w:tcPr>
                <w:p w14:paraId="2B09290A">
                  <w:pPr>
                    <w:keepNext w:val="0"/>
                    <w:keepLines w:val="0"/>
                    <w:pageBreakBefore w:val="0"/>
                    <w:widowControl w:val="0"/>
                    <w:suppressLineNumbers w:val="0"/>
                    <w:kinsoku/>
                    <w:wordWrap/>
                    <w:overflowPunct/>
                    <w:topLinePunct w:val="0"/>
                    <w:bidi w:val="0"/>
                    <w:adjustRightInd/>
                    <w:snapToGrid/>
                    <w:spacing w:before="29" w:beforeLines="10" w:beforeAutospacing="0" w:after="29" w:afterLines="1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第</w:t>
                  </w:r>
                  <w:r>
                    <w:rPr>
                      <w:rFonts w:hint="default" w:ascii="Times New Roman" w:hAnsi="Times New Roman" w:eastAsia="仿宋_GB2312" w:cs="Times New Roman"/>
                      <w:color w:val="auto"/>
                      <w:sz w:val="18"/>
                      <w:szCs w:val="18"/>
                      <w:highlight w:val="none"/>
                    </w:rPr>
                    <w:t>4.2.</w:t>
                  </w:r>
                  <w:r>
                    <w:rPr>
                      <w:rFonts w:hint="default" w:ascii="Times New Roman" w:hAnsi="Times New Roman" w:eastAsia="仿宋_GB2312" w:cs="Times New Roman"/>
                      <w:color w:val="auto"/>
                      <w:sz w:val="18"/>
                      <w:szCs w:val="18"/>
                      <w:highlight w:val="none"/>
                      <w:lang w:val="en-US" w:eastAsia="zh-CN"/>
                    </w:rPr>
                    <w:t>6</w:t>
                  </w:r>
                  <w:r>
                    <w:rPr>
                      <w:rFonts w:hint="default" w:ascii="Times New Roman" w:hAnsi="Times New Roman" w:eastAsia="仿宋_GB2312" w:cs="Times New Roman"/>
                      <w:color w:val="auto"/>
                      <w:sz w:val="18"/>
                      <w:szCs w:val="18"/>
                      <w:highlight w:val="none"/>
                    </w:rPr>
                    <w:t>.</w:t>
                  </w:r>
                  <w:r>
                    <w:rPr>
                      <w:rFonts w:hint="default" w:ascii="Times New Roman" w:hAnsi="Times New Roman" w:eastAsia="仿宋_GB2312" w:cs="Times New Roman"/>
                      <w:color w:val="auto"/>
                      <w:sz w:val="18"/>
                      <w:szCs w:val="18"/>
                      <w:highlight w:val="none"/>
                      <w:lang w:val="en-US" w:eastAsia="zh-CN"/>
                    </w:rPr>
                    <w:t>4条</w:t>
                  </w:r>
                  <w:r>
                    <w:rPr>
                      <w:rFonts w:hint="eastAsia" w:ascii="Times New Roman" w:hAnsi="Times New Roman" w:cs="Times New Roman"/>
                      <w:color w:val="auto"/>
                      <w:sz w:val="18"/>
                      <w:szCs w:val="18"/>
                      <w:highlight w:val="none"/>
                      <w:lang w:val="en-US" w:eastAsia="zh-CN"/>
                    </w:rPr>
                    <w:t>：</w:t>
                  </w:r>
                  <w:r>
                    <w:rPr>
                      <w:rFonts w:hint="default" w:ascii="Times New Roman" w:hAnsi="Times New Roman" w:eastAsia="仿宋_GB2312" w:cs="Times New Roman"/>
                      <w:color w:val="auto"/>
                      <w:sz w:val="18"/>
                      <w:szCs w:val="18"/>
                      <w:highlight w:val="none"/>
                    </w:rPr>
                    <w:t>氢气管道与设备、阀门的连接</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宜采用法兰或锥管螺纹连接。</w:t>
                  </w:r>
                </w:p>
              </w:tc>
              <w:tc>
                <w:tcPr>
                  <w:tcW w:w="1153" w:type="pct"/>
                  <w:tcBorders>
                    <w:tl2br w:val="nil"/>
                    <w:tr2bl w:val="nil"/>
                  </w:tcBorders>
                  <w:shd w:val="clear" w:color="auto" w:fill="auto"/>
                  <w:tcMar>
                    <w:left w:w="108" w:type="dxa"/>
                    <w:right w:w="108" w:type="dxa"/>
                  </w:tcMar>
                  <w:vAlign w:val="center"/>
                </w:tcPr>
                <w:p w14:paraId="151578F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氢气管道与设备、阀门的连接</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采用法兰</w:t>
                  </w:r>
                  <w:r>
                    <w:rPr>
                      <w:rFonts w:hint="default" w:ascii="Times New Roman" w:hAnsi="Times New Roman" w:eastAsia="仿宋_GB2312" w:cs="Times New Roman"/>
                      <w:color w:val="auto"/>
                      <w:sz w:val="18"/>
                      <w:szCs w:val="18"/>
                      <w:highlight w:val="none"/>
                      <w:lang w:eastAsia="zh-CN"/>
                    </w:rPr>
                    <w:t>。</w:t>
                  </w:r>
                </w:p>
              </w:tc>
              <w:tc>
                <w:tcPr>
                  <w:tcW w:w="270" w:type="pct"/>
                  <w:tcBorders>
                    <w:tl2br w:val="nil"/>
                    <w:tr2bl w:val="nil"/>
                  </w:tcBorders>
                  <w:shd w:val="clear" w:color="auto" w:fill="auto"/>
                  <w:tcMar>
                    <w:left w:w="108" w:type="dxa"/>
                    <w:right w:w="108" w:type="dxa"/>
                  </w:tcMar>
                  <w:vAlign w:val="center"/>
                </w:tcPr>
                <w:p w14:paraId="000B7ACF">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51CBDD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3EB9C73F">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restart"/>
                  <w:tcBorders>
                    <w:tl2br w:val="nil"/>
                    <w:tr2bl w:val="nil"/>
                  </w:tcBorders>
                  <w:shd w:val="clear" w:color="auto" w:fill="auto"/>
                  <w:tcMar>
                    <w:left w:w="108" w:type="dxa"/>
                    <w:right w:w="108" w:type="dxa"/>
                  </w:tcMar>
                  <w:vAlign w:val="center"/>
                </w:tcPr>
                <w:p w14:paraId="51E216B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w:t>
                  </w:r>
                  <w:r>
                    <w:rPr>
                      <w:rFonts w:hint="default" w:ascii="Times New Roman" w:hAnsi="Times New Roman" w:eastAsia="仿宋_GB2312" w:cs="Times New Roman"/>
                      <w:b w:val="0"/>
                      <w:bCs/>
                      <w:color w:val="auto"/>
                      <w:sz w:val="18"/>
                      <w:szCs w:val="18"/>
                      <w:highlight w:val="none"/>
                      <w:lang w:val="en-US" w:eastAsia="zh-CN"/>
                    </w:rPr>
                    <w:t>氢气输送工业管道技术规程</w:t>
                  </w:r>
                  <w:r>
                    <w:rPr>
                      <w:rFonts w:hint="default" w:ascii="Times New Roman" w:hAnsi="Times New Roman" w:eastAsia="仿宋_GB2312"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w:t>
                  </w:r>
                  <w:r>
                    <w:rPr>
                      <w:rFonts w:hint="default" w:ascii="Times New Roman" w:hAnsi="Times New Roman" w:eastAsia="仿宋_GB2312" w:cs="Times New Roman"/>
                      <w:b w:val="0"/>
                      <w:bCs/>
                      <w:color w:val="auto"/>
                      <w:sz w:val="18"/>
                      <w:szCs w:val="18"/>
                      <w:highlight w:val="none"/>
                      <w:lang w:val="en-US" w:eastAsia="zh-CN"/>
                    </w:rPr>
                    <w:t>T/CAS 851-2024</w:t>
                  </w:r>
                  <w:r>
                    <w:rPr>
                      <w:rFonts w:hint="eastAsia" w:ascii="Times New Roman" w:hAnsi="Times New Roman" w:cs="Times New Roman"/>
                      <w:color w:val="auto"/>
                      <w:sz w:val="18"/>
                      <w:szCs w:val="18"/>
                      <w:highlight w:val="none"/>
                      <w:lang w:val="en-US" w:eastAsia="zh-CN"/>
                    </w:rPr>
                    <w:t>）</w:t>
                  </w:r>
                </w:p>
              </w:tc>
              <w:tc>
                <w:tcPr>
                  <w:tcW w:w="2234" w:type="pct"/>
                  <w:tcBorders>
                    <w:tl2br w:val="nil"/>
                    <w:tr2bl w:val="nil"/>
                  </w:tcBorders>
                  <w:shd w:val="clear" w:color="auto" w:fill="auto"/>
                  <w:tcMar>
                    <w:left w:w="108" w:type="dxa"/>
                    <w:right w:w="108" w:type="dxa"/>
                  </w:tcMar>
                  <w:vAlign w:val="center"/>
                </w:tcPr>
                <w:p w14:paraId="7830AA1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b w:val="0"/>
                      <w:bCs/>
                      <w:color w:val="auto"/>
                      <w:sz w:val="18"/>
                      <w:szCs w:val="18"/>
                      <w:highlight w:val="none"/>
                      <w:lang w:val="en-US" w:eastAsia="zh-CN"/>
                    </w:rPr>
                    <w:t>第5.2.5</w:t>
                  </w:r>
                  <w:r>
                    <w:rPr>
                      <w:rFonts w:hint="eastAsia" w:ascii="Times New Roman" w:hAnsi="Times New Roman" w:cs="Times New Roman"/>
                      <w:b w:val="0"/>
                      <w:bCs/>
                      <w:color w:val="auto"/>
                      <w:sz w:val="18"/>
                      <w:szCs w:val="18"/>
                      <w:highlight w:val="none"/>
                      <w:lang w:val="en-US" w:eastAsia="zh-CN"/>
                    </w:rPr>
                    <w:t>条：</w:t>
                  </w:r>
                  <w:r>
                    <w:rPr>
                      <w:rFonts w:hint="default" w:ascii="Times New Roman" w:hAnsi="Times New Roman" w:eastAsia="仿宋_GB2312" w:cs="Times New Roman"/>
                      <w:color w:val="auto"/>
                      <w:sz w:val="18"/>
                      <w:szCs w:val="18"/>
                      <w:highlight w:val="none"/>
                    </w:rPr>
                    <w:t>氢气工业管道和管道组件禁止使用灰铸铁、可锻铸铁、球墨铸铁和其他铸铁材料。</w:t>
                  </w:r>
                </w:p>
              </w:tc>
              <w:tc>
                <w:tcPr>
                  <w:tcW w:w="1153" w:type="pct"/>
                  <w:tcBorders>
                    <w:tl2br w:val="nil"/>
                    <w:tr2bl w:val="nil"/>
                  </w:tcBorders>
                  <w:shd w:val="clear" w:color="auto" w:fill="auto"/>
                  <w:tcMar>
                    <w:left w:w="108" w:type="dxa"/>
                    <w:right w:w="108" w:type="dxa"/>
                  </w:tcMar>
                  <w:vAlign w:val="center"/>
                </w:tcPr>
                <w:p w14:paraId="6AAEF29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氢气工业管道</w:t>
                  </w:r>
                  <w:r>
                    <w:rPr>
                      <w:rFonts w:hint="default" w:ascii="Times New Roman" w:hAnsi="Times New Roman" w:eastAsia="仿宋_GB2312" w:cs="Times New Roman"/>
                      <w:color w:val="auto"/>
                      <w:sz w:val="18"/>
                      <w:szCs w:val="18"/>
                      <w:highlight w:val="none"/>
                      <w:lang w:val="en-US" w:eastAsia="zh-CN"/>
                    </w:rPr>
                    <w:t>未使用灰铸铁、可锻铸铁、球墨铸铁和其他铸铁材料。</w:t>
                  </w:r>
                </w:p>
              </w:tc>
              <w:tc>
                <w:tcPr>
                  <w:tcW w:w="270" w:type="pct"/>
                  <w:tcBorders>
                    <w:tl2br w:val="nil"/>
                    <w:tr2bl w:val="nil"/>
                  </w:tcBorders>
                  <w:shd w:val="clear" w:color="auto" w:fill="auto"/>
                  <w:tcMar>
                    <w:left w:w="108" w:type="dxa"/>
                    <w:right w:w="108" w:type="dxa"/>
                  </w:tcMar>
                  <w:vAlign w:val="center"/>
                </w:tcPr>
                <w:p w14:paraId="0BFADD40">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19F9F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5520F21A">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0FF8F82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p>
              </w:tc>
              <w:tc>
                <w:tcPr>
                  <w:tcW w:w="2234" w:type="pct"/>
                  <w:tcBorders>
                    <w:tl2br w:val="nil"/>
                    <w:tr2bl w:val="nil"/>
                  </w:tcBorders>
                  <w:shd w:val="clear" w:color="auto" w:fill="auto"/>
                  <w:tcMar>
                    <w:left w:w="108" w:type="dxa"/>
                    <w:right w:w="108" w:type="dxa"/>
                  </w:tcMar>
                  <w:vAlign w:val="center"/>
                </w:tcPr>
                <w:p w14:paraId="7745474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b w:val="0"/>
                      <w:bCs/>
                      <w:color w:val="auto"/>
                      <w:sz w:val="18"/>
                      <w:szCs w:val="18"/>
                      <w:highlight w:val="none"/>
                      <w:lang w:val="en-US" w:eastAsia="zh-CN"/>
                    </w:rPr>
                    <w:t>第6.3.8</w:t>
                  </w:r>
                  <w:r>
                    <w:rPr>
                      <w:rFonts w:hint="eastAsia" w:ascii="Times New Roman" w:hAnsi="Times New Roman" w:cs="Times New Roman"/>
                      <w:b w:val="0"/>
                      <w:bCs/>
                      <w:color w:val="auto"/>
                      <w:sz w:val="18"/>
                      <w:szCs w:val="18"/>
                      <w:highlight w:val="none"/>
                      <w:lang w:val="en-US" w:eastAsia="zh-CN"/>
                    </w:rPr>
                    <w:t>条：</w:t>
                  </w:r>
                  <w:r>
                    <w:rPr>
                      <w:rFonts w:hint="default" w:ascii="Times New Roman" w:hAnsi="Times New Roman" w:eastAsia="仿宋_GB2312" w:cs="Times New Roman"/>
                      <w:color w:val="auto"/>
                      <w:sz w:val="18"/>
                      <w:szCs w:val="18"/>
                      <w:highlight w:val="none"/>
                    </w:rPr>
                    <w:t>在管道和被保护装置之间，或被保护装置和放散点之间要安装截止阀时，用来释放超过系统最大允许工作压力的压力。截止阀应符合以下要求。</w:t>
                  </w:r>
                </w:p>
                <w:p w14:paraId="0DBBDA3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a)全区域放散截止阀可安装在放散系统的入口或出口侧位置;b)安装在放散系统的入口或出口侧位置的截面面积小于泄压管道内截面积的截止阀不得导致压力下降，导致放散能力降低到所需水平以下，也不得对放散系统的正常运行产生不利影响。c)安装在放散系统的截止阀设计能力要保障关闭截断阀时，不会降低未受影响的泄压系统所提供的泄压能力。d)截止阀能够在开启或关闭位置锁定。</w:t>
                  </w:r>
                </w:p>
              </w:tc>
              <w:tc>
                <w:tcPr>
                  <w:tcW w:w="1153" w:type="pct"/>
                  <w:tcBorders>
                    <w:tl2br w:val="nil"/>
                    <w:tr2bl w:val="nil"/>
                  </w:tcBorders>
                  <w:shd w:val="clear" w:color="auto" w:fill="auto"/>
                  <w:tcMar>
                    <w:left w:w="108" w:type="dxa"/>
                    <w:right w:w="108" w:type="dxa"/>
                  </w:tcMar>
                  <w:vAlign w:val="center"/>
                </w:tcPr>
                <w:p w14:paraId="700E385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进</w:t>
                  </w:r>
                  <w:r>
                    <w:rPr>
                      <w:rFonts w:hint="eastAsia" w:cs="Times New Roman"/>
                      <w:color w:val="auto"/>
                      <w:sz w:val="18"/>
                      <w:szCs w:val="18"/>
                      <w:highlight w:val="none"/>
                      <w:lang w:val="en-US" w:eastAsia="zh-CN"/>
                    </w:rPr>
                    <w:t>润土公司</w:t>
                  </w:r>
                  <w:r>
                    <w:rPr>
                      <w:rFonts w:hint="default" w:ascii="Times New Roman" w:hAnsi="Times New Roman" w:eastAsia="仿宋_GB2312" w:cs="Times New Roman"/>
                      <w:color w:val="auto"/>
                      <w:sz w:val="18"/>
                      <w:szCs w:val="18"/>
                      <w:highlight w:val="none"/>
                      <w:lang w:val="en-US" w:eastAsia="zh-CN"/>
                    </w:rPr>
                    <w:t>厂区的</w:t>
                  </w:r>
                  <w:r>
                    <w:rPr>
                      <w:rFonts w:hint="default" w:ascii="Times New Roman" w:hAnsi="Times New Roman" w:eastAsia="仿宋_GB2312" w:cs="Times New Roman"/>
                      <w:color w:val="auto"/>
                      <w:sz w:val="18"/>
                      <w:szCs w:val="18"/>
                      <w:highlight w:val="none"/>
                    </w:rPr>
                    <w:t>放散截止阀安装在放散系统的入口侧位置</w:t>
                  </w:r>
                  <w:r>
                    <w:rPr>
                      <w:rFonts w:hint="default" w:ascii="Times New Roman" w:hAnsi="Times New Roman" w:eastAsia="仿宋_GB2312" w:cs="Times New Roman"/>
                      <w:color w:val="auto"/>
                      <w:sz w:val="18"/>
                      <w:szCs w:val="18"/>
                      <w:highlight w:val="none"/>
                      <w:lang w:eastAsia="zh-CN"/>
                    </w:rPr>
                    <w:t>。截止阀能够在开启或关闭位置锁定。</w:t>
                  </w:r>
                </w:p>
              </w:tc>
              <w:tc>
                <w:tcPr>
                  <w:tcW w:w="270" w:type="pct"/>
                  <w:tcBorders>
                    <w:tl2br w:val="nil"/>
                    <w:tr2bl w:val="nil"/>
                  </w:tcBorders>
                  <w:shd w:val="clear" w:color="auto" w:fill="auto"/>
                  <w:tcMar>
                    <w:left w:w="108" w:type="dxa"/>
                    <w:right w:w="108" w:type="dxa"/>
                  </w:tcMar>
                  <w:vAlign w:val="center"/>
                </w:tcPr>
                <w:p w14:paraId="1F49DC90">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1A2952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7C86BBB0">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28C2203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sz w:val="18"/>
                      <w:szCs w:val="18"/>
                      <w:highlight w:val="none"/>
                    </w:rPr>
                  </w:pPr>
                </w:p>
              </w:tc>
              <w:tc>
                <w:tcPr>
                  <w:tcW w:w="2234" w:type="pct"/>
                  <w:tcBorders>
                    <w:tl2br w:val="nil"/>
                    <w:tr2bl w:val="nil"/>
                  </w:tcBorders>
                  <w:shd w:val="clear" w:color="auto" w:fill="auto"/>
                  <w:tcMar>
                    <w:left w:w="108" w:type="dxa"/>
                    <w:right w:w="108" w:type="dxa"/>
                  </w:tcMar>
                  <w:vAlign w:val="center"/>
                </w:tcPr>
                <w:p w14:paraId="038AFC5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仿宋_GB2312" w:cs="Times New Roman"/>
                      <w:color w:val="auto"/>
                      <w:sz w:val="18"/>
                      <w:szCs w:val="18"/>
                      <w:highlight w:val="none"/>
                      <w:lang w:eastAsia="zh-CN"/>
                    </w:rPr>
                  </w:pPr>
                  <w:r>
                    <w:rPr>
                      <w:rFonts w:hint="eastAsia" w:ascii="Times New Roman" w:hAnsi="Times New Roman" w:cs="Times New Roman"/>
                      <w:color w:val="auto"/>
                      <w:sz w:val="18"/>
                      <w:szCs w:val="18"/>
                      <w:highlight w:val="none"/>
                      <w:lang w:val="en-US" w:eastAsia="zh-CN"/>
                    </w:rPr>
                    <w:t>第</w:t>
                  </w:r>
                  <w:r>
                    <w:rPr>
                      <w:rFonts w:hint="default" w:ascii="Times New Roman" w:hAnsi="Times New Roman" w:eastAsia="仿宋_GB2312" w:cs="Times New Roman"/>
                      <w:color w:val="auto"/>
                      <w:sz w:val="18"/>
                      <w:szCs w:val="18"/>
                      <w:highlight w:val="none"/>
                    </w:rPr>
                    <w:t>3.4.6</w:t>
                  </w:r>
                  <w:r>
                    <w:rPr>
                      <w:rFonts w:hint="eastAsia" w:ascii="Times New Roman" w:hAnsi="Times New Roman" w:cs="Times New Roman"/>
                      <w:color w:val="auto"/>
                      <w:sz w:val="18"/>
                      <w:szCs w:val="18"/>
                      <w:highlight w:val="none"/>
                      <w:lang w:eastAsia="zh-CN"/>
                    </w:rPr>
                    <w:t>：</w:t>
                  </w:r>
                </w:p>
                <w:p w14:paraId="7F14DAB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放空立管的设置应符合下列规定:</w:t>
                  </w:r>
                </w:p>
                <w:p w14:paraId="0715C6E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eastAsia" w:cs="Times New Roman"/>
                      <w:color w:val="auto"/>
                      <w:sz w:val="18"/>
                      <w:szCs w:val="18"/>
                      <w:highlight w:val="none"/>
                      <w:lang w:val="en-US" w:eastAsia="zh-CN"/>
                    </w:rPr>
                    <w:t>1.</w:t>
                  </w:r>
                  <w:r>
                    <w:rPr>
                      <w:rFonts w:hint="default" w:ascii="Times New Roman" w:hAnsi="Times New Roman" w:eastAsia="仿宋_GB2312" w:cs="Times New Roman"/>
                      <w:color w:val="auto"/>
                      <w:sz w:val="18"/>
                      <w:szCs w:val="18"/>
                      <w:highlight w:val="none"/>
                    </w:rPr>
                    <w:t>可能存在点火源的区域内，不应形成爆炸性气体混合物;</w:t>
                  </w:r>
                </w:p>
                <w:p w14:paraId="3C3C288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eastAsia" w:cs="Times New Roman"/>
                      <w:color w:val="auto"/>
                      <w:sz w:val="18"/>
                      <w:szCs w:val="18"/>
                      <w:highlight w:val="none"/>
                      <w:lang w:val="en-US" w:eastAsia="zh-CN"/>
                    </w:rPr>
                    <w:t>2.</w:t>
                  </w:r>
                  <w:r>
                    <w:rPr>
                      <w:rFonts w:hint="default" w:ascii="Times New Roman" w:hAnsi="Times New Roman" w:eastAsia="仿宋_GB2312" w:cs="Times New Roman"/>
                      <w:color w:val="auto"/>
                      <w:sz w:val="18"/>
                      <w:szCs w:val="18"/>
                      <w:highlight w:val="none"/>
                    </w:rPr>
                    <w:t>放空立管直径应满足设计最大放空量的要求;</w:t>
                  </w:r>
                </w:p>
                <w:p w14:paraId="7AEF29E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eastAsia" w:cs="Times New Roman"/>
                      <w:color w:val="auto"/>
                      <w:sz w:val="18"/>
                      <w:szCs w:val="18"/>
                      <w:highlight w:val="none"/>
                      <w:lang w:val="en-US" w:eastAsia="zh-CN"/>
                    </w:rPr>
                    <w:t>3.</w:t>
                  </w:r>
                  <w:r>
                    <w:rPr>
                      <w:rFonts w:hint="default" w:ascii="Times New Roman" w:hAnsi="Times New Roman" w:eastAsia="仿宋_GB2312" w:cs="Times New Roman"/>
                      <w:color w:val="auto"/>
                      <w:sz w:val="18"/>
                      <w:szCs w:val="18"/>
                      <w:highlight w:val="none"/>
                    </w:rPr>
                    <w:t>放空立管口应保持向上，顶端不应加装弯管;</w:t>
                  </w:r>
                </w:p>
                <w:p w14:paraId="7172E37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eastAsia" w:cs="Times New Roman"/>
                      <w:color w:val="auto"/>
                      <w:sz w:val="18"/>
                      <w:szCs w:val="18"/>
                      <w:highlight w:val="none"/>
                      <w:lang w:val="en-US" w:eastAsia="zh-CN"/>
                    </w:rPr>
                    <w:t>4.</w:t>
                  </w:r>
                  <w:r>
                    <w:rPr>
                      <w:rFonts w:hint="default" w:ascii="Times New Roman" w:hAnsi="Times New Roman" w:eastAsia="仿宋_GB2312" w:cs="Times New Roman"/>
                      <w:color w:val="auto"/>
                      <w:sz w:val="18"/>
                      <w:szCs w:val="18"/>
                      <w:highlight w:val="none"/>
                    </w:rPr>
                    <w:t>放空立管应有稳管、加固措施;</w:t>
                  </w:r>
                </w:p>
                <w:p w14:paraId="502D465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eastAsia" w:cs="Times New Roman"/>
                      <w:color w:val="auto"/>
                      <w:sz w:val="18"/>
                      <w:szCs w:val="18"/>
                      <w:highlight w:val="none"/>
                      <w:lang w:val="en-US" w:eastAsia="zh-CN"/>
                    </w:rPr>
                    <w:t>5.</w:t>
                  </w:r>
                  <w:r>
                    <w:rPr>
                      <w:rFonts w:hint="default" w:ascii="Times New Roman" w:hAnsi="Times New Roman" w:eastAsia="仿宋_GB2312" w:cs="Times New Roman"/>
                      <w:color w:val="auto"/>
                      <w:sz w:val="18"/>
                      <w:szCs w:val="18"/>
                      <w:highlight w:val="none"/>
                    </w:rPr>
                    <w:t>放空立管底部宜有排除积水和杂物的措施:</w:t>
                  </w:r>
                </w:p>
                <w:p w14:paraId="56DAEAD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6.</w:t>
                  </w:r>
                  <w:r>
                    <w:rPr>
                      <w:rFonts w:hint="default" w:ascii="Times New Roman" w:hAnsi="Times New Roman" w:eastAsia="仿宋_GB2312" w:cs="Times New Roman"/>
                      <w:color w:val="auto"/>
                      <w:sz w:val="18"/>
                      <w:szCs w:val="18"/>
                      <w:highlight w:val="none"/>
                    </w:rPr>
                    <w:t>放空立管设置的位置应能方便运行操作和维护。</w:t>
                  </w:r>
                </w:p>
              </w:tc>
              <w:tc>
                <w:tcPr>
                  <w:tcW w:w="1153" w:type="pct"/>
                  <w:tcBorders>
                    <w:tl2br w:val="nil"/>
                    <w:tr2bl w:val="nil"/>
                  </w:tcBorders>
                  <w:shd w:val="clear" w:color="auto" w:fill="auto"/>
                  <w:tcMar>
                    <w:left w:w="108" w:type="dxa"/>
                    <w:right w:w="108" w:type="dxa"/>
                  </w:tcMar>
                  <w:vAlign w:val="center"/>
                </w:tcPr>
                <w:p w14:paraId="17D209C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放空立管排至厂区高处，顶端未加装弯管，不会形成爆炸性气体混合物；放空立管直径与主管直径相同，满足最大放空量的要求；放空立管设置的位置可以方便运行操作和维护。</w:t>
                  </w:r>
                </w:p>
              </w:tc>
              <w:tc>
                <w:tcPr>
                  <w:tcW w:w="270" w:type="pct"/>
                  <w:tcBorders>
                    <w:tl2br w:val="nil"/>
                    <w:tr2bl w:val="nil"/>
                  </w:tcBorders>
                  <w:shd w:val="clear" w:color="auto" w:fill="auto"/>
                  <w:tcMar>
                    <w:left w:w="108" w:type="dxa"/>
                    <w:right w:w="108" w:type="dxa"/>
                  </w:tcMar>
                  <w:vAlign w:val="center"/>
                </w:tcPr>
                <w:p w14:paraId="08C2A3DE">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745E31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413914FD">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tcBorders>
                    <w:tl2br w:val="nil"/>
                    <w:tr2bl w:val="nil"/>
                  </w:tcBorders>
                  <w:shd w:val="clear" w:color="auto" w:fill="auto"/>
                  <w:tcMar>
                    <w:left w:w="108" w:type="dxa"/>
                    <w:right w:w="108" w:type="dxa"/>
                  </w:tcMar>
                  <w:vAlign w:val="center"/>
                </w:tcPr>
                <w:p w14:paraId="2869F348">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《化工园区公共管廊管理规程》</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GB/T36762-2018</w:t>
                  </w:r>
                  <w:r>
                    <w:rPr>
                      <w:rFonts w:hint="default" w:ascii="Times New Roman" w:hAnsi="Times New Roman" w:eastAsia="仿宋_GB2312" w:cs="Times New Roman"/>
                      <w:color w:val="auto"/>
                      <w:sz w:val="18"/>
                      <w:szCs w:val="18"/>
                      <w:highlight w:val="none"/>
                      <w:lang w:eastAsia="zh-CN"/>
                    </w:rPr>
                    <w:t>）</w:t>
                  </w:r>
                </w:p>
              </w:tc>
              <w:tc>
                <w:tcPr>
                  <w:tcW w:w="2234" w:type="pct"/>
                  <w:tcBorders>
                    <w:tl2br w:val="nil"/>
                    <w:tr2bl w:val="nil"/>
                  </w:tcBorders>
                  <w:shd w:val="clear" w:color="auto" w:fill="auto"/>
                  <w:tcMar>
                    <w:left w:w="108" w:type="dxa"/>
                    <w:right w:w="108" w:type="dxa"/>
                  </w:tcMar>
                  <w:vAlign w:val="center"/>
                </w:tcPr>
                <w:p w14:paraId="07C6DA7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rPr>
                    <w:t>第7.4条</w:t>
                  </w:r>
                  <w:r>
                    <w:rPr>
                      <w:rFonts w:hint="eastAsia" w:ascii="Times New Roman" w:hAnsi="Times New Roman" w:cs="Times New Roman"/>
                      <w:color w:val="auto"/>
                      <w:sz w:val="18"/>
                      <w:szCs w:val="18"/>
                      <w:highlight w:val="none"/>
                      <w:lang w:eastAsia="zh-CN"/>
                    </w:rPr>
                    <w:t>：</w:t>
                  </w:r>
                </w:p>
                <w:p w14:paraId="577262E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1使用单位对管道及附件的检查、检验和维护等应按照GB/T20801、TSG08的要求进行。</w:t>
                  </w:r>
                </w:p>
                <w:p w14:paraId="3168ECE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2使用单位应每年初向管理单位提交管道的年度检维修计划。</w:t>
                  </w:r>
                </w:p>
                <w:p w14:paraId="2DC023C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3管理单位应对管架及附属设施进行检测、加固、调整、防腐等方面的维护与保养</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钢结构工程的防腐应符合GB 50205的要求。</w:t>
                  </w:r>
                </w:p>
                <w:p w14:paraId="207F310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4管理单位应在公共管廊上安装防雷装置</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并保持完好</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每年至少测试</w:t>
                  </w:r>
                  <w:r>
                    <w:rPr>
                      <w:rFonts w:hint="eastAsia" w:cs="Times New Roman"/>
                      <w:color w:val="auto"/>
                      <w:sz w:val="18"/>
                      <w:szCs w:val="18"/>
                      <w:highlight w:val="none"/>
                      <w:lang w:val="en-US" w:eastAsia="zh-CN"/>
                    </w:rPr>
                    <w:t>一</w:t>
                  </w:r>
                  <w:r>
                    <w:rPr>
                      <w:rFonts w:hint="default" w:ascii="Times New Roman" w:hAnsi="Times New Roman" w:eastAsia="仿宋_GB2312" w:cs="Times New Roman"/>
                      <w:color w:val="auto"/>
                      <w:sz w:val="18"/>
                      <w:szCs w:val="18"/>
                      <w:highlight w:val="none"/>
                    </w:rPr>
                    <w:t>次接地电阻。</w:t>
                  </w:r>
                </w:p>
                <w:p w14:paraId="1C750BB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5管理单位应按GB50160和SH3097的要求对管道进行静电接地</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定期检测。</w:t>
                  </w:r>
                </w:p>
                <w:p w14:paraId="5C45C60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6管理单位应定期观测公共管廊的沉降，记录观测结果。</w:t>
                  </w:r>
                </w:p>
                <w:p w14:paraId="17BC82C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7管廊设备仪器维护检修后，应填写维修记录。记录的内容包括维修时间、人员和维修内容等。</w:t>
                  </w:r>
                </w:p>
                <w:p w14:paraId="4F1E4F4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8应保持应急照明系统、应急通信系统和事故预警系统等设施处于正常状态，并定期检测、维护保养。气体报警设备应由有资质的单位每年进行一次强检</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确保安全有效。</w:t>
                  </w:r>
                </w:p>
                <w:p w14:paraId="7294BAB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9管理单位应在易燃、易爆、有毒有害等危险场所的醒目位置设置符合国家有关规定的安全标志。</w:t>
                  </w:r>
                </w:p>
                <w:p w14:paraId="04535C8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10管廊区域应设置禁</w:t>
                  </w:r>
                  <w:r>
                    <w:rPr>
                      <w:rFonts w:hint="eastAsia" w:cs="Times New Roman"/>
                      <w:color w:val="auto"/>
                      <w:sz w:val="18"/>
                      <w:szCs w:val="18"/>
                      <w:highlight w:val="none"/>
                      <w:lang w:val="en-US" w:eastAsia="zh-CN"/>
                    </w:rPr>
                    <w:t>入</w:t>
                  </w:r>
                  <w:r>
                    <w:rPr>
                      <w:rFonts w:hint="default" w:ascii="Times New Roman" w:hAnsi="Times New Roman" w:eastAsia="仿宋_GB2312" w:cs="Times New Roman"/>
                      <w:color w:val="auto"/>
                      <w:sz w:val="18"/>
                      <w:szCs w:val="18"/>
                      <w:highlight w:val="none"/>
                    </w:rPr>
                    <w:t>、限高和限速等标志。</w:t>
                  </w:r>
                </w:p>
                <w:p w14:paraId="49B3A71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11管廊区域内不应堆放易燃物和可燃物。</w:t>
                  </w:r>
                </w:p>
                <w:p w14:paraId="66DF535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12在管廊安全保护区域</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禁止危险行为。包括但不局限于以下行为：</w:t>
                  </w:r>
                </w:p>
                <w:p w14:paraId="5A562D7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a</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非作业人员及作业不涉及该过程的人员及车辆不应在管廊下滞留，不应无故进入管廊警戒线范围，不应在该区域内吸烟或进行其他能产生明火的作业及活动；</w:t>
                  </w:r>
                </w:p>
                <w:p w14:paraId="7B09C03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b</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不应在管廊下堆物，管廊安全保护范围内不应建造建筑物或者构筑物；</w:t>
                  </w:r>
                </w:p>
                <w:p w14:paraId="3A71DE2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c</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不应有乔木、灌木等易燃和遮挡视线类植物；</w:t>
                  </w:r>
                </w:p>
                <w:p w14:paraId="175F7AD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d</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管廊安全保护范围内的区域不应排放腐蚀性液体、气体；</w:t>
                  </w:r>
                </w:p>
                <w:p w14:paraId="7DA19C9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e</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凡涉及管廊安全保护范围内的区域，需敷设管道，从事打桩、挖掘、顶进作业，建设单位应会同施工单位制定管廊设施保护方案。未经管廊管理单位同意并办理相关手续</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不得施工；</w:t>
                  </w:r>
                </w:p>
                <w:p w14:paraId="6163B2D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f</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不应移动、覆盖、拆除或者毁损公共管廊设施的安全警示标志；</w:t>
                  </w:r>
                </w:p>
                <w:p w14:paraId="4CBFA7C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g</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不应破坏公共管廊结构及附属设施；</w:t>
                  </w:r>
                </w:p>
                <w:p w14:paraId="6681022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不应在管廊的上方架设电力线路、通信线路；</w:t>
                  </w:r>
                </w:p>
                <w:p w14:paraId="42C33D2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i</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不应擅自开启、关闭管道阀门；</w:t>
                  </w:r>
                </w:p>
                <w:p w14:paraId="4FF1CE9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j</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其他危害公共管廊安全运行的行为。</w:t>
                  </w:r>
                </w:p>
              </w:tc>
              <w:tc>
                <w:tcPr>
                  <w:tcW w:w="1153" w:type="pct"/>
                  <w:tcBorders>
                    <w:tl2br w:val="nil"/>
                    <w:tr2bl w:val="nil"/>
                  </w:tcBorders>
                  <w:shd w:val="clear" w:color="auto" w:fill="auto"/>
                  <w:tcMar>
                    <w:left w:w="108" w:type="dxa"/>
                    <w:right w:w="108" w:type="dxa"/>
                  </w:tcMar>
                  <w:vAlign w:val="center"/>
                </w:tcPr>
                <w:p w14:paraId="7A6DBF8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项目建成后，</w:t>
                  </w:r>
                  <w:r>
                    <w:rPr>
                      <w:rFonts w:hint="default" w:ascii="Times New Roman" w:hAnsi="Times New Roman" w:eastAsia="仿宋_GB2312" w:cs="Times New Roman"/>
                      <w:color w:val="auto"/>
                      <w:sz w:val="18"/>
                      <w:szCs w:val="18"/>
                      <w:highlight w:val="none"/>
                      <w:lang w:val="en-US" w:eastAsia="zh-CN"/>
                    </w:rPr>
                    <w:t>使用单位、管理单位</w:t>
                  </w:r>
                  <w:r>
                    <w:rPr>
                      <w:rFonts w:hint="eastAsia" w:ascii="Times New Roman" w:hAnsi="Times New Roman" w:cs="Times New Roman"/>
                      <w:color w:val="auto"/>
                      <w:sz w:val="18"/>
                      <w:szCs w:val="18"/>
                      <w:highlight w:val="none"/>
                      <w:lang w:val="en-US" w:eastAsia="zh-CN"/>
                    </w:rPr>
                    <w:t>需要共同</w:t>
                  </w:r>
                  <w:r>
                    <w:rPr>
                      <w:rFonts w:hint="default" w:ascii="Times New Roman" w:hAnsi="Times New Roman" w:eastAsia="仿宋_GB2312" w:cs="Times New Roman"/>
                      <w:color w:val="auto"/>
                      <w:sz w:val="18"/>
                      <w:szCs w:val="18"/>
                      <w:highlight w:val="none"/>
                      <w:lang w:val="en-US" w:eastAsia="zh-CN"/>
                    </w:rPr>
                    <w:t>落实。</w:t>
                  </w:r>
                </w:p>
              </w:tc>
              <w:tc>
                <w:tcPr>
                  <w:tcW w:w="270" w:type="pct"/>
                  <w:tcBorders>
                    <w:tl2br w:val="nil"/>
                    <w:tr2bl w:val="nil"/>
                  </w:tcBorders>
                  <w:shd w:val="clear" w:color="auto" w:fill="auto"/>
                  <w:tcMar>
                    <w:left w:w="108" w:type="dxa"/>
                    <w:right w:w="108" w:type="dxa"/>
                  </w:tcMar>
                  <w:vAlign w:val="center"/>
                </w:tcPr>
                <w:p w14:paraId="4FE44626">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318FAD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1AAA4151">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restart"/>
                  <w:tcBorders>
                    <w:tl2br w:val="nil"/>
                    <w:tr2bl w:val="nil"/>
                  </w:tcBorders>
                  <w:shd w:val="clear" w:color="auto" w:fill="auto"/>
                  <w:tcMar>
                    <w:left w:w="108" w:type="dxa"/>
                    <w:right w:w="108" w:type="dxa"/>
                  </w:tcMar>
                  <w:vAlign w:val="center"/>
                </w:tcPr>
                <w:p w14:paraId="3B0ADDF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《石油化工企业设计防火标准》（GB50160-2008，2018版）</w:t>
                  </w:r>
                </w:p>
              </w:tc>
              <w:tc>
                <w:tcPr>
                  <w:tcW w:w="2234" w:type="pct"/>
                  <w:tcBorders>
                    <w:tl2br w:val="nil"/>
                    <w:tr2bl w:val="nil"/>
                  </w:tcBorders>
                  <w:shd w:val="clear" w:color="auto" w:fill="auto"/>
                  <w:tcMar>
                    <w:left w:w="108" w:type="dxa"/>
                    <w:right w:w="108" w:type="dxa"/>
                  </w:tcMar>
                  <w:vAlign w:val="center"/>
                </w:tcPr>
                <w:p w14:paraId="52AF132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第7.1.</w:t>
                  </w:r>
                  <w:r>
                    <w:rPr>
                      <w:rFonts w:hint="default" w:ascii="Times New Roman" w:hAnsi="Times New Roman" w:eastAsia="仿宋_GB2312" w:cs="Times New Roman"/>
                      <w:color w:val="auto"/>
                      <w:sz w:val="18"/>
                      <w:szCs w:val="18"/>
                      <w:highlight w:val="none"/>
                      <w:lang w:val="en-US" w:eastAsia="zh-CN"/>
                    </w:rPr>
                    <w:t>2</w:t>
                  </w:r>
                  <w:r>
                    <w:rPr>
                      <w:rFonts w:hint="default" w:ascii="Times New Roman" w:hAnsi="Times New Roman" w:eastAsia="仿宋_GB2312" w:cs="Times New Roman"/>
                      <w:color w:val="auto"/>
                      <w:sz w:val="18"/>
                      <w:szCs w:val="18"/>
                      <w:highlight w:val="none"/>
                    </w:rPr>
                    <w:t>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管道及其桁架跨越厂内道路的净空高度不应小于5m。在跨越道路的可燃气体管道上不应设置阀门及易发生泄漏的管道附件。</w:t>
                  </w:r>
                </w:p>
              </w:tc>
              <w:tc>
                <w:tcPr>
                  <w:tcW w:w="1153" w:type="pct"/>
                  <w:tcBorders>
                    <w:tl2br w:val="nil"/>
                    <w:tr2bl w:val="nil"/>
                  </w:tcBorders>
                  <w:shd w:val="clear" w:color="auto" w:fill="auto"/>
                  <w:tcMar>
                    <w:left w:w="108" w:type="dxa"/>
                    <w:right w:w="108" w:type="dxa"/>
                  </w:tcMar>
                  <w:vAlign w:val="center"/>
                </w:tcPr>
                <w:p w14:paraId="11EF8176">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both"/>
                    <w:textAlignment w:val="auto"/>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rPr>
                    <w:t>管道及其桁架跨越厂内道路的净空高度不应小于5m</w:t>
                  </w:r>
                  <w:r>
                    <w:rPr>
                      <w:rFonts w:hint="default" w:ascii="Times New Roman" w:hAnsi="Times New Roman" w:eastAsia="仿宋_GB2312" w:cs="Times New Roman"/>
                      <w:color w:val="auto"/>
                      <w:sz w:val="18"/>
                      <w:szCs w:val="18"/>
                      <w:highlight w:val="none"/>
                      <w:lang w:eastAsia="zh-CN"/>
                    </w:rPr>
                    <w:t>，在跨越道路的</w:t>
                  </w:r>
                  <w:r>
                    <w:rPr>
                      <w:rFonts w:hint="default" w:ascii="Times New Roman" w:hAnsi="Times New Roman" w:eastAsia="仿宋_GB2312" w:cs="Times New Roman"/>
                      <w:color w:val="auto"/>
                      <w:sz w:val="18"/>
                      <w:szCs w:val="18"/>
                      <w:highlight w:val="none"/>
                      <w:lang w:val="en-US" w:eastAsia="zh-CN"/>
                    </w:rPr>
                    <w:t>氢气</w:t>
                  </w:r>
                  <w:r>
                    <w:rPr>
                      <w:rFonts w:hint="default" w:ascii="Times New Roman" w:hAnsi="Times New Roman" w:eastAsia="仿宋_GB2312" w:cs="Times New Roman"/>
                      <w:color w:val="auto"/>
                      <w:sz w:val="18"/>
                      <w:szCs w:val="18"/>
                      <w:highlight w:val="none"/>
                      <w:lang w:eastAsia="zh-CN"/>
                    </w:rPr>
                    <w:t>气体管道上</w:t>
                  </w:r>
                  <w:r>
                    <w:rPr>
                      <w:rFonts w:hint="default" w:ascii="Times New Roman" w:hAnsi="Times New Roman" w:eastAsia="仿宋_GB2312" w:cs="Times New Roman"/>
                      <w:color w:val="auto"/>
                      <w:sz w:val="18"/>
                      <w:szCs w:val="18"/>
                      <w:highlight w:val="none"/>
                      <w:lang w:val="en-US" w:eastAsia="zh-CN"/>
                    </w:rPr>
                    <w:t>未</w:t>
                  </w:r>
                  <w:r>
                    <w:rPr>
                      <w:rFonts w:hint="default" w:ascii="Times New Roman" w:hAnsi="Times New Roman" w:eastAsia="仿宋_GB2312" w:cs="Times New Roman"/>
                      <w:color w:val="auto"/>
                      <w:sz w:val="18"/>
                      <w:szCs w:val="18"/>
                      <w:highlight w:val="none"/>
                      <w:lang w:eastAsia="zh-CN"/>
                    </w:rPr>
                    <w:t>设置阀门及</w:t>
                  </w:r>
                  <w:r>
                    <w:rPr>
                      <w:rFonts w:hint="default" w:ascii="Times New Roman" w:hAnsi="Times New Roman" w:eastAsia="仿宋_GB2312" w:cs="Times New Roman"/>
                      <w:color w:val="auto"/>
                      <w:sz w:val="18"/>
                      <w:szCs w:val="18"/>
                      <w:highlight w:val="none"/>
                      <w:lang w:val="en-US" w:eastAsia="zh-CN"/>
                    </w:rPr>
                    <w:t>管件</w:t>
                  </w:r>
                  <w:r>
                    <w:rPr>
                      <w:rFonts w:hint="default" w:ascii="Times New Roman" w:hAnsi="Times New Roman" w:eastAsia="仿宋_GB2312" w:cs="Times New Roman"/>
                      <w:color w:val="auto"/>
                      <w:sz w:val="18"/>
                      <w:szCs w:val="18"/>
                      <w:highlight w:val="none"/>
                      <w:lang w:eastAsia="zh-CN"/>
                    </w:rPr>
                    <w:t>。</w:t>
                  </w:r>
                </w:p>
              </w:tc>
              <w:tc>
                <w:tcPr>
                  <w:tcW w:w="270" w:type="pct"/>
                  <w:tcBorders>
                    <w:tl2br w:val="nil"/>
                    <w:tr2bl w:val="nil"/>
                  </w:tcBorders>
                  <w:shd w:val="clear" w:color="auto" w:fill="auto"/>
                  <w:tcMar>
                    <w:left w:w="108" w:type="dxa"/>
                    <w:right w:w="108" w:type="dxa"/>
                  </w:tcMar>
                  <w:vAlign w:val="center"/>
                </w:tcPr>
                <w:p w14:paraId="72380CB9">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4F04F3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63452C48">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0D9046A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251F40A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第7.</w:t>
                  </w:r>
                  <w:r>
                    <w:rPr>
                      <w:rFonts w:hint="default" w:ascii="Times New Roman" w:hAnsi="Times New Roman" w:eastAsia="仿宋_GB2312" w:cs="Times New Roman"/>
                      <w:color w:val="auto"/>
                      <w:sz w:val="18"/>
                      <w:szCs w:val="18"/>
                      <w:highlight w:val="none"/>
                      <w:lang w:val="en-US" w:eastAsia="zh-CN"/>
                    </w:rPr>
                    <w:t>2</w:t>
                  </w:r>
                  <w:r>
                    <w:rPr>
                      <w:rFonts w:hint="default" w:ascii="Times New Roman" w:hAnsi="Times New Roman" w:eastAsia="仿宋_GB2312" w:cs="Times New Roman"/>
                      <w:color w:val="auto"/>
                      <w:sz w:val="18"/>
                      <w:szCs w:val="18"/>
                      <w:highlight w:val="none"/>
                    </w:rPr>
                    <w:t>.</w:t>
                  </w:r>
                  <w:r>
                    <w:rPr>
                      <w:rFonts w:hint="default" w:ascii="Times New Roman" w:hAnsi="Times New Roman" w:eastAsia="仿宋_GB2312" w:cs="Times New Roman"/>
                      <w:color w:val="auto"/>
                      <w:sz w:val="18"/>
                      <w:szCs w:val="18"/>
                      <w:highlight w:val="none"/>
                      <w:lang w:val="en-US" w:eastAsia="zh-CN"/>
                    </w:rPr>
                    <w:t>1</w:t>
                  </w:r>
                  <w:r>
                    <w:rPr>
                      <w:rFonts w:hint="default" w:ascii="Times New Roman" w:hAnsi="Times New Roman" w:eastAsia="仿宋_GB2312" w:cs="Times New Roman"/>
                      <w:color w:val="auto"/>
                      <w:sz w:val="18"/>
                      <w:szCs w:val="18"/>
                      <w:highlight w:val="none"/>
                    </w:rPr>
                    <w:t>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可燃气体的金属管道除需要采用法兰连接外，均应采用焊接连接。</w:t>
                  </w:r>
                </w:p>
              </w:tc>
              <w:tc>
                <w:tcPr>
                  <w:tcW w:w="1153" w:type="pct"/>
                  <w:tcBorders>
                    <w:tl2br w:val="nil"/>
                    <w:tr2bl w:val="nil"/>
                  </w:tcBorders>
                  <w:shd w:val="clear" w:color="auto" w:fill="auto"/>
                  <w:tcMar>
                    <w:left w:w="108" w:type="dxa"/>
                    <w:right w:w="108" w:type="dxa"/>
                  </w:tcMar>
                  <w:vAlign w:val="center"/>
                </w:tcPr>
                <w:p w14:paraId="3D311B9B">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both"/>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氢气</w:t>
                  </w:r>
                  <w:r>
                    <w:rPr>
                      <w:rFonts w:hint="default" w:ascii="Times New Roman" w:hAnsi="Times New Roman" w:eastAsia="仿宋_GB2312" w:cs="Times New Roman"/>
                      <w:color w:val="auto"/>
                      <w:sz w:val="18"/>
                      <w:szCs w:val="18"/>
                      <w:highlight w:val="none"/>
                    </w:rPr>
                    <w:t>管道除需要采用法兰连接外，均采用焊接连接。</w:t>
                  </w:r>
                </w:p>
              </w:tc>
              <w:tc>
                <w:tcPr>
                  <w:tcW w:w="270" w:type="pct"/>
                  <w:tcBorders>
                    <w:tl2br w:val="nil"/>
                    <w:tr2bl w:val="nil"/>
                  </w:tcBorders>
                  <w:shd w:val="clear" w:color="auto" w:fill="auto"/>
                  <w:tcMar>
                    <w:left w:w="108" w:type="dxa"/>
                    <w:right w:w="108" w:type="dxa"/>
                  </w:tcMar>
                  <w:vAlign w:val="center"/>
                </w:tcPr>
                <w:p w14:paraId="1AA5B581">
                  <w:pPr>
                    <w:keepNext w:val="0"/>
                    <w:keepLines w:val="0"/>
                    <w:pageBreakBefore w:val="0"/>
                    <w:suppressLineNumbers w:val="0"/>
                    <w:kinsoku/>
                    <w:wordWrap/>
                    <w:overflowPunct/>
                    <w:topLinePunct w:val="0"/>
                    <w:bidi w:val="0"/>
                    <w:adjustRightInd/>
                    <w:snapToGrid/>
                    <w:spacing w:before="29" w:beforeLines="10" w:beforeAutospacing="0" w:after="29" w:afterLines="1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67E53B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73187C0F">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3635AD9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26B07FF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第7.4.7条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建议上、下游企业围墙或用地边界线内的管道上均应设置紧急切断阀、流量和压力监测设施。</w:t>
                  </w:r>
                </w:p>
              </w:tc>
              <w:tc>
                <w:tcPr>
                  <w:tcW w:w="1153" w:type="pct"/>
                  <w:tcBorders>
                    <w:tl2br w:val="nil"/>
                    <w:tr2bl w:val="nil"/>
                  </w:tcBorders>
                  <w:shd w:val="clear" w:color="auto" w:fill="auto"/>
                  <w:tcMar>
                    <w:left w:w="108" w:type="dxa"/>
                    <w:right w:w="108" w:type="dxa"/>
                  </w:tcMar>
                  <w:vAlign w:val="center"/>
                </w:tcPr>
                <w:p w14:paraId="2CB39AD6">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_GB2312" w:cs="Times New Roman"/>
                      <w:color w:val="auto"/>
                      <w:kern w:val="0"/>
                      <w:sz w:val="18"/>
                      <w:szCs w:val="18"/>
                      <w:highlight w:val="none"/>
                      <w:lang w:val="en-US"/>
                    </w:rPr>
                  </w:pPr>
                  <w:r>
                    <w:rPr>
                      <w:rFonts w:hint="default" w:ascii="Times New Roman" w:hAnsi="Times New Roman" w:eastAsia="仿宋_GB2312" w:cs="Times New Roman"/>
                      <w:color w:val="auto"/>
                      <w:sz w:val="18"/>
                      <w:szCs w:val="18"/>
                      <w:highlight w:val="none"/>
                      <w:lang w:val="en-US" w:eastAsia="zh-CN"/>
                    </w:rPr>
                    <w:t>氢气管道</w:t>
                  </w:r>
                  <w:r>
                    <w:rPr>
                      <w:rFonts w:hint="eastAsia" w:cs="Times New Roman"/>
                      <w:color w:val="auto"/>
                      <w:sz w:val="18"/>
                      <w:szCs w:val="18"/>
                      <w:highlight w:val="none"/>
                      <w:lang w:val="en-US" w:eastAsia="zh-CN"/>
                    </w:rPr>
                    <w:t>自</w:t>
                  </w:r>
                  <w:r>
                    <w:rPr>
                      <w:rFonts w:hint="default" w:ascii="Times New Roman" w:hAnsi="Times New Roman" w:eastAsia="仿宋_GB2312" w:cs="Times New Roman"/>
                      <w:color w:val="auto"/>
                      <w:sz w:val="18"/>
                      <w:szCs w:val="18"/>
                      <w:highlight w:val="none"/>
                      <w:lang w:val="en-US" w:eastAsia="zh-CN"/>
                    </w:rPr>
                    <w:t>安徽湛为氢气主管接口</w:t>
                  </w:r>
                  <w:r>
                    <w:rPr>
                      <w:rFonts w:hint="eastAsia" w:cs="Times New Roman"/>
                      <w:color w:val="auto"/>
                      <w:sz w:val="18"/>
                      <w:szCs w:val="18"/>
                      <w:highlight w:val="none"/>
                      <w:lang w:val="en-US" w:eastAsia="zh-CN"/>
                    </w:rPr>
                    <w:t>引出，</w:t>
                  </w:r>
                  <w:r>
                    <w:rPr>
                      <w:rFonts w:hint="default" w:ascii="Times New Roman" w:hAnsi="Times New Roman" w:eastAsia="仿宋_GB2312" w:cs="Times New Roman"/>
                      <w:color w:val="auto"/>
                      <w:sz w:val="18"/>
                      <w:szCs w:val="18"/>
                      <w:highlight w:val="none"/>
                      <w:lang w:val="en-US" w:eastAsia="zh-CN"/>
                    </w:rPr>
                    <w:t>接入</w:t>
                  </w:r>
                  <w:r>
                    <w:rPr>
                      <w:rFonts w:hint="eastAsia" w:cs="Times New Roman"/>
                      <w:color w:val="auto"/>
                      <w:sz w:val="18"/>
                      <w:szCs w:val="18"/>
                      <w:highlight w:val="none"/>
                      <w:lang w:val="en-US" w:eastAsia="zh-CN"/>
                    </w:rPr>
                    <w:t>润土公司</w:t>
                  </w:r>
                  <w:r>
                    <w:rPr>
                      <w:rFonts w:hint="default" w:ascii="Times New Roman" w:hAnsi="Times New Roman" w:eastAsia="仿宋_GB2312" w:cs="Times New Roman"/>
                      <w:color w:val="auto"/>
                      <w:sz w:val="18"/>
                      <w:szCs w:val="18"/>
                      <w:highlight w:val="none"/>
                      <w:lang w:val="en-US" w:eastAsia="zh-CN"/>
                    </w:rPr>
                    <w:t>厂区</w:t>
                  </w:r>
                  <w:r>
                    <w:rPr>
                      <w:rFonts w:hint="eastAsia" w:cs="Times New Roman"/>
                      <w:color w:val="auto"/>
                      <w:sz w:val="18"/>
                      <w:szCs w:val="18"/>
                      <w:highlight w:val="none"/>
                      <w:lang w:val="en-US" w:eastAsia="zh-CN"/>
                    </w:rPr>
                    <w:t>厂界线内位置</w:t>
                  </w:r>
                  <w:r>
                    <w:rPr>
                      <w:rFonts w:hint="default" w:ascii="Times New Roman" w:hAnsi="Times New Roman" w:eastAsia="仿宋_GB2312" w:cs="Times New Roman"/>
                      <w:color w:val="auto"/>
                      <w:sz w:val="18"/>
                      <w:szCs w:val="18"/>
                      <w:highlight w:val="none"/>
                      <w:lang w:val="en-US" w:eastAsia="zh-CN"/>
                    </w:rPr>
                    <w:t>，</w:t>
                  </w:r>
                  <w:r>
                    <w:rPr>
                      <w:rFonts w:hint="eastAsia" w:cs="Times New Roman"/>
                      <w:color w:val="auto"/>
                      <w:sz w:val="18"/>
                      <w:szCs w:val="18"/>
                      <w:highlight w:val="none"/>
                      <w:lang w:val="en-US" w:eastAsia="zh-CN"/>
                    </w:rPr>
                    <w:t>润土公司</w:t>
                  </w:r>
                  <w:r>
                    <w:rPr>
                      <w:rFonts w:hint="default" w:ascii="Times New Roman" w:hAnsi="Times New Roman" w:eastAsia="仿宋_GB2312" w:cs="Times New Roman"/>
                      <w:color w:val="auto"/>
                      <w:sz w:val="18"/>
                      <w:szCs w:val="18"/>
                      <w:highlight w:val="none"/>
                      <w:lang w:val="en-US" w:eastAsia="zh-CN"/>
                    </w:rPr>
                    <w:t>厂区</w:t>
                  </w:r>
                  <w:r>
                    <w:rPr>
                      <w:rFonts w:hint="eastAsia" w:cs="Times New Roman"/>
                      <w:color w:val="auto"/>
                      <w:sz w:val="18"/>
                      <w:szCs w:val="18"/>
                      <w:highlight w:val="none"/>
                      <w:lang w:val="en-US" w:eastAsia="zh-CN"/>
                    </w:rPr>
                    <w:t>厂界线内</w:t>
                  </w:r>
                  <w:r>
                    <w:rPr>
                      <w:rFonts w:hint="default" w:ascii="Times New Roman" w:hAnsi="Times New Roman" w:eastAsia="仿宋_GB2312" w:cs="Times New Roman"/>
                      <w:color w:val="auto"/>
                      <w:sz w:val="18"/>
                      <w:szCs w:val="18"/>
                      <w:highlight w:val="none"/>
                      <w:lang w:val="en-US" w:eastAsia="zh-CN"/>
                    </w:rPr>
                    <w:t>设置有紧急切断阀、流量和压力监测设施。</w:t>
                  </w:r>
                </w:p>
              </w:tc>
              <w:tc>
                <w:tcPr>
                  <w:tcW w:w="270" w:type="pct"/>
                  <w:tcBorders>
                    <w:tl2br w:val="nil"/>
                    <w:tr2bl w:val="nil"/>
                  </w:tcBorders>
                  <w:shd w:val="clear" w:color="auto" w:fill="auto"/>
                  <w:tcMar>
                    <w:left w:w="108" w:type="dxa"/>
                    <w:right w:w="108" w:type="dxa"/>
                  </w:tcMar>
                  <w:vAlign w:val="center"/>
                </w:tcPr>
                <w:p w14:paraId="37FE906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661650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22147260">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106FD51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1C46EB58">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第7.4.8条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管道除需要采用法兰连接外，均应采用焊接连接；管道补偿应采用自然补偿。</w:t>
                  </w:r>
                </w:p>
              </w:tc>
              <w:tc>
                <w:tcPr>
                  <w:tcW w:w="1153" w:type="pct"/>
                  <w:tcBorders>
                    <w:tl2br w:val="nil"/>
                    <w:tr2bl w:val="nil"/>
                  </w:tcBorders>
                  <w:shd w:val="clear" w:color="auto" w:fill="auto"/>
                  <w:tcMar>
                    <w:left w:w="108" w:type="dxa"/>
                    <w:right w:w="108" w:type="dxa"/>
                  </w:tcMar>
                  <w:vAlign w:val="center"/>
                </w:tcPr>
                <w:p w14:paraId="0991EA82">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氢气管道除需要采用法兰连接外，均采用焊接连接。管道采用自然补偿。</w:t>
                  </w:r>
                </w:p>
              </w:tc>
              <w:tc>
                <w:tcPr>
                  <w:tcW w:w="270" w:type="pct"/>
                  <w:tcBorders>
                    <w:tl2br w:val="nil"/>
                    <w:tr2bl w:val="nil"/>
                  </w:tcBorders>
                  <w:shd w:val="clear" w:color="auto" w:fill="auto"/>
                  <w:tcMar>
                    <w:left w:w="108" w:type="dxa"/>
                    <w:right w:w="108" w:type="dxa"/>
                  </w:tcMar>
                  <w:vAlign w:val="center"/>
                </w:tcPr>
                <w:p w14:paraId="63191D66">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3D99E6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38C89FF8">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6C9549D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2EAE2B1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color w:val="auto"/>
                      <w:sz w:val="18"/>
                      <w:szCs w:val="18"/>
                      <w:highlight w:val="none"/>
                    </w:rPr>
                    <w:t>第7.4.10条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架空敷设的管道不宜设置永久性排凝或排气措施。</w:t>
                  </w:r>
                </w:p>
              </w:tc>
              <w:tc>
                <w:tcPr>
                  <w:tcW w:w="1153" w:type="pct"/>
                  <w:tcBorders>
                    <w:tl2br w:val="nil"/>
                    <w:tr2bl w:val="nil"/>
                  </w:tcBorders>
                  <w:shd w:val="clear" w:color="auto" w:fill="auto"/>
                  <w:tcMar>
                    <w:left w:w="108" w:type="dxa"/>
                    <w:right w:w="108" w:type="dxa"/>
                  </w:tcMar>
                  <w:vAlign w:val="center"/>
                </w:tcPr>
                <w:p w14:paraId="0E2D45D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园区公共管廊上</w:t>
                  </w:r>
                  <w:r>
                    <w:rPr>
                      <w:rFonts w:hint="eastAsia" w:cs="Times New Roman"/>
                      <w:color w:val="auto"/>
                      <w:sz w:val="18"/>
                      <w:szCs w:val="18"/>
                      <w:highlight w:val="none"/>
                      <w:lang w:val="en-US" w:eastAsia="zh-CN"/>
                    </w:rPr>
                    <w:t>的管道</w:t>
                  </w:r>
                  <w:r>
                    <w:rPr>
                      <w:rFonts w:hint="default" w:ascii="Times New Roman" w:hAnsi="Times New Roman" w:eastAsia="仿宋_GB2312" w:cs="Times New Roman"/>
                      <w:color w:val="auto"/>
                      <w:sz w:val="18"/>
                      <w:szCs w:val="18"/>
                      <w:highlight w:val="none"/>
                      <w:lang w:val="en-US" w:eastAsia="zh-CN"/>
                    </w:rPr>
                    <w:t>未设置排凝或排气口。</w:t>
                  </w:r>
                </w:p>
              </w:tc>
              <w:tc>
                <w:tcPr>
                  <w:tcW w:w="270" w:type="pct"/>
                  <w:tcBorders>
                    <w:tl2br w:val="nil"/>
                    <w:tr2bl w:val="nil"/>
                  </w:tcBorders>
                  <w:shd w:val="clear" w:color="auto" w:fill="auto"/>
                  <w:tcMar>
                    <w:left w:w="108" w:type="dxa"/>
                    <w:right w:w="108" w:type="dxa"/>
                  </w:tcMar>
                  <w:vAlign w:val="center"/>
                </w:tcPr>
                <w:p w14:paraId="10241CF1">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13D232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59385C22">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05039748">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5A7672C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第5.6.2条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应按照本标准第5.6.2条要求底层支撑管道的梁、柱，当底层低于4.5m时，地面以上4.5以内的支撑管道的梁、柱，覆盖耐火层的钢构件，其耐火极限不应低于2h。</w:t>
                  </w:r>
                </w:p>
              </w:tc>
              <w:tc>
                <w:tcPr>
                  <w:tcW w:w="1153" w:type="pct"/>
                  <w:tcBorders>
                    <w:tl2br w:val="nil"/>
                    <w:tr2bl w:val="nil"/>
                  </w:tcBorders>
                  <w:shd w:val="clear" w:color="auto" w:fill="auto"/>
                  <w:tcMar>
                    <w:left w:w="108" w:type="dxa"/>
                    <w:right w:w="108" w:type="dxa"/>
                  </w:tcMar>
                  <w:vAlign w:val="center"/>
                </w:tcPr>
                <w:p w14:paraId="24187FF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爆炸危险区范围内，底层支撑管道的梁、柱，当底层低于4.5m时，地面以上4.5以内的支撑管道的梁、柱，均覆盖耐火层，耐火极限不应低于2h。</w:t>
                  </w:r>
                </w:p>
              </w:tc>
              <w:tc>
                <w:tcPr>
                  <w:tcW w:w="270" w:type="pct"/>
                  <w:tcBorders>
                    <w:tl2br w:val="nil"/>
                    <w:tr2bl w:val="nil"/>
                  </w:tcBorders>
                  <w:shd w:val="clear" w:color="auto" w:fill="auto"/>
                  <w:tcMar>
                    <w:left w:w="108" w:type="dxa"/>
                    <w:right w:w="108" w:type="dxa"/>
                  </w:tcMar>
                  <w:vAlign w:val="center"/>
                </w:tcPr>
                <w:p w14:paraId="536D47CD">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21D56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05231741">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restart"/>
                  <w:tcBorders>
                    <w:tl2br w:val="nil"/>
                    <w:tr2bl w:val="nil"/>
                  </w:tcBorders>
                  <w:shd w:val="clear" w:color="auto" w:fill="auto"/>
                  <w:tcMar>
                    <w:left w:w="108" w:type="dxa"/>
                    <w:right w:w="108" w:type="dxa"/>
                  </w:tcMar>
                  <w:vAlign w:val="center"/>
                </w:tcPr>
                <w:p w14:paraId="3454A47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bidi="ar-SA"/>
                    </w:rPr>
                  </w:pPr>
                  <w:r>
                    <w:rPr>
                      <w:rFonts w:hint="default" w:ascii="Times New Roman" w:hAnsi="Times New Roman" w:eastAsia="仿宋_GB2312" w:cs="Times New Roman"/>
                      <w:color w:val="auto"/>
                      <w:sz w:val="18"/>
                      <w:szCs w:val="18"/>
                      <w:highlight w:val="none"/>
                    </w:rPr>
                    <w:t>《石油化工厂际管道工程技术标准》</w:t>
                  </w:r>
                </w:p>
              </w:tc>
              <w:tc>
                <w:tcPr>
                  <w:tcW w:w="2234" w:type="pct"/>
                  <w:tcBorders>
                    <w:tl2br w:val="nil"/>
                    <w:tr2bl w:val="nil"/>
                  </w:tcBorders>
                  <w:shd w:val="clear" w:color="auto" w:fill="auto"/>
                  <w:tcMar>
                    <w:left w:w="108" w:type="dxa"/>
                    <w:right w:w="108" w:type="dxa"/>
                  </w:tcMar>
                  <w:vAlign w:val="center"/>
                </w:tcPr>
                <w:p w14:paraId="12D1049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sz w:val="18"/>
                      <w:szCs w:val="18"/>
                      <w:highlight w:val="none"/>
                    </w:rPr>
                    <w:t>第3.0.4条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可燃</w:t>
                  </w:r>
                  <w:r>
                    <w:rPr>
                      <w:rFonts w:hint="default" w:ascii="Times New Roman" w:hAnsi="Times New Roman" w:eastAsia="仿宋_GB2312" w:cs="Times New Roman"/>
                      <w:color w:val="auto"/>
                      <w:sz w:val="18"/>
                      <w:szCs w:val="18"/>
                      <w:highlight w:val="none"/>
                      <w:lang w:val="en-US" w:eastAsia="zh-CN"/>
                    </w:rPr>
                    <w:t>气体</w:t>
                  </w:r>
                  <w:r>
                    <w:rPr>
                      <w:rFonts w:hint="default" w:ascii="Times New Roman" w:hAnsi="Times New Roman" w:eastAsia="仿宋_GB2312" w:cs="Times New Roman"/>
                      <w:color w:val="auto"/>
                      <w:sz w:val="18"/>
                      <w:szCs w:val="18"/>
                      <w:highlight w:val="none"/>
                    </w:rPr>
                    <w:t>管道应设置泄漏检测措施。</w:t>
                  </w:r>
                </w:p>
              </w:tc>
              <w:tc>
                <w:tcPr>
                  <w:tcW w:w="1153" w:type="pct"/>
                  <w:tcBorders>
                    <w:tl2br w:val="nil"/>
                    <w:tr2bl w:val="nil"/>
                  </w:tcBorders>
                  <w:shd w:val="clear" w:color="auto" w:fill="auto"/>
                  <w:tcMar>
                    <w:left w:w="108" w:type="dxa"/>
                    <w:right w:w="108" w:type="dxa"/>
                  </w:tcMar>
                  <w:vAlign w:val="center"/>
                </w:tcPr>
                <w:p w14:paraId="0AD49DC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在</w:t>
                  </w:r>
                  <w:r>
                    <w:rPr>
                      <w:rFonts w:hint="default" w:ascii="Times New Roman" w:hAnsi="Times New Roman" w:eastAsia="仿宋_GB2312" w:cs="Times New Roman"/>
                      <w:color w:val="auto"/>
                      <w:kern w:val="0"/>
                      <w:sz w:val="18"/>
                      <w:szCs w:val="18"/>
                      <w:highlight w:val="none"/>
                      <w:lang w:val="en-US" w:eastAsia="zh-CN"/>
                    </w:rPr>
                    <w:t>可能的氢气</w:t>
                  </w:r>
                  <w:r>
                    <w:rPr>
                      <w:rFonts w:hint="eastAsia" w:cs="Times New Roman"/>
                      <w:color w:val="auto"/>
                      <w:kern w:val="0"/>
                      <w:sz w:val="18"/>
                      <w:szCs w:val="18"/>
                      <w:highlight w:val="none"/>
                      <w:lang w:val="en-US" w:eastAsia="zh-CN"/>
                    </w:rPr>
                    <w:t>泄漏</w:t>
                  </w:r>
                  <w:r>
                    <w:rPr>
                      <w:rFonts w:hint="default" w:ascii="Times New Roman" w:hAnsi="Times New Roman" w:eastAsia="仿宋_GB2312" w:cs="Times New Roman"/>
                      <w:color w:val="auto"/>
                      <w:kern w:val="0"/>
                      <w:sz w:val="18"/>
                      <w:szCs w:val="18"/>
                      <w:highlight w:val="none"/>
                      <w:lang w:val="en-US" w:eastAsia="zh-CN"/>
                    </w:rPr>
                    <w:t>点均设置了可燃气体泄漏检测仪表。</w:t>
                  </w:r>
                </w:p>
              </w:tc>
              <w:tc>
                <w:tcPr>
                  <w:tcW w:w="270" w:type="pct"/>
                  <w:tcBorders>
                    <w:tl2br w:val="nil"/>
                    <w:tr2bl w:val="nil"/>
                  </w:tcBorders>
                  <w:shd w:val="clear" w:color="auto" w:fill="auto"/>
                  <w:tcMar>
                    <w:left w:w="108" w:type="dxa"/>
                    <w:right w:w="108" w:type="dxa"/>
                  </w:tcMar>
                  <w:vAlign w:val="center"/>
                </w:tcPr>
                <w:p w14:paraId="02DEBC6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2F34BD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67DA8857">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1520796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7B181EF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sz w:val="18"/>
                      <w:szCs w:val="18"/>
                      <w:highlight w:val="none"/>
                    </w:rPr>
                    <w:t>第</w:t>
                  </w:r>
                  <w:r>
                    <w:rPr>
                      <w:rFonts w:hint="default" w:ascii="Times New Roman" w:hAnsi="Times New Roman" w:eastAsia="仿宋_GB2312" w:cs="Times New Roman"/>
                      <w:color w:val="auto"/>
                      <w:sz w:val="18"/>
                      <w:szCs w:val="18"/>
                      <w:highlight w:val="none"/>
                      <w:lang w:val="en-US" w:eastAsia="zh-CN"/>
                    </w:rPr>
                    <w:t>5.2.2</w:t>
                  </w:r>
                  <w:r>
                    <w:rPr>
                      <w:rFonts w:hint="default" w:ascii="Times New Roman" w:hAnsi="Times New Roman" w:eastAsia="仿宋_GB2312" w:cs="Times New Roman"/>
                      <w:color w:val="auto"/>
                      <w:sz w:val="18"/>
                      <w:szCs w:val="18"/>
                      <w:highlight w:val="none"/>
                    </w:rPr>
                    <w:t>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毒性危害程度为极度危害、高度危害的介质及氢气管道不应埋地敷设。</w:t>
                  </w:r>
                </w:p>
              </w:tc>
              <w:tc>
                <w:tcPr>
                  <w:tcW w:w="1153" w:type="pct"/>
                  <w:tcBorders>
                    <w:tl2br w:val="nil"/>
                    <w:tr2bl w:val="nil"/>
                  </w:tcBorders>
                  <w:shd w:val="clear" w:color="auto" w:fill="auto"/>
                  <w:tcMar>
                    <w:left w:w="108" w:type="dxa"/>
                    <w:right w:w="108" w:type="dxa"/>
                  </w:tcMar>
                  <w:vAlign w:val="center"/>
                </w:tcPr>
                <w:p w14:paraId="6C3C149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本项目氢气管道未埋地敷设。</w:t>
                  </w:r>
                </w:p>
              </w:tc>
              <w:tc>
                <w:tcPr>
                  <w:tcW w:w="270" w:type="pct"/>
                  <w:tcBorders>
                    <w:tl2br w:val="nil"/>
                    <w:tr2bl w:val="nil"/>
                  </w:tcBorders>
                  <w:shd w:val="clear" w:color="auto" w:fill="auto"/>
                  <w:tcMar>
                    <w:left w:w="108" w:type="dxa"/>
                    <w:right w:w="108" w:type="dxa"/>
                  </w:tcMar>
                  <w:vAlign w:val="center"/>
                </w:tcPr>
                <w:p w14:paraId="15BC40A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68F38A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25C2E5CB">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19D718A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700205E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sz w:val="18"/>
                      <w:szCs w:val="18"/>
                      <w:highlight w:val="none"/>
                    </w:rPr>
                    <w:t>第5.4.2条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厂际管道宜在进出企业或其他生产设施界区处设置截断阀。</w:t>
                  </w:r>
                </w:p>
              </w:tc>
              <w:tc>
                <w:tcPr>
                  <w:tcW w:w="1153" w:type="pct"/>
                  <w:tcBorders>
                    <w:tl2br w:val="nil"/>
                    <w:tr2bl w:val="nil"/>
                  </w:tcBorders>
                  <w:shd w:val="clear" w:color="auto" w:fill="auto"/>
                  <w:tcMar>
                    <w:left w:w="108" w:type="dxa"/>
                    <w:right w:w="108" w:type="dxa"/>
                  </w:tcMar>
                  <w:vAlign w:val="center"/>
                </w:tcPr>
                <w:p w14:paraId="3770BA8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val="en-US" w:eastAsia="zh-CN"/>
                    </w:rPr>
                    <w:t>氢气输送管道自安徽湛为氢气主管接口</w:t>
                  </w:r>
                  <w:r>
                    <w:rPr>
                      <w:rFonts w:hint="eastAsia" w:cs="Times New Roman"/>
                      <w:color w:val="auto"/>
                      <w:kern w:val="0"/>
                      <w:sz w:val="18"/>
                      <w:szCs w:val="18"/>
                      <w:highlight w:val="none"/>
                      <w:lang w:val="en-US" w:eastAsia="zh-CN"/>
                    </w:rPr>
                    <w:t>引出，</w:t>
                  </w:r>
                  <w:r>
                    <w:rPr>
                      <w:rFonts w:hint="default" w:ascii="Times New Roman" w:hAnsi="Times New Roman" w:eastAsia="仿宋_GB2312" w:cs="Times New Roman"/>
                      <w:color w:val="auto"/>
                      <w:kern w:val="0"/>
                      <w:sz w:val="18"/>
                      <w:szCs w:val="18"/>
                      <w:highlight w:val="none"/>
                      <w:lang w:val="en-US" w:eastAsia="zh-CN"/>
                    </w:rPr>
                    <w:t>接入</w:t>
                  </w:r>
                  <w:r>
                    <w:rPr>
                      <w:rFonts w:hint="eastAsia" w:cs="Times New Roman"/>
                      <w:color w:val="auto"/>
                      <w:kern w:val="0"/>
                      <w:sz w:val="18"/>
                      <w:szCs w:val="18"/>
                      <w:highlight w:val="none"/>
                      <w:lang w:val="en-US" w:eastAsia="zh-CN"/>
                    </w:rPr>
                    <w:t>润土公司</w:t>
                  </w:r>
                  <w:r>
                    <w:rPr>
                      <w:rFonts w:hint="default" w:ascii="Times New Roman" w:hAnsi="Times New Roman" w:eastAsia="仿宋_GB2312" w:cs="Times New Roman"/>
                      <w:color w:val="auto"/>
                      <w:kern w:val="0"/>
                      <w:sz w:val="18"/>
                      <w:szCs w:val="18"/>
                      <w:highlight w:val="none"/>
                      <w:lang w:val="en-US" w:eastAsia="zh-CN"/>
                    </w:rPr>
                    <w:t>厂区围墙位置，均设置紧急切断阀。</w:t>
                  </w:r>
                </w:p>
              </w:tc>
              <w:tc>
                <w:tcPr>
                  <w:tcW w:w="270" w:type="pct"/>
                  <w:tcBorders>
                    <w:tl2br w:val="nil"/>
                    <w:tr2bl w:val="nil"/>
                  </w:tcBorders>
                  <w:shd w:val="clear" w:color="auto" w:fill="auto"/>
                  <w:tcMar>
                    <w:left w:w="108" w:type="dxa"/>
                    <w:right w:w="108" w:type="dxa"/>
                  </w:tcMar>
                  <w:vAlign w:val="center"/>
                </w:tcPr>
                <w:p w14:paraId="0B8E60A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A9FCD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1FCE6073">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05E3752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2B7B2CB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sz w:val="18"/>
                      <w:szCs w:val="18"/>
                      <w:highlight w:val="none"/>
                    </w:rPr>
                    <w:t>第5.4.4条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截断阀应设置在便于</w:t>
                  </w:r>
                  <w:r>
                    <w:rPr>
                      <w:rFonts w:hint="eastAsia" w:cs="Times New Roman"/>
                      <w:color w:val="auto"/>
                      <w:sz w:val="18"/>
                      <w:szCs w:val="18"/>
                      <w:highlight w:val="none"/>
                      <w:lang w:val="en-US" w:eastAsia="zh-CN"/>
                    </w:rPr>
                    <w:t>操作</w:t>
                  </w:r>
                  <w:r>
                    <w:rPr>
                      <w:rFonts w:hint="default" w:ascii="Times New Roman" w:hAnsi="Times New Roman" w:eastAsia="仿宋_GB2312" w:cs="Times New Roman"/>
                      <w:color w:val="auto"/>
                      <w:sz w:val="18"/>
                      <w:szCs w:val="18"/>
                      <w:highlight w:val="none"/>
                    </w:rPr>
                    <w:t>、检修方便的地方，</w:t>
                  </w:r>
                  <w:r>
                    <w:rPr>
                      <w:rFonts w:hint="eastAsia" w:cs="Times New Roman"/>
                      <w:color w:val="auto"/>
                      <w:sz w:val="18"/>
                      <w:szCs w:val="18"/>
                      <w:highlight w:val="none"/>
                      <w:lang w:val="en-US" w:eastAsia="zh-CN"/>
                    </w:rPr>
                    <w:t>并</w:t>
                  </w:r>
                  <w:r>
                    <w:rPr>
                      <w:rFonts w:hint="default" w:ascii="Times New Roman" w:hAnsi="Times New Roman" w:eastAsia="仿宋_GB2312" w:cs="Times New Roman"/>
                      <w:color w:val="auto"/>
                      <w:sz w:val="18"/>
                      <w:szCs w:val="18"/>
                      <w:highlight w:val="none"/>
                    </w:rPr>
                    <w:t>应采取可靠的安全保护措施。</w:t>
                  </w:r>
                </w:p>
              </w:tc>
              <w:tc>
                <w:tcPr>
                  <w:tcW w:w="1153" w:type="pct"/>
                  <w:tcBorders>
                    <w:tl2br w:val="nil"/>
                    <w:tr2bl w:val="nil"/>
                  </w:tcBorders>
                  <w:shd w:val="clear" w:color="auto" w:fill="auto"/>
                  <w:tcMar>
                    <w:left w:w="108" w:type="dxa"/>
                    <w:right w:w="108" w:type="dxa"/>
                  </w:tcMar>
                  <w:vAlign w:val="center"/>
                </w:tcPr>
                <w:p w14:paraId="412DE00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截断阀设置在便于</w:t>
                  </w:r>
                  <w:r>
                    <w:rPr>
                      <w:rFonts w:hint="eastAsia" w:cs="Times New Roman"/>
                      <w:color w:val="auto"/>
                      <w:sz w:val="18"/>
                      <w:szCs w:val="18"/>
                      <w:highlight w:val="none"/>
                      <w:lang w:val="en-US" w:eastAsia="zh-CN"/>
                    </w:rPr>
                    <w:t>操作</w:t>
                  </w:r>
                  <w:r>
                    <w:rPr>
                      <w:rFonts w:hint="default" w:ascii="Times New Roman" w:hAnsi="Times New Roman" w:eastAsia="仿宋_GB2312" w:cs="Times New Roman"/>
                      <w:color w:val="auto"/>
                      <w:sz w:val="18"/>
                      <w:szCs w:val="18"/>
                      <w:highlight w:val="none"/>
                      <w:lang w:val="en-US" w:eastAsia="zh-CN"/>
                    </w:rPr>
                    <w:t>、检修方便的地方。</w:t>
                  </w:r>
                </w:p>
              </w:tc>
              <w:tc>
                <w:tcPr>
                  <w:tcW w:w="270" w:type="pct"/>
                  <w:tcBorders>
                    <w:tl2br w:val="nil"/>
                    <w:tr2bl w:val="nil"/>
                  </w:tcBorders>
                  <w:shd w:val="clear" w:color="auto" w:fill="auto"/>
                  <w:tcMar>
                    <w:left w:w="108" w:type="dxa"/>
                    <w:right w:w="108" w:type="dxa"/>
                  </w:tcMar>
                  <w:vAlign w:val="center"/>
                </w:tcPr>
                <w:p w14:paraId="219CEC5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629D6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4947F27B">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1A26A51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684F7DD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第5.4.5条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当厂际管道设有清管设施时，截断阀应满足智能清管器的通过要求。</w:t>
                  </w:r>
                </w:p>
              </w:tc>
              <w:tc>
                <w:tcPr>
                  <w:tcW w:w="1153" w:type="pct"/>
                  <w:tcBorders>
                    <w:tl2br w:val="nil"/>
                    <w:tr2bl w:val="nil"/>
                  </w:tcBorders>
                  <w:shd w:val="clear" w:color="auto" w:fill="auto"/>
                  <w:tcMar>
                    <w:left w:w="108" w:type="dxa"/>
                    <w:right w:w="108" w:type="dxa"/>
                  </w:tcMar>
                  <w:vAlign w:val="center"/>
                </w:tcPr>
                <w:p w14:paraId="789BA04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本项目截断阀满足智能清管器的通过要求。</w:t>
                  </w:r>
                </w:p>
              </w:tc>
              <w:tc>
                <w:tcPr>
                  <w:tcW w:w="270" w:type="pct"/>
                  <w:tcBorders>
                    <w:tl2br w:val="nil"/>
                    <w:tr2bl w:val="nil"/>
                  </w:tcBorders>
                  <w:shd w:val="clear" w:color="auto" w:fill="auto"/>
                  <w:tcMar>
                    <w:left w:w="108" w:type="dxa"/>
                    <w:right w:w="108" w:type="dxa"/>
                  </w:tcMar>
                  <w:vAlign w:val="center"/>
                </w:tcPr>
                <w:p w14:paraId="4EC5870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75F7F5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1CDF6D66">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38822DD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7A7486C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第7.0.8条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管道在可能产生可燃气体积聚的场所，应设置可燃气体的泄漏检测报警设施。</w:t>
                  </w:r>
                </w:p>
              </w:tc>
              <w:tc>
                <w:tcPr>
                  <w:tcW w:w="1153" w:type="pct"/>
                  <w:tcBorders>
                    <w:tl2br w:val="nil"/>
                    <w:tr2bl w:val="nil"/>
                  </w:tcBorders>
                  <w:shd w:val="clear" w:color="auto" w:fill="auto"/>
                  <w:tcMar>
                    <w:left w:w="108" w:type="dxa"/>
                    <w:right w:w="108" w:type="dxa"/>
                  </w:tcMar>
                  <w:vAlign w:val="center"/>
                </w:tcPr>
                <w:p w14:paraId="3A0B6A9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Times New Roman"/>
                      <w:color w:val="auto"/>
                      <w:sz w:val="18"/>
                      <w:szCs w:val="18"/>
                      <w:highlight w:val="none"/>
                    </w:rPr>
                  </w:pPr>
                  <w:r>
                    <w:rPr>
                      <w:rFonts w:hint="eastAsia" w:cs="Times New Roman"/>
                      <w:color w:val="auto"/>
                      <w:sz w:val="18"/>
                      <w:szCs w:val="18"/>
                      <w:highlight w:val="none"/>
                      <w:lang w:val="en-US" w:eastAsia="zh-CN"/>
                    </w:rPr>
                    <w:t>在</w:t>
                  </w:r>
                  <w:r>
                    <w:rPr>
                      <w:rFonts w:hint="default" w:ascii="Times New Roman" w:hAnsi="Times New Roman" w:eastAsia="仿宋_GB2312" w:cs="Times New Roman"/>
                      <w:color w:val="auto"/>
                      <w:sz w:val="18"/>
                      <w:szCs w:val="18"/>
                      <w:highlight w:val="none"/>
                      <w:lang w:val="en-US" w:eastAsia="zh-CN"/>
                    </w:rPr>
                    <w:t>可能的氢气</w:t>
                  </w:r>
                  <w:r>
                    <w:rPr>
                      <w:rFonts w:hint="eastAsia" w:cs="Times New Roman"/>
                      <w:color w:val="auto"/>
                      <w:sz w:val="18"/>
                      <w:szCs w:val="18"/>
                      <w:highlight w:val="none"/>
                      <w:lang w:val="en-US" w:eastAsia="zh-CN"/>
                    </w:rPr>
                    <w:t>泄漏</w:t>
                  </w:r>
                  <w:r>
                    <w:rPr>
                      <w:rFonts w:hint="default" w:ascii="Times New Roman" w:hAnsi="Times New Roman" w:eastAsia="仿宋_GB2312" w:cs="Times New Roman"/>
                      <w:color w:val="auto"/>
                      <w:sz w:val="18"/>
                      <w:szCs w:val="18"/>
                      <w:highlight w:val="none"/>
                      <w:lang w:val="en-US" w:eastAsia="zh-CN"/>
                    </w:rPr>
                    <w:t>点均设置了可燃气体泄漏检测仪表。</w:t>
                  </w:r>
                </w:p>
              </w:tc>
              <w:tc>
                <w:tcPr>
                  <w:tcW w:w="270" w:type="pct"/>
                  <w:tcBorders>
                    <w:tl2br w:val="nil"/>
                    <w:tr2bl w:val="nil"/>
                  </w:tcBorders>
                  <w:shd w:val="clear" w:color="auto" w:fill="auto"/>
                  <w:tcMar>
                    <w:left w:w="108" w:type="dxa"/>
                    <w:right w:w="108" w:type="dxa"/>
                  </w:tcMar>
                  <w:vAlign w:val="center"/>
                </w:tcPr>
                <w:p w14:paraId="0721A6A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94D49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53380E6A">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6FB3BF9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419BF65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第7.0.10条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厂际管道应设置警示标识。在进出企业界区处设置明显的安全警示标志，标示管道规格、介质及流向、管理归属单位、管理单位应急电话、应急联络人等信息。沿线应设置标志桩或警示牌等永久性标志。警告性标志应采用具有反光功能的涂料涂刷。</w:t>
                  </w:r>
                </w:p>
              </w:tc>
              <w:tc>
                <w:tcPr>
                  <w:tcW w:w="1153" w:type="pct"/>
                  <w:tcBorders>
                    <w:tl2br w:val="nil"/>
                    <w:tr2bl w:val="nil"/>
                  </w:tcBorders>
                  <w:shd w:val="clear" w:color="auto" w:fill="auto"/>
                  <w:tcMar>
                    <w:left w:w="108" w:type="dxa"/>
                    <w:right w:w="108" w:type="dxa"/>
                  </w:tcMar>
                  <w:vAlign w:val="center"/>
                </w:tcPr>
                <w:p w14:paraId="715A3B2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rPr>
                    <w:t>厂际管道设置警示标识。在进出企业界区处设置明显的安全警示标志</w:t>
                  </w:r>
                  <w:r>
                    <w:rPr>
                      <w:rFonts w:hint="default" w:ascii="Times New Roman" w:hAnsi="Times New Roman" w:eastAsia="仿宋_GB2312" w:cs="Times New Roman"/>
                      <w:color w:val="auto"/>
                      <w:sz w:val="18"/>
                      <w:szCs w:val="18"/>
                      <w:highlight w:val="none"/>
                      <w:lang w:eastAsia="zh-CN"/>
                    </w:rPr>
                    <w:t>。</w:t>
                  </w:r>
                </w:p>
              </w:tc>
              <w:tc>
                <w:tcPr>
                  <w:tcW w:w="270" w:type="pct"/>
                  <w:tcBorders>
                    <w:tl2br w:val="nil"/>
                    <w:tr2bl w:val="nil"/>
                  </w:tcBorders>
                  <w:shd w:val="clear" w:color="auto" w:fill="auto"/>
                  <w:tcMar>
                    <w:left w:w="108" w:type="dxa"/>
                    <w:right w:w="108" w:type="dxa"/>
                  </w:tcMar>
                  <w:vAlign w:val="center"/>
                </w:tcPr>
                <w:p w14:paraId="7C9115C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432724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0468DA36">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restart"/>
                  <w:tcBorders>
                    <w:tl2br w:val="nil"/>
                    <w:tr2bl w:val="nil"/>
                  </w:tcBorders>
                  <w:shd w:val="clear" w:color="auto" w:fill="auto"/>
                  <w:tcMar>
                    <w:left w:w="108" w:type="dxa"/>
                    <w:right w:w="108" w:type="dxa"/>
                  </w:tcMar>
                  <w:vAlign w:val="center"/>
                </w:tcPr>
                <w:p w14:paraId="4B41297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《化工工程管架、管墩设计规范》（GB51019-2014）</w:t>
                  </w:r>
                </w:p>
              </w:tc>
              <w:tc>
                <w:tcPr>
                  <w:tcW w:w="2234" w:type="pct"/>
                  <w:tcBorders>
                    <w:tl2br w:val="nil"/>
                    <w:tr2bl w:val="nil"/>
                  </w:tcBorders>
                  <w:shd w:val="clear" w:color="auto" w:fill="auto"/>
                  <w:tcMar>
                    <w:left w:w="108" w:type="dxa"/>
                    <w:right w:w="108" w:type="dxa"/>
                  </w:tcMar>
                  <w:vAlign w:val="center"/>
                </w:tcPr>
                <w:p w14:paraId="0B77A5C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设计、施工时充分考虑不均匀沉降因素，避免造成桁架拉脱、拉裂。做好钢筋、钢结构的防腐、防锈工作，避免其直接暴露在空气中。</w:t>
                  </w:r>
                </w:p>
              </w:tc>
              <w:tc>
                <w:tcPr>
                  <w:tcW w:w="1153" w:type="pct"/>
                  <w:tcBorders>
                    <w:tl2br w:val="nil"/>
                    <w:tr2bl w:val="nil"/>
                  </w:tcBorders>
                  <w:shd w:val="clear" w:color="auto" w:fill="auto"/>
                  <w:tcMar>
                    <w:left w:w="108" w:type="dxa"/>
                    <w:right w:w="108" w:type="dxa"/>
                  </w:tcMar>
                  <w:vAlign w:val="center"/>
                </w:tcPr>
                <w:p w14:paraId="5C30EA00">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原管廊设计已</w:t>
                  </w:r>
                  <w:r>
                    <w:rPr>
                      <w:rFonts w:hint="default" w:ascii="Times New Roman" w:hAnsi="Times New Roman" w:eastAsia="仿宋_GB2312" w:cs="Times New Roman"/>
                      <w:color w:val="auto"/>
                      <w:sz w:val="18"/>
                      <w:szCs w:val="18"/>
                      <w:highlight w:val="none"/>
                    </w:rPr>
                    <w:t>考虑不均匀沉降因素</w:t>
                  </w:r>
                  <w:r>
                    <w:rPr>
                      <w:rFonts w:hint="default" w:ascii="Times New Roman" w:hAnsi="Times New Roman" w:eastAsia="仿宋_GB2312" w:cs="Times New Roman"/>
                      <w:color w:val="auto"/>
                      <w:sz w:val="18"/>
                      <w:szCs w:val="18"/>
                      <w:highlight w:val="none"/>
                      <w:lang w:eastAsia="zh-CN"/>
                    </w:rPr>
                    <w:t>。</w:t>
                  </w:r>
                </w:p>
              </w:tc>
              <w:tc>
                <w:tcPr>
                  <w:tcW w:w="270" w:type="pct"/>
                  <w:tcBorders>
                    <w:tl2br w:val="nil"/>
                    <w:tr2bl w:val="nil"/>
                  </w:tcBorders>
                  <w:shd w:val="clear" w:color="auto" w:fill="auto"/>
                  <w:tcMar>
                    <w:left w:w="108" w:type="dxa"/>
                    <w:right w:w="108" w:type="dxa"/>
                  </w:tcMar>
                  <w:vAlign w:val="center"/>
                </w:tcPr>
                <w:p w14:paraId="2672F78B">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30030C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2814FC8A">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6DDDB52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0733F70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考虑到目前已有、拟建管道和后期预留增设管道，应按照《化工工程管架、管墩设计规范》标准的要求对管廊整体结构的垂直荷载、风荷载、冰雪荷载进行验算，确保结构荷载满足管廊设计最大容量。</w:t>
                  </w:r>
                </w:p>
              </w:tc>
              <w:tc>
                <w:tcPr>
                  <w:tcW w:w="1153" w:type="pct"/>
                  <w:tcBorders>
                    <w:tl2br w:val="nil"/>
                    <w:tr2bl w:val="nil"/>
                  </w:tcBorders>
                  <w:shd w:val="clear" w:color="auto" w:fill="auto"/>
                  <w:tcMar>
                    <w:left w:w="108" w:type="dxa"/>
                    <w:right w:w="108" w:type="dxa"/>
                  </w:tcMar>
                  <w:vAlign w:val="center"/>
                </w:tcPr>
                <w:p w14:paraId="671C5B4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已对相关荷载进行验算，</w:t>
                  </w:r>
                  <w:r>
                    <w:rPr>
                      <w:rFonts w:hint="eastAsia" w:cs="Times New Roman"/>
                      <w:color w:val="auto"/>
                      <w:sz w:val="18"/>
                      <w:szCs w:val="18"/>
                      <w:highlight w:val="none"/>
                      <w:lang w:val="en-US" w:eastAsia="zh-CN"/>
                    </w:rPr>
                    <w:t>可以</w:t>
                  </w:r>
                  <w:r>
                    <w:rPr>
                      <w:rFonts w:hint="default" w:ascii="Times New Roman" w:hAnsi="Times New Roman" w:eastAsia="仿宋_GB2312" w:cs="Times New Roman"/>
                      <w:color w:val="auto"/>
                      <w:sz w:val="18"/>
                      <w:szCs w:val="18"/>
                      <w:highlight w:val="none"/>
                      <w:lang w:val="en-US" w:eastAsia="zh-CN"/>
                    </w:rPr>
                    <w:t>满足本次新增管道荷载要求。</w:t>
                  </w:r>
                </w:p>
              </w:tc>
              <w:tc>
                <w:tcPr>
                  <w:tcW w:w="270" w:type="pct"/>
                  <w:tcBorders>
                    <w:tl2br w:val="nil"/>
                    <w:tr2bl w:val="nil"/>
                  </w:tcBorders>
                  <w:shd w:val="clear" w:color="auto" w:fill="auto"/>
                  <w:tcMar>
                    <w:left w:w="108" w:type="dxa"/>
                    <w:right w:w="108" w:type="dxa"/>
                  </w:tcMar>
                  <w:vAlign w:val="center"/>
                </w:tcPr>
                <w:p w14:paraId="23151E22">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7682F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4E298922">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1FA58B2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02C3494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第3.3.1条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管架宜采用钢结构或钢筋混凝土结构，管墩宜采用钢筋混凝土结构或混凝土结构。</w:t>
                  </w:r>
                </w:p>
              </w:tc>
              <w:tc>
                <w:tcPr>
                  <w:tcW w:w="1153" w:type="pct"/>
                  <w:tcBorders>
                    <w:tl2br w:val="nil"/>
                    <w:tr2bl w:val="nil"/>
                  </w:tcBorders>
                  <w:shd w:val="clear" w:color="auto" w:fill="auto"/>
                  <w:tcMar>
                    <w:left w:w="108" w:type="dxa"/>
                    <w:right w:w="108" w:type="dxa"/>
                  </w:tcMar>
                  <w:vAlign w:val="center"/>
                </w:tcPr>
                <w:p w14:paraId="217A99B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经复核主要管墩采用钢筋混凝土结构，管架采用钢结构。</w:t>
                  </w:r>
                </w:p>
              </w:tc>
              <w:tc>
                <w:tcPr>
                  <w:tcW w:w="270" w:type="pct"/>
                  <w:tcBorders>
                    <w:tl2br w:val="nil"/>
                    <w:tr2bl w:val="nil"/>
                  </w:tcBorders>
                  <w:shd w:val="clear" w:color="auto" w:fill="auto"/>
                  <w:tcMar>
                    <w:left w:w="108" w:type="dxa"/>
                    <w:right w:w="108" w:type="dxa"/>
                  </w:tcMar>
                  <w:vAlign w:val="center"/>
                </w:tcPr>
                <w:p w14:paraId="7ED2C91D">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D99F5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7B64F496">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restart"/>
                  <w:tcBorders>
                    <w:tl2br w:val="nil"/>
                    <w:tr2bl w:val="nil"/>
                  </w:tcBorders>
                  <w:shd w:val="clear" w:color="auto" w:fill="auto"/>
                  <w:tcMar>
                    <w:left w:w="108" w:type="dxa"/>
                    <w:right w:w="108" w:type="dxa"/>
                  </w:tcMar>
                  <w:vAlign w:val="center"/>
                </w:tcPr>
                <w:p w14:paraId="2C10BFF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《石油化工金属管道布置设计规范》</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SH3012-2011</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 xml:space="preserve"> </w:t>
                  </w:r>
                </w:p>
              </w:tc>
              <w:tc>
                <w:tcPr>
                  <w:tcW w:w="2234" w:type="pct"/>
                  <w:tcBorders>
                    <w:tl2br w:val="nil"/>
                    <w:tr2bl w:val="nil"/>
                  </w:tcBorders>
                  <w:shd w:val="clear" w:color="auto" w:fill="auto"/>
                  <w:tcMar>
                    <w:left w:w="108" w:type="dxa"/>
                    <w:right w:w="108" w:type="dxa"/>
                  </w:tcMar>
                  <w:vAlign w:val="center"/>
                </w:tcPr>
                <w:p w14:paraId="0E47133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第3.1.22条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后期管廊上增加如涉及腐蚀性介质、有毒介质和高压管道应避免由于法兰、螺纹和填料密封等泄漏而造成对人身和设备的危害。这些管道应采用焊接方式连接。易泄漏部位应避免位于人行通道或机泵上方，否则应设安全防护。</w:t>
                  </w:r>
                </w:p>
              </w:tc>
              <w:tc>
                <w:tcPr>
                  <w:tcW w:w="1153" w:type="pct"/>
                  <w:tcBorders>
                    <w:tl2br w:val="nil"/>
                    <w:tr2bl w:val="nil"/>
                  </w:tcBorders>
                  <w:shd w:val="clear" w:color="auto" w:fill="auto"/>
                  <w:tcMar>
                    <w:left w:w="108" w:type="dxa"/>
                    <w:right w:w="108" w:type="dxa"/>
                  </w:tcMar>
                  <w:vAlign w:val="center"/>
                </w:tcPr>
                <w:p w14:paraId="3EBE3A2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后期管廊上增加如涉及腐蚀性介质、有毒介质和高压管道应避免泄漏而造成对人身和设备的危害。这些管道应采用焊接方式连接。易泄漏部位应避免位于人行通道或机泵上方。</w:t>
                  </w:r>
                </w:p>
              </w:tc>
              <w:tc>
                <w:tcPr>
                  <w:tcW w:w="270" w:type="pct"/>
                  <w:tcBorders>
                    <w:tl2br w:val="nil"/>
                    <w:tr2bl w:val="nil"/>
                  </w:tcBorders>
                  <w:shd w:val="clear" w:color="auto" w:fill="auto"/>
                  <w:tcMar>
                    <w:left w:w="108" w:type="dxa"/>
                    <w:right w:w="108" w:type="dxa"/>
                  </w:tcMar>
                  <w:vAlign w:val="center"/>
                </w:tcPr>
                <w:p w14:paraId="7A49704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40A3C2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2EE39755">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vMerge w:val="continue"/>
                  <w:tcBorders>
                    <w:tl2br w:val="nil"/>
                    <w:tr2bl w:val="nil"/>
                  </w:tcBorders>
                  <w:shd w:val="clear" w:color="auto" w:fill="auto"/>
                  <w:tcMar>
                    <w:left w:w="108" w:type="dxa"/>
                    <w:right w:w="108" w:type="dxa"/>
                  </w:tcMar>
                  <w:vAlign w:val="center"/>
                </w:tcPr>
                <w:p w14:paraId="1BBBE3D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p>
              </w:tc>
              <w:tc>
                <w:tcPr>
                  <w:tcW w:w="2234" w:type="pct"/>
                  <w:tcBorders>
                    <w:tl2br w:val="nil"/>
                    <w:tr2bl w:val="nil"/>
                  </w:tcBorders>
                  <w:shd w:val="clear" w:color="auto" w:fill="auto"/>
                  <w:tcMar>
                    <w:left w:w="108" w:type="dxa"/>
                    <w:right w:w="108" w:type="dxa"/>
                  </w:tcMar>
                  <w:vAlign w:val="center"/>
                </w:tcPr>
                <w:p w14:paraId="11970D48">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 xml:space="preserve"> 第3.1.34条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对有毒物质泄漏可能造成重大事故的管道和工作场所必须设置可靠的事故处理装置和应急防护设施。包括事故安全排放装置、自动检测报警装置、联锁事故排毒装置，还应配备事故泄漏时的解毒（含冲洗、稀释、降低毒性）装置。存在毒物泄漏的作业场所，相应设置防护服、防护眼镜、呼吸器、淋洗设施等个体防护用品（设施）。</w:t>
                  </w:r>
                </w:p>
              </w:tc>
              <w:tc>
                <w:tcPr>
                  <w:tcW w:w="1153" w:type="pct"/>
                  <w:tcBorders>
                    <w:tl2br w:val="nil"/>
                    <w:tr2bl w:val="nil"/>
                  </w:tcBorders>
                  <w:shd w:val="clear" w:color="auto" w:fill="auto"/>
                  <w:tcMar>
                    <w:left w:w="108" w:type="dxa"/>
                    <w:right w:w="108" w:type="dxa"/>
                  </w:tcMar>
                  <w:vAlign w:val="center"/>
                </w:tcPr>
                <w:p w14:paraId="4F68B5D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kern w:val="2"/>
                      <w:sz w:val="18"/>
                      <w:szCs w:val="18"/>
                      <w:highlight w:val="none"/>
                      <w:lang w:val="en-US" w:eastAsia="zh-CN" w:bidi="ar-SA"/>
                    </w:rPr>
                    <w:t>本项目氢气管道设计有安全排放装置。</w:t>
                  </w:r>
                </w:p>
              </w:tc>
              <w:tc>
                <w:tcPr>
                  <w:tcW w:w="270" w:type="pct"/>
                  <w:tcBorders>
                    <w:tl2br w:val="nil"/>
                    <w:tr2bl w:val="nil"/>
                  </w:tcBorders>
                  <w:shd w:val="clear" w:color="auto" w:fill="auto"/>
                  <w:tcMar>
                    <w:left w:w="108" w:type="dxa"/>
                    <w:right w:w="108" w:type="dxa"/>
                  </w:tcMar>
                  <w:vAlign w:val="center"/>
                </w:tcPr>
                <w:p w14:paraId="0DAD77A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符合</w:t>
                  </w:r>
                </w:p>
              </w:tc>
            </w:tr>
            <w:tr w14:paraId="7438B9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7C9A8C5F">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tcBorders>
                    <w:tl2br w:val="nil"/>
                    <w:tr2bl w:val="nil"/>
                  </w:tcBorders>
                  <w:shd w:val="clear" w:color="auto" w:fill="auto"/>
                  <w:tcMar>
                    <w:left w:w="108" w:type="dxa"/>
                    <w:right w:w="108" w:type="dxa"/>
                  </w:tcMar>
                  <w:vAlign w:val="center"/>
                </w:tcPr>
                <w:p w14:paraId="1685025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《工业建筑防腐蚀设计标准》（GB/T 50046-2018）</w:t>
                  </w:r>
                </w:p>
              </w:tc>
              <w:tc>
                <w:tcPr>
                  <w:tcW w:w="2234" w:type="pct"/>
                  <w:tcBorders>
                    <w:tl2br w:val="nil"/>
                    <w:tr2bl w:val="nil"/>
                  </w:tcBorders>
                  <w:shd w:val="clear" w:color="auto" w:fill="auto"/>
                  <w:tcMar>
                    <w:left w:w="108" w:type="dxa"/>
                    <w:right w:w="108" w:type="dxa"/>
                  </w:tcMar>
                  <w:vAlign w:val="center"/>
                </w:tcPr>
                <w:p w14:paraId="2D59791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管架所处环境的腐蚀性等级，应按现行国家标准《工业建筑防腐蚀设计规范》GB 50046 的有关规定进行分级。钢结构管架构件的表面防腐蚀设计应明确防护层使用年限</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并应按现行国家标准《工业建筑防腐蚀设计规范》GB50046的有关规定进行防护设计。</w:t>
                  </w:r>
                </w:p>
              </w:tc>
              <w:tc>
                <w:tcPr>
                  <w:tcW w:w="1153" w:type="pct"/>
                  <w:tcBorders>
                    <w:tl2br w:val="nil"/>
                    <w:tr2bl w:val="nil"/>
                  </w:tcBorders>
                  <w:shd w:val="clear" w:color="auto" w:fill="auto"/>
                  <w:tcMar>
                    <w:left w:w="108" w:type="dxa"/>
                    <w:right w:w="108" w:type="dxa"/>
                  </w:tcMar>
                  <w:vAlign w:val="center"/>
                </w:tcPr>
                <w:p w14:paraId="0D1B621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钢结构管架构件的表面防腐蚀设计符合GB50046的有关规定。</w:t>
                  </w:r>
                </w:p>
              </w:tc>
              <w:tc>
                <w:tcPr>
                  <w:tcW w:w="270" w:type="pct"/>
                  <w:tcBorders>
                    <w:tl2br w:val="nil"/>
                    <w:tr2bl w:val="nil"/>
                  </w:tcBorders>
                  <w:shd w:val="clear" w:color="auto" w:fill="auto"/>
                  <w:tcMar>
                    <w:left w:w="108" w:type="dxa"/>
                    <w:right w:w="108" w:type="dxa"/>
                  </w:tcMar>
                  <w:vAlign w:val="center"/>
                </w:tcPr>
                <w:p w14:paraId="79DA2A5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F1AF9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59639202">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tcBorders>
                    <w:tl2br w:val="nil"/>
                    <w:tr2bl w:val="nil"/>
                  </w:tcBorders>
                  <w:shd w:val="clear" w:color="auto" w:fill="auto"/>
                  <w:tcMar>
                    <w:left w:w="108" w:type="dxa"/>
                    <w:right w:w="108" w:type="dxa"/>
                  </w:tcMar>
                  <w:vAlign w:val="center"/>
                </w:tcPr>
                <w:p w14:paraId="468BAFB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《化工企业安全卫生设计规范》</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HG20571-2014</w:t>
                  </w:r>
                  <w:r>
                    <w:rPr>
                      <w:rFonts w:hint="default" w:ascii="Times New Roman" w:hAnsi="Times New Roman" w:eastAsia="仿宋_GB2312" w:cs="Times New Roman"/>
                      <w:color w:val="auto"/>
                      <w:sz w:val="18"/>
                      <w:szCs w:val="18"/>
                      <w:highlight w:val="none"/>
                      <w:lang w:eastAsia="zh-CN"/>
                    </w:rPr>
                    <w:t>）</w:t>
                  </w:r>
                </w:p>
              </w:tc>
              <w:tc>
                <w:tcPr>
                  <w:tcW w:w="2234" w:type="pct"/>
                  <w:tcBorders>
                    <w:tl2br w:val="nil"/>
                    <w:tr2bl w:val="nil"/>
                  </w:tcBorders>
                  <w:shd w:val="clear" w:color="auto" w:fill="auto"/>
                  <w:tcMar>
                    <w:left w:w="108" w:type="dxa"/>
                    <w:right w:w="108" w:type="dxa"/>
                  </w:tcMar>
                  <w:vAlign w:val="center"/>
                </w:tcPr>
                <w:p w14:paraId="2A10C5E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第4.2.4条</w:t>
                  </w:r>
                  <w:r>
                    <w:rPr>
                      <w:rFonts w:hint="eastAsia" w:ascii="Times New Roman" w:hAnsi="Times New Roman"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rPr>
                    <w:t>管道应设置静电接地，不允许设备及设备内部件有与地相绝缘的金属体。非导体设备、管道应采用间接接地或静电屏蔽方法，屏蔽体应可靠接地。</w:t>
                  </w:r>
                </w:p>
              </w:tc>
              <w:tc>
                <w:tcPr>
                  <w:tcW w:w="1153" w:type="pct"/>
                  <w:tcBorders>
                    <w:tl2br w:val="nil"/>
                    <w:tr2bl w:val="nil"/>
                  </w:tcBorders>
                  <w:shd w:val="clear" w:color="auto" w:fill="auto"/>
                  <w:tcMar>
                    <w:left w:w="108" w:type="dxa"/>
                    <w:right w:w="108" w:type="dxa"/>
                  </w:tcMar>
                  <w:vAlign w:val="center"/>
                </w:tcPr>
                <w:p w14:paraId="4087749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管道设置静电接地</w:t>
                  </w:r>
                  <w:r>
                    <w:rPr>
                      <w:rFonts w:hint="default" w:ascii="Times New Roman" w:hAnsi="Times New Roman" w:eastAsia="仿宋_GB2312" w:cs="Times New Roman"/>
                      <w:color w:val="auto"/>
                      <w:sz w:val="18"/>
                      <w:szCs w:val="18"/>
                      <w:highlight w:val="none"/>
                      <w:lang w:eastAsia="zh-CN"/>
                    </w:rPr>
                    <w:t>。</w:t>
                  </w:r>
                </w:p>
              </w:tc>
              <w:tc>
                <w:tcPr>
                  <w:tcW w:w="270" w:type="pct"/>
                  <w:tcBorders>
                    <w:tl2br w:val="nil"/>
                    <w:tr2bl w:val="nil"/>
                  </w:tcBorders>
                  <w:shd w:val="clear" w:color="auto" w:fill="auto"/>
                  <w:tcMar>
                    <w:left w:w="108" w:type="dxa"/>
                    <w:right w:w="108" w:type="dxa"/>
                  </w:tcMar>
                  <w:vAlign w:val="center"/>
                </w:tcPr>
                <w:p w14:paraId="068844A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76222A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6" w:type="pct"/>
                  <w:tcBorders>
                    <w:tl2br w:val="nil"/>
                    <w:tr2bl w:val="nil"/>
                  </w:tcBorders>
                  <w:shd w:val="clear" w:color="auto" w:fill="auto"/>
                  <w:tcMar>
                    <w:left w:w="108" w:type="dxa"/>
                    <w:right w:w="108" w:type="dxa"/>
                  </w:tcMar>
                  <w:vAlign w:val="center"/>
                </w:tcPr>
                <w:p w14:paraId="7D578674">
                  <w:pPr>
                    <w:keepNext w:val="0"/>
                    <w:keepLines w:val="0"/>
                    <w:pageBreakBefore w:val="0"/>
                    <w:numPr>
                      <w:ilvl w:val="0"/>
                      <w:numId w:val="2"/>
                    </w:numPr>
                    <w:suppressLineNumbers w:val="0"/>
                    <w:kinsoku/>
                    <w:wordWrap/>
                    <w:overflowPunct/>
                    <w:topLinePunct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kern w:val="0"/>
                      <w:sz w:val="18"/>
                      <w:szCs w:val="18"/>
                      <w:highlight w:val="none"/>
                    </w:rPr>
                  </w:pPr>
                </w:p>
              </w:tc>
              <w:tc>
                <w:tcPr>
                  <w:tcW w:w="1105" w:type="pct"/>
                  <w:tcBorders>
                    <w:tl2br w:val="nil"/>
                    <w:tr2bl w:val="nil"/>
                  </w:tcBorders>
                  <w:shd w:val="clear" w:color="auto" w:fill="auto"/>
                  <w:tcMar>
                    <w:left w:w="108" w:type="dxa"/>
                    <w:right w:w="108" w:type="dxa"/>
                  </w:tcMar>
                  <w:vAlign w:val="center"/>
                </w:tcPr>
                <w:p w14:paraId="1523A22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《石油化工静电接地设计规范》（SH/T3097-2017）</w:t>
                  </w:r>
                </w:p>
              </w:tc>
              <w:tc>
                <w:tcPr>
                  <w:tcW w:w="2234" w:type="pct"/>
                  <w:tcBorders>
                    <w:tl2br w:val="nil"/>
                    <w:tr2bl w:val="nil"/>
                  </w:tcBorders>
                  <w:shd w:val="clear" w:color="auto" w:fill="auto"/>
                  <w:tcMar>
                    <w:left w:w="108" w:type="dxa"/>
                    <w:right w:w="108" w:type="dxa"/>
                  </w:tcMar>
                  <w:vAlign w:val="center"/>
                </w:tcPr>
                <w:p w14:paraId="3E1AB43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rPr>
                    <w:t>第5.3条</w:t>
                  </w:r>
                  <w:r>
                    <w:rPr>
                      <w:rFonts w:hint="eastAsia" w:ascii="Times New Roman" w:hAnsi="Times New Roman" w:cs="Times New Roman"/>
                      <w:color w:val="auto"/>
                      <w:sz w:val="18"/>
                      <w:szCs w:val="18"/>
                      <w:highlight w:val="none"/>
                      <w:lang w:eastAsia="zh-CN"/>
                    </w:rPr>
                    <w:t>：</w:t>
                  </w:r>
                </w:p>
                <w:p w14:paraId="10CAF5E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1管道在进出装置区处、分支处应进行接地。</w:t>
                  </w:r>
                </w:p>
                <w:p w14:paraId="491898A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2长距离管道应在始端末端、分支处以及每隔100m接地一次。</w:t>
                  </w:r>
                </w:p>
                <w:p w14:paraId="0E3920D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3平行管道净距小于100mm时，应每隔20m加跨接线。当管道交叉且净距小于100mm时，应加跨接线。</w:t>
                  </w:r>
                </w:p>
                <w:p w14:paraId="5D1DC89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4当金属法兰采用金属螺栓或卡子紧固时，一般可不必另装静电连接线，但应保证至少有两个螺栓或卡子间具有良好的导电接触面。</w:t>
                  </w:r>
                </w:p>
              </w:tc>
              <w:tc>
                <w:tcPr>
                  <w:tcW w:w="1153" w:type="pct"/>
                  <w:tcBorders>
                    <w:tl2br w:val="nil"/>
                    <w:tr2bl w:val="nil"/>
                  </w:tcBorders>
                  <w:shd w:val="clear" w:color="auto" w:fill="auto"/>
                  <w:tcMar>
                    <w:left w:w="108" w:type="dxa"/>
                    <w:right w:w="108" w:type="dxa"/>
                  </w:tcMar>
                  <w:vAlign w:val="center"/>
                </w:tcPr>
                <w:p w14:paraId="53C7BC7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管道设置静电接地</w:t>
                  </w:r>
                  <w:r>
                    <w:rPr>
                      <w:rFonts w:hint="default" w:ascii="Times New Roman" w:hAnsi="Times New Roman" w:eastAsia="仿宋_GB2312" w:cs="Times New Roman"/>
                      <w:color w:val="auto"/>
                      <w:sz w:val="18"/>
                      <w:szCs w:val="18"/>
                      <w:highlight w:val="none"/>
                      <w:lang w:eastAsia="zh-CN"/>
                    </w:rPr>
                    <w:t>。</w:t>
                  </w:r>
                  <w:r>
                    <w:rPr>
                      <w:rFonts w:hint="default" w:ascii="Times New Roman" w:hAnsi="Times New Roman" w:eastAsia="仿宋_GB2312" w:cs="Times New Roman"/>
                      <w:color w:val="auto"/>
                      <w:sz w:val="18"/>
                      <w:szCs w:val="18"/>
                      <w:highlight w:val="none"/>
                      <w:lang w:val="en-US" w:eastAsia="zh-CN"/>
                    </w:rPr>
                    <w:t>按</w:t>
                  </w:r>
                  <w:r>
                    <w:rPr>
                      <w:rFonts w:hint="default" w:ascii="Times New Roman" w:hAnsi="Times New Roman" w:eastAsia="仿宋_GB2312" w:cs="Times New Roman"/>
                      <w:color w:val="auto"/>
                      <w:sz w:val="18"/>
                      <w:szCs w:val="18"/>
                      <w:highlight w:val="none"/>
                    </w:rPr>
                    <w:t>《石油化工静电接地设计规范》（SH/T3097-2017）第5.3条</w:t>
                  </w:r>
                  <w:r>
                    <w:rPr>
                      <w:rFonts w:hint="default" w:ascii="Times New Roman" w:hAnsi="Times New Roman" w:eastAsia="仿宋_GB2312" w:cs="Times New Roman"/>
                      <w:color w:val="auto"/>
                      <w:sz w:val="18"/>
                      <w:szCs w:val="18"/>
                      <w:highlight w:val="none"/>
                      <w:lang w:val="en-US" w:eastAsia="zh-CN"/>
                    </w:rPr>
                    <w:t>执行。</w:t>
                  </w:r>
                </w:p>
              </w:tc>
              <w:tc>
                <w:tcPr>
                  <w:tcW w:w="270" w:type="pct"/>
                  <w:tcBorders>
                    <w:tl2br w:val="nil"/>
                    <w:tr2bl w:val="nil"/>
                  </w:tcBorders>
                  <w:shd w:val="clear" w:color="auto" w:fill="auto"/>
                  <w:tcMar>
                    <w:left w:w="108" w:type="dxa"/>
                    <w:right w:w="108" w:type="dxa"/>
                  </w:tcMar>
                  <w:vAlign w:val="center"/>
                </w:tcPr>
                <w:p w14:paraId="3481E38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bl>
          <w:p w14:paraId="1B3E4F1D">
            <w:pPr>
              <w:pStyle w:val="32"/>
              <w:ind w:firstLine="480"/>
              <w:rPr>
                <w:rFonts w:hint="default" w:cs="Times New Roman"/>
                <w:b/>
                <w:bCs/>
                <w:color w:val="auto"/>
                <w:lang w:val="en-US" w:eastAsia="zh-CN"/>
              </w:rPr>
            </w:pPr>
            <w:r>
              <w:rPr>
                <w:rFonts w:hint="eastAsia" w:cs="Times New Roman"/>
                <w:b/>
                <w:bCs/>
                <w:color w:val="auto"/>
                <w:lang w:val="en-US" w:eastAsia="zh-CN"/>
              </w:rPr>
              <w:t>2.2.6 项目建设内容</w:t>
            </w:r>
          </w:p>
          <w:p w14:paraId="5E3529C6">
            <w:pPr>
              <w:pStyle w:val="32"/>
              <w:ind w:firstLine="480"/>
              <w:rPr>
                <w:rFonts w:hint="default" w:cs="Times New Roman"/>
                <w:b/>
                <w:bCs/>
                <w:color w:val="auto"/>
                <w:lang w:val="en-US" w:eastAsia="zh-CN"/>
              </w:rPr>
            </w:pPr>
            <w:r>
              <w:rPr>
                <w:rFonts w:hint="eastAsia" w:cs="Times New Roman"/>
                <w:b/>
                <w:bCs/>
                <w:color w:val="auto"/>
                <w:lang w:val="en-US" w:eastAsia="zh-CN"/>
              </w:rPr>
              <w:t>2.2.6.1 项目组成及建设内容</w:t>
            </w:r>
          </w:p>
          <w:p w14:paraId="03663120">
            <w:pPr>
              <w:pStyle w:val="32"/>
              <w:ind w:firstLine="480"/>
              <w:rPr>
                <w:rFonts w:hint="eastAsia" w:cs="Times New Roman"/>
                <w:color w:val="auto"/>
                <w:lang w:val="en-US" w:eastAsia="zh-CN"/>
              </w:rPr>
            </w:pPr>
            <w:r>
              <w:rPr>
                <w:rFonts w:hint="eastAsia" w:cs="Times New Roman"/>
                <w:color w:val="auto"/>
                <w:lang w:val="en-US" w:eastAsia="zh-CN"/>
              </w:rPr>
              <w:t>本项目为氢气输送管线工程，项目工程内容详见下表。</w:t>
            </w:r>
          </w:p>
          <w:p w14:paraId="6F0132C0">
            <w:pPr>
              <w:pStyle w:val="2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w:t>
            </w:r>
            <w:r>
              <w:rPr>
                <w:rFonts w:hint="eastAsia" w:ascii="Times New Roman" w:hAnsi="Times New Roman" w:eastAsia="仿宋_GB2312" w:cs="Times New Roman"/>
                <w:color w:val="auto"/>
                <w:lang w:val="en-US" w:eastAsia="zh-CN"/>
              </w:rPr>
              <w:t>2</w:t>
            </w:r>
            <w:r>
              <w:rPr>
                <w:rFonts w:hint="eastAsia" w:eastAsia="仿宋_GB2312" w:cs="Times New Roman"/>
                <w:color w:val="auto"/>
                <w:lang w:val="en-US" w:eastAsia="zh-CN"/>
              </w:rPr>
              <w:t>.2</w:t>
            </w:r>
            <w:r>
              <w:rPr>
                <w:rFonts w:hint="default" w:ascii="Times New Roman" w:hAnsi="Times New Roman" w:eastAsia="仿宋_GB2312" w:cs="Times New Roman"/>
                <w:color w:val="auto"/>
                <w:lang w:val="zh-CN"/>
              </w:rPr>
              <w:t>-</w:t>
            </w:r>
            <w:r>
              <w:rPr>
                <w:rFonts w:hint="eastAsia" w:eastAsia="仿宋_GB2312" w:cs="Times New Roman"/>
                <w:color w:val="auto"/>
                <w:lang w:val="en-US" w:eastAsia="zh-CN"/>
              </w:rPr>
              <w:t>4</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建设项目建设内容组成表</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322"/>
              <w:gridCol w:w="4575"/>
              <w:gridCol w:w="1746"/>
            </w:tblGrid>
            <w:tr w14:paraId="020022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89" w:type="pct"/>
                  <w:gridSpan w:val="2"/>
                  <w:tcBorders>
                    <w:tl2br w:val="nil"/>
                    <w:tr2bl w:val="nil"/>
                  </w:tcBorders>
                  <w:noWrap w:val="0"/>
                  <w:vAlign w:val="center"/>
                </w:tcPr>
                <w:p w14:paraId="58C3425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工程类别</w:t>
                  </w:r>
                </w:p>
              </w:tc>
              <w:tc>
                <w:tcPr>
                  <w:tcW w:w="2685" w:type="pct"/>
                  <w:tcBorders>
                    <w:tl2br w:val="nil"/>
                    <w:tr2bl w:val="nil"/>
                  </w:tcBorders>
                  <w:noWrap w:val="0"/>
                  <w:vAlign w:val="center"/>
                </w:tcPr>
                <w:p w14:paraId="5C44B0D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主要工程内容及规模</w:t>
                  </w:r>
                </w:p>
              </w:tc>
              <w:tc>
                <w:tcPr>
                  <w:tcW w:w="1025" w:type="pct"/>
                  <w:tcBorders>
                    <w:tl2br w:val="nil"/>
                    <w:tr2bl w:val="nil"/>
                  </w:tcBorders>
                  <w:noWrap w:val="0"/>
                  <w:vAlign w:val="center"/>
                </w:tcPr>
                <w:p w14:paraId="7C01F88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备注</w:t>
                  </w:r>
                </w:p>
              </w:tc>
            </w:tr>
            <w:tr w14:paraId="04ED91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restart"/>
                  <w:tcBorders>
                    <w:tl2br w:val="nil"/>
                    <w:tr2bl w:val="nil"/>
                  </w:tcBorders>
                  <w:noWrap w:val="0"/>
                  <w:vAlign w:val="center"/>
                </w:tcPr>
                <w:p w14:paraId="7B3ECB6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主体工程</w:t>
                  </w:r>
                </w:p>
              </w:tc>
              <w:tc>
                <w:tcPr>
                  <w:tcW w:w="775" w:type="pct"/>
                  <w:tcBorders>
                    <w:tl2br w:val="nil"/>
                    <w:tr2bl w:val="nil"/>
                  </w:tcBorders>
                  <w:noWrap w:val="0"/>
                  <w:vAlign w:val="center"/>
                </w:tcPr>
                <w:p w14:paraId="6C08E2A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氢气输送管道</w:t>
                  </w:r>
                </w:p>
              </w:tc>
              <w:tc>
                <w:tcPr>
                  <w:tcW w:w="2685" w:type="pct"/>
                  <w:tcBorders>
                    <w:tl2br w:val="nil"/>
                    <w:tr2bl w:val="nil"/>
                  </w:tcBorders>
                  <w:noWrap w:val="0"/>
                  <w:vAlign w:val="center"/>
                </w:tcPr>
                <w:p w14:paraId="19E27AAF">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新建氢气输送管道1条，</w:t>
                  </w:r>
                  <w:r>
                    <w:rPr>
                      <w:rFonts w:hint="eastAsia" w:eastAsia="仿宋_GB2312" w:cs="Times New Roman"/>
                      <w:color w:val="auto"/>
                      <w:kern w:val="2"/>
                      <w:sz w:val="18"/>
                      <w:szCs w:val="18"/>
                      <w:lang w:val="en-US" w:eastAsia="zh-CN" w:bidi="ar-SA"/>
                    </w:rPr>
                    <w:t>由</w:t>
                  </w:r>
                  <w:r>
                    <w:rPr>
                      <w:rFonts w:hint="eastAsia" w:ascii="Times New Roman" w:hAnsi="Times New Roman" w:eastAsia="仿宋_GB2312" w:cs="Times New Roman"/>
                      <w:color w:val="auto"/>
                      <w:kern w:val="2"/>
                      <w:sz w:val="18"/>
                      <w:szCs w:val="18"/>
                      <w:lang w:val="en-US" w:eastAsia="zh-CN" w:bidi="ar-SA"/>
                    </w:rPr>
                    <w:t>创新路跨路管廊中临涣焦化至安徽湛为氢气主管引出后，，先沿创新路既有跨路管廊由南向北敷设并穿越道路；再沿园区现有管墩自东向西</w:t>
                  </w:r>
                  <w:r>
                    <w:rPr>
                      <w:rFonts w:hint="eastAsia" w:eastAsia="仿宋_GB2312" w:cs="Times New Roman"/>
                      <w:color w:val="auto"/>
                      <w:kern w:val="2"/>
                      <w:sz w:val="18"/>
                      <w:szCs w:val="18"/>
                      <w:lang w:val="en-US" w:eastAsia="zh-CN" w:bidi="ar-SA"/>
                    </w:rPr>
                    <w:t>敷设</w:t>
                  </w:r>
                  <w:r>
                    <w:rPr>
                      <w:rFonts w:hint="eastAsia" w:ascii="Times New Roman" w:hAnsi="Times New Roman" w:eastAsia="仿宋_GB2312" w:cs="Times New Roman"/>
                      <w:color w:val="auto"/>
                      <w:kern w:val="2"/>
                      <w:sz w:val="18"/>
                      <w:szCs w:val="18"/>
                      <w:lang w:val="en-US" w:eastAsia="zh-CN" w:bidi="ar-SA"/>
                    </w:rPr>
                    <w:t>至创新路与淮化路交叉口，继而沿淮化路管墩向北延伸，抵达淮北润土</w:t>
                  </w:r>
                  <w:r>
                    <w:rPr>
                      <w:rFonts w:hint="eastAsia" w:eastAsia="仿宋_GB2312" w:cs="Times New Roman"/>
                      <w:color w:val="auto"/>
                      <w:kern w:val="2"/>
                      <w:sz w:val="18"/>
                      <w:szCs w:val="18"/>
                      <w:lang w:val="en-US" w:eastAsia="zh-CN" w:bidi="ar-SA"/>
                    </w:rPr>
                    <w:t>公司</w:t>
                  </w:r>
                  <w:r>
                    <w:rPr>
                      <w:rFonts w:hint="eastAsia" w:ascii="Times New Roman" w:hAnsi="Times New Roman" w:eastAsia="仿宋_GB2312" w:cs="Times New Roman"/>
                      <w:color w:val="auto"/>
                      <w:kern w:val="2"/>
                      <w:sz w:val="18"/>
                      <w:szCs w:val="18"/>
                      <w:lang w:val="en-US" w:eastAsia="zh-CN" w:bidi="ar-SA"/>
                    </w:rPr>
                    <w:t>厂区西界后接入厂区，最终接至2号车间的MAK生产装置</w:t>
                  </w:r>
                  <w:r>
                    <w:rPr>
                      <w:rFonts w:hint="eastAsia" w:eastAsia="仿宋_GB2312" w:cs="Times New Roman"/>
                      <w:color w:val="auto"/>
                      <w:kern w:val="2"/>
                      <w:sz w:val="18"/>
                      <w:szCs w:val="18"/>
                      <w:lang w:val="en-US" w:eastAsia="zh-CN" w:bidi="ar-SA"/>
                    </w:rPr>
                    <w:t>，同时为3-6号车间规划远期项目预留了氢气接口。</w:t>
                  </w:r>
                  <w:r>
                    <w:rPr>
                      <w:rFonts w:hint="eastAsia" w:ascii="Times New Roman" w:hAnsi="Times New Roman" w:eastAsia="仿宋_GB2312" w:cs="Times New Roman"/>
                      <w:color w:val="auto"/>
                      <w:kern w:val="2"/>
                      <w:sz w:val="18"/>
                      <w:szCs w:val="18"/>
                      <w:lang w:val="en-US" w:eastAsia="zh-CN" w:bidi="ar-SA"/>
                    </w:rPr>
                    <w:t>。</w:t>
                  </w:r>
                </w:p>
                <w:p w14:paraId="2EBDC071">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该管线工程敷设管道长度约</w:t>
                  </w:r>
                  <w:r>
                    <w:rPr>
                      <w:rFonts w:hint="eastAsia" w:eastAsia="仿宋_GB2312" w:cs="Times New Roman"/>
                      <w:color w:val="auto"/>
                      <w:kern w:val="2"/>
                      <w:sz w:val="18"/>
                      <w:szCs w:val="18"/>
                      <w:lang w:val="en-US" w:eastAsia="zh-CN" w:bidi="ar-SA"/>
                    </w:rPr>
                    <w:t>676.3</w:t>
                  </w:r>
                  <w:r>
                    <w:rPr>
                      <w:rFonts w:hint="eastAsia" w:ascii="Times New Roman" w:hAnsi="Times New Roman" w:eastAsia="仿宋_GB2312" w:cs="Times New Roman"/>
                      <w:color w:val="auto"/>
                      <w:kern w:val="2"/>
                      <w:sz w:val="18"/>
                      <w:szCs w:val="18"/>
                      <w:lang w:val="en-US" w:eastAsia="zh-CN" w:bidi="ar-SA"/>
                    </w:rPr>
                    <w:t>m（园区综合管廊长度</w:t>
                  </w:r>
                  <w:r>
                    <w:rPr>
                      <w:rFonts w:hint="eastAsia" w:eastAsia="仿宋_GB2312" w:cs="Times New Roman"/>
                      <w:color w:val="auto"/>
                      <w:kern w:val="2"/>
                      <w:sz w:val="18"/>
                      <w:szCs w:val="18"/>
                      <w:lang w:val="en-US" w:eastAsia="zh-CN" w:bidi="ar-SA"/>
                    </w:rPr>
                    <w:t>197.6</w:t>
                  </w:r>
                  <w:r>
                    <w:rPr>
                      <w:rFonts w:hint="eastAsia" w:ascii="Times New Roman" w:hAnsi="Times New Roman" w:eastAsia="仿宋_GB2312" w:cs="Times New Roman"/>
                      <w:color w:val="auto"/>
                      <w:kern w:val="2"/>
                      <w:sz w:val="18"/>
                      <w:szCs w:val="18"/>
                      <w:lang w:val="en-US" w:eastAsia="zh-CN" w:bidi="ar-SA"/>
                    </w:rPr>
                    <w:t>m，</w:t>
                  </w:r>
                  <w:r>
                    <w:rPr>
                      <w:rFonts w:hint="eastAsia" w:eastAsia="仿宋_GB2312" w:cs="Times New Roman"/>
                      <w:color w:val="auto"/>
                      <w:kern w:val="2"/>
                      <w:sz w:val="18"/>
                      <w:szCs w:val="18"/>
                      <w:lang w:val="en-US" w:eastAsia="zh-CN" w:bidi="ar-SA"/>
                    </w:rPr>
                    <w:t>润土公司</w:t>
                  </w:r>
                  <w:r>
                    <w:rPr>
                      <w:rFonts w:hint="eastAsia" w:ascii="Times New Roman" w:hAnsi="Times New Roman" w:eastAsia="仿宋_GB2312" w:cs="Times New Roman"/>
                      <w:color w:val="auto"/>
                      <w:kern w:val="2"/>
                      <w:sz w:val="18"/>
                      <w:szCs w:val="18"/>
                      <w:lang w:val="en-US" w:eastAsia="zh-CN" w:bidi="ar-SA"/>
                    </w:rPr>
                    <w:t>厂内</w:t>
                  </w:r>
                  <w:r>
                    <w:rPr>
                      <w:rFonts w:hint="eastAsia" w:eastAsia="仿宋_GB2312" w:cs="Times New Roman"/>
                      <w:color w:val="auto"/>
                      <w:kern w:val="2"/>
                      <w:sz w:val="18"/>
                      <w:szCs w:val="18"/>
                      <w:lang w:val="en-US" w:eastAsia="zh-CN" w:bidi="ar-SA"/>
                    </w:rPr>
                    <w:t>478.7</w:t>
                  </w:r>
                  <w:r>
                    <w:rPr>
                      <w:rFonts w:hint="eastAsia" w:ascii="Times New Roman" w:hAnsi="Times New Roman" w:eastAsia="仿宋_GB2312" w:cs="Times New Roman"/>
                      <w:color w:val="auto"/>
                      <w:kern w:val="2"/>
                      <w:sz w:val="18"/>
                      <w:szCs w:val="18"/>
                      <w:lang w:val="en-US" w:eastAsia="zh-CN" w:bidi="ar-SA"/>
                    </w:rPr>
                    <w:t>m，合计</w:t>
                  </w:r>
                  <w:r>
                    <w:rPr>
                      <w:rFonts w:hint="eastAsia" w:eastAsia="仿宋_GB2312" w:cs="Times New Roman"/>
                      <w:color w:val="auto"/>
                      <w:kern w:val="2"/>
                      <w:sz w:val="18"/>
                      <w:szCs w:val="18"/>
                      <w:lang w:val="en-US" w:eastAsia="zh-CN" w:bidi="ar-SA"/>
                    </w:rPr>
                    <w:t>676.3</w:t>
                  </w:r>
                  <w:r>
                    <w:rPr>
                      <w:rFonts w:hint="eastAsia" w:ascii="Times New Roman" w:hAnsi="Times New Roman" w:eastAsia="仿宋_GB2312" w:cs="Times New Roman"/>
                      <w:color w:val="auto"/>
                      <w:kern w:val="2"/>
                      <w:sz w:val="18"/>
                      <w:szCs w:val="18"/>
                      <w:lang w:val="en-US" w:eastAsia="zh-CN" w:bidi="ar-SA"/>
                    </w:rPr>
                    <w:t>m）。氢气管道通径为DN</w:t>
                  </w:r>
                  <w:r>
                    <w:rPr>
                      <w:rFonts w:hint="eastAsia" w:eastAsia="仿宋_GB2312" w:cs="Times New Roman"/>
                      <w:color w:val="auto"/>
                      <w:kern w:val="2"/>
                      <w:sz w:val="18"/>
                      <w:szCs w:val="18"/>
                      <w:lang w:val="en-US" w:eastAsia="zh-CN" w:bidi="ar-SA"/>
                    </w:rPr>
                    <w:t>5</w:t>
                  </w:r>
                  <w:r>
                    <w:rPr>
                      <w:rFonts w:hint="eastAsia" w:ascii="Times New Roman" w:hAnsi="Times New Roman" w:eastAsia="仿宋_GB2312" w:cs="Times New Roman"/>
                      <w:color w:val="auto"/>
                      <w:kern w:val="2"/>
                      <w:sz w:val="18"/>
                      <w:szCs w:val="18"/>
                      <w:lang w:val="en-US" w:eastAsia="zh-CN" w:bidi="ar-SA"/>
                    </w:rPr>
                    <w:t>0，</w:t>
                  </w:r>
                  <w:r>
                    <w:rPr>
                      <w:rFonts w:hint="eastAsia" w:eastAsia="仿宋_GB2312" w:cs="Times New Roman"/>
                      <w:color w:val="auto"/>
                      <w:kern w:val="2"/>
                      <w:sz w:val="18"/>
                      <w:szCs w:val="18"/>
                      <w:lang w:val="en-US" w:eastAsia="zh-CN" w:bidi="ar-SA"/>
                    </w:rPr>
                    <w:t>工作</w:t>
                  </w:r>
                  <w:r>
                    <w:rPr>
                      <w:rFonts w:hint="eastAsia" w:ascii="Times New Roman" w:hAnsi="Times New Roman" w:eastAsia="仿宋_GB2312" w:cs="Times New Roman"/>
                      <w:color w:val="auto"/>
                      <w:kern w:val="2"/>
                      <w:sz w:val="18"/>
                      <w:szCs w:val="18"/>
                      <w:lang w:val="en-US" w:eastAsia="zh-CN" w:bidi="ar-SA"/>
                    </w:rPr>
                    <w:t>压力4.0MPa，</w:t>
                  </w:r>
                  <w:r>
                    <w:rPr>
                      <w:rFonts w:hint="eastAsia" w:eastAsia="仿宋_GB2312" w:cs="Times New Roman"/>
                      <w:color w:val="auto"/>
                      <w:kern w:val="2"/>
                      <w:sz w:val="18"/>
                      <w:szCs w:val="18"/>
                      <w:lang w:val="en-US" w:eastAsia="zh-CN" w:bidi="ar-SA"/>
                    </w:rPr>
                    <w:t>年输送量1490t</w:t>
                  </w:r>
                  <w:r>
                    <w:rPr>
                      <w:rFonts w:hint="eastAsia" w:ascii="Times New Roman" w:hAnsi="Times New Roman" w:eastAsia="仿宋_GB2312" w:cs="Times New Roman"/>
                      <w:color w:val="auto"/>
                      <w:kern w:val="2"/>
                      <w:sz w:val="18"/>
                      <w:szCs w:val="18"/>
                      <w:lang w:val="en-US" w:eastAsia="zh-CN" w:bidi="ar-SA"/>
                    </w:rPr>
                    <w:t>，输送温度为常温25℃。</w:t>
                  </w:r>
                </w:p>
              </w:tc>
              <w:tc>
                <w:tcPr>
                  <w:tcW w:w="1025" w:type="pct"/>
                  <w:tcBorders>
                    <w:tl2br w:val="nil"/>
                    <w:tr2bl w:val="nil"/>
                  </w:tcBorders>
                  <w:noWrap w:val="0"/>
                  <w:vAlign w:val="center"/>
                </w:tcPr>
                <w:p w14:paraId="0A18CE1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新建</w:t>
                  </w:r>
                </w:p>
              </w:tc>
            </w:tr>
            <w:tr w14:paraId="36D404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429C75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07B4BED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园区综合管廊</w:t>
                  </w:r>
                </w:p>
              </w:tc>
              <w:tc>
                <w:tcPr>
                  <w:tcW w:w="2685" w:type="pct"/>
                  <w:tcBorders>
                    <w:tl2br w:val="nil"/>
                    <w:tr2bl w:val="nil"/>
                  </w:tcBorders>
                  <w:noWrap w:val="0"/>
                  <w:vAlign w:val="center"/>
                </w:tcPr>
                <w:p w14:paraId="30A5F9E6">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本项目</w:t>
                  </w:r>
                  <w:r>
                    <w:rPr>
                      <w:rFonts w:hint="eastAsia" w:eastAsia="仿宋_GB2312" w:cs="Times New Roman"/>
                      <w:color w:val="auto"/>
                      <w:kern w:val="2"/>
                      <w:sz w:val="18"/>
                      <w:szCs w:val="18"/>
                      <w:lang w:val="en-US" w:eastAsia="zh-CN" w:bidi="ar-SA"/>
                    </w:rPr>
                    <w:t>依托</w:t>
                  </w:r>
                  <w:r>
                    <w:rPr>
                      <w:rFonts w:hint="eastAsia" w:ascii="Times New Roman" w:hAnsi="Times New Roman" w:eastAsia="仿宋_GB2312" w:cs="Times New Roman"/>
                      <w:color w:val="auto"/>
                      <w:kern w:val="2"/>
                      <w:sz w:val="18"/>
                      <w:szCs w:val="18"/>
                      <w:lang w:val="en-US" w:eastAsia="zh-CN" w:bidi="ar-SA"/>
                    </w:rPr>
                    <w:t>园区综合管廊</w:t>
                  </w:r>
                  <w:r>
                    <w:rPr>
                      <w:rFonts w:hint="eastAsia" w:eastAsia="仿宋_GB2312" w:cs="Times New Roman"/>
                      <w:color w:val="auto"/>
                      <w:kern w:val="2"/>
                      <w:sz w:val="18"/>
                      <w:szCs w:val="18"/>
                      <w:lang w:val="en-US" w:eastAsia="zh-CN" w:bidi="ar-SA"/>
                    </w:rPr>
                    <w:t>、管墩（</w:t>
                  </w:r>
                  <w:r>
                    <w:rPr>
                      <w:rFonts w:hint="eastAsia" w:ascii="Times New Roman" w:hAnsi="Times New Roman" w:eastAsia="仿宋_GB2312" w:cs="Times New Roman"/>
                      <w:color w:val="auto"/>
                      <w:kern w:val="2"/>
                      <w:sz w:val="18"/>
                      <w:szCs w:val="18"/>
                      <w:lang w:val="en-US" w:eastAsia="zh-CN" w:bidi="ar-SA"/>
                    </w:rPr>
                    <w:t>创新路跨路管廊</w:t>
                  </w:r>
                  <w:r>
                    <w:rPr>
                      <w:rFonts w:hint="eastAsia" w:eastAsia="仿宋_GB2312" w:cs="Times New Roman"/>
                      <w:color w:val="auto"/>
                      <w:kern w:val="2"/>
                      <w:sz w:val="18"/>
                      <w:szCs w:val="18"/>
                      <w:lang w:val="en-US" w:eastAsia="zh-CN" w:bidi="ar-SA"/>
                    </w:rPr>
                    <w:t>、淮化路管墩）</w:t>
                  </w:r>
                  <w:r>
                    <w:rPr>
                      <w:rFonts w:hint="eastAsia" w:ascii="Times New Roman" w:hAnsi="Times New Roman" w:eastAsia="仿宋_GB2312" w:cs="Times New Roman"/>
                      <w:color w:val="auto"/>
                      <w:kern w:val="2"/>
                      <w:sz w:val="18"/>
                      <w:szCs w:val="18"/>
                      <w:lang w:val="en-US" w:eastAsia="zh-CN" w:bidi="ar-SA"/>
                    </w:rPr>
                    <w:t>，由安徽相润投资控股集团有限公司（原安徽临涣工业园循环经济发展有限公司）投资建设，淮北市浍铚工业管廊运营有限公司负责运营。</w:t>
                  </w:r>
                  <w:r>
                    <w:rPr>
                      <w:rFonts w:hint="eastAsia" w:eastAsia="仿宋_GB2312" w:cs="Times New Roman"/>
                      <w:color w:val="auto"/>
                      <w:kern w:val="2"/>
                      <w:sz w:val="18"/>
                      <w:szCs w:val="18"/>
                      <w:lang w:val="en-US" w:eastAsia="zh-CN" w:bidi="ar-SA"/>
                    </w:rPr>
                    <w:t>此路段公共管廊、管墩</w:t>
                  </w:r>
                  <w:r>
                    <w:rPr>
                      <w:rFonts w:hint="eastAsia" w:ascii="Times New Roman" w:hAnsi="Times New Roman" w:eastAsia="仿宋_GB2312" w:cs="Times New Roman"/>
                      <w:color w:val="auto"/>
                      <w:kern w:val="2"/>
                      <w:sz w:val="18"/>
                      <w:szCs w:val="18"/>
                      <w:lang w:val="en-US" w:eastAsia="zh-CN" w:bidi="ar-SA"/>
                    </w:rPr>
                    <w:t>设计时已考虑本项目氢气管道的位置和荷载。</w:t>
                  </w:r>
                </w:p>
              </w:tc>
              <w:tc>
                <w:tcPr>
                  <w:tcW w:w="1025" w:type="pct"/>
                  <w:tcBorders>
                    <w:tl2br w:val="nil"/>
                    <w:tr2bl w:val="nil"/>
                  </w:tcBorders>
                  <w:noWrap w:val="0"/>
                  <w:vAlign w:val="center"/>
                </w:tcPr>
                <w:p w14:paraId="593CE65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依托</w:t>
                  </w:r>
                </w:p>
              </w:tc>
            </w:tr>
            <w:tr w14:paraId="2D3257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restart"/>
                  <w:tcBorders>
                    <w:tl2br w:val="nil"/>
                    <w:tr2bl w:val="nil"/>
                  </w:tcBorders>
                  <w:noWrap w:val="0"/>
                  <w:vAlign w:val="center"/>
                </w:tcPr>
                <w:p w14:paraId="25B1C22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辅助工程</w:t>
                  </w:r>
                </w:p>
              </w:tc>
              <w:tc>
                <w:tcPr>
                  <w:tcW w:w="775" w:type="pct"/>
                  <w:tcBorders>
                    <w:tl2br w:val="nil"/>
                    <w:tr2bl w:val="nil"/>
                  </w:tcBorders>
                  <w:noWrap w:val="0"/>
                  <w:vAlign w:val="center"/>
                </w:tcPr>
                <w:p w14:paraId="46FF988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自控系统</w:t>
                  </w:r>
                </w:p>
              </w:tc>
              <w:tc>
                <w:tcPr>
                  <w:tcW w:w="2685" w:type="pct"/>
                  <w:tcBorders>
                    <w:tl2br w:val="nil"/>
                    <w:tr2bl w:val="nil"/>
                  </w:tcBorders>
                  <w:noWrap w:val="0"/>
                  <w:vAlign w:val="center"/>
                </w:tcPr>
                <w:p w14:paraId="798EEF7C">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在润土公司厂区厂界线内设流量计和压力调节阀，流量及压力监控依托现有项目自控设施。</w:t>
                  </w:r>
                </w:p>
              </w:tc>
              <w:tc>
                <w:tcPr>
                  <w:tcW w:w="1025" w:type="pct"/>
                  <w:tcBorders>
                    <w:tl2br w:val="nil"/>
                    <w:tr2bl w:val="nil"/>
                  </w:tcBorders>
                  <w:noWrap w:val="0"/>
                  <w:vAlign w:val="center"/>
                </w:tcPr>
                <w:p w14:paraId="6BEF8211">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依托</w:t>
                  </w:r>
                </w:p>
              </w:tc>
            </w:tr>
            <w:tr w14:paraId="3D12EA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3E1916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46377C4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防腐</w:t>
                  </w:r>
                </w:p>
              </w:tc>
              <w:tc>
                <w:tcPr>
                  <w:tcW w:w="2685" w:type="pct"/>
                  <w:tcBorders>
                    <w:tl2br w:val="nil"/>
                    <w:tr2bl w:val="nil"/>
                  </w:tcBorders>
                  <w:noWrap w:val="0"/>
                  <w:vAlign w:val="center"/>
                </w:tcPr>
                <w:p w14:paraId="1713393B">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管道采用外防腐层保护方式，采用二道50um厚各色聚氨酯磁漆，中间为一道100um厚环氧云母铁中间漆，二道2×40um环氧富锌底漆。(本项目管道在生产厂家完成除锈和喷漆防腐措施)</w:t>
                  </w:r>
                </w:p>
              </w:tc>
              <w:tc>
                <w:tcPr>
                  <w:tcW w:w="1025" w:type="pct"/>
                  <w:tcBorders>
                    <w:tl2br w:val="nil"/>
                    <w:tr2bl w:val="nil"/>
                  </w:tcBorders>
                  <w:noWrap w:val="0"/>
                  <w:vAlign w:val="center"/>
                </w:tcPr>
                <w:p w14:paraId="1B7A0D7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w:t>
                  </w:r>
                </w:p>
              </w:tc>
            </w:tr>
            <w:tr w14:paraId="06752A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restart"/>
                  <w:tcBorders>
                    <w:tl2br w:val="nil"/>
                    <w:tr2bl w:val="nil"/>
                  </w:tcBorders>
                  <w:noWrap w:val="0"/>
                  <w:vAlign w:val="center"/>
                </w:tcPr>
                <w:p w14:paraId="73520DE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公用工程</w:t>
                  </w:r>
                </w:p>
              </w:tc>
              <w:tc>
                <w:tcPr>
                  <w:tcW w:w="775" w:type="pct"/>
                  <w:tcBorders>
                    <w:tl2br w:val="nil"/>
                    <w:tr2bl w:val="nil"/>
                  </w:tcBorders>
                  <w:noWrap w:val="0"/>
                  <w:vAlign w:val="center"/>
                </w:tcPr>
                <w:p w14:paraId="6B422C0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给水</w:t>
                  </w:r>
                </w:p>
              </w:tc>
              <w:tc>
                <w:tcPr>
                  <w:tcW w:w="2685" w:type="pct"/>
                  <w:tcBorders>
                    <w:tl2br w:val="nil"/>
                    <w:tr2bl w:val="nil"/>
                  </w:tcBorders>
                  <w:noWrap w:val="0"/>
                  <w:vAlign w:val="center"/>
                </w:tcPr>
                <w:p w14:paraId="655A2178">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施工期：生活用水约为0.</w:t>
                  </w:r>
                  <w:r>
                    <w:rPr>
                      <w:rFonts w:hint="eastAsia" w:eastAsia="仿宋_GB2312" w:cs="Times New Roman"/>
                      <w:color w:val="auto"/>
                      <w:kern w:val="2"/>
                      <w:sz w:val="18"/>
                      <w:szCs w:val="18"/>
                      <w:lang w:val="en-US" w:eastAsia="zh-CN" w:bidi="ar-SA"/>
                    </w:rPr>
                    <w:t>2</w:t>
                  </w:r>
                  <w:r>
                    <w:rPr>
                      <w:rFonts w:hint="eastAsia" w:ascii="Times New Roman" w:hAnsi="Times New Roman" w:eastAsia="仿宋_GB2312" w:cs="Times New Roman"/>
                      <w:color w:val="auto"/>
                      <w:kern w:val="2"/>
                      <w:sz w:val="18"/>
                      <w:szCs w:val="18"/>
                      <w:lang w:val="en-US" w:eastAsia="zh-CN" w:bidi="ar-SA"/>
                    </w:rPr>
                    <w:t>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/d，</w:t>
                  </w:r>
                  <w:r>
                    <w:rPr>
                      <w:rFonts w:hint="eastAsia" w:eastAsia="仿宋_GB2312" w:cs="Times New Roman"/>
                      <w:color w:val="auto"/>
                      <w:kern w:val="2"/>
                      <w:sz w:val="18"/>
                      <w:szCs w:val="18"/>
                      <w:lang w:val="en-US" w:eastAsia="zh-CN" w:bidi="ar-SA"/>
                    </w:rPr>
                    <w:t>试压用水约为3m</w:t>
                  </w:r>
                  <w:r>
                    <w:rPr>
                      <w:rFonts w:hint="eastAsia" w:eastAsia="仿宋_GB2312" w:cs="Times New Roman"/>
                      <w:color w:val="auto"/>
                      <w:kern w:val="2"/>
                      <w:sz w:val="18"/>
                      <w:szCs w:val="18"/>
                      <w:vertAlign w:val="superscript"/>
                      <w:lang w:val="en-US" w:eastAsia="zh-CN" w:bidi="ar-SA"/>
                    </w:rPr>
                    <w:t>3</w:t>
                  </w:r>
                  <w:r>
                    <w:rPr>
                      <w:rFonts w:hint="eastAsia" w:eastAsia="仿宋_GB2312" w:cs="Times New Roman"/>
                      <w:color w:val="auto"/>
                      <w:kern w:val="2"/>
                      <w:sz w:val="18"/>
                      <w:szCs w:val="18"/>
                      <w:lang w:val="en-US" w:eastAsia="zh-CN" w:bidi="ar-SA"/>
                    </w:rPr>
                    <w:t>，</w:t>
                  </w:r>
                  <w:r>
                    <w:rPr>
                      <w:rFonts w:hint="eastAsia" w:ascii="Times New Roman" w:hAnsi="Times New Roman" w:eastAsia="仿宋_GB2312" w:cs="Times New Roman"/>
                      <w:color w:val="auto"/>
                      <w:kern w:val="2"/>
                      <w:sz w:val="18"/>
                      <w:szCs w:val="18"/>
                      <w:lang w:val="en-US" w:eastAsia="zh-CN" w:bidi="ar-SA"/>
                    </w:rPr>
                    <w:t>由园区供水管网供给。</w:t>
                  </w:r>
                </w:p>
                <w:p w14:paraId="3ADF8114">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运营期</w:t>
                  </w:r>
                  <w:r>
                    <w:rPr>
                      <w:rFonts w:hint="eastAsia" w:ascii="Times New Roman" w:hAnsi="Times New Roman" w:eastAsia="仿宋_GB2312" w:cs="Times New Roman"/>
                      <w:color w:val="auto"/>
                      <w:kern w:val="2"/>
                      <w:sz w:val="18"/>
                      <w:szCs w:val="18"/>
                      <w:lang w:val="en-US" w:eastAsia="zh-CN" w:bidi="ar-SA"/>
                    </w:rPr>
                    <w:t>：本项目无需用水。</w:t>
                  </w:r>
                </w:p>
              </w:tc>
              <w:tc>
                <w:tcPr>
                  <w:tcW w:w="1025" w:type="pct"/>
                  <w:tcBorders>
                    <w:tl2br w:val="nil"/>
                    <w:tr2bl w:val="nil"/>
                  </w:tcBorders>
                  <w:noWrap w:val="0"/>
                  <w:vAlign w:val="center"/>
                </w:tcPr>
                <w:p w14:paraId="3D54703A">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依托</w:t>
                  </w:r>
                </w:p>
              </w:tc>
            </w:tr>
            <w:tr w14:paraId="372037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0CC1CA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28CAC6A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排水</w:t>
                  </w:r>
                </w:p>
              </w:tc>
              <w:tc>
                <w:tcPr>
                  <w:tcW w:w="2685" w:type="pct"/>
                  <w:tcBorders>
                    <w:tl2br w:val="nil"/>
                    <w:tr2bl w:val="nil"/>
                  </w:tcBorders>
                  <w:noWrap w:val="0"/>
                  <w:vAlign w:val="center"/>
                </w:tcPr>
                <w:p w14:paraId="56D938D0">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施工期：生活污水排放量为0.</w:t>
                  </w:r>
                  <w:r>
                    <w:rPr>
                      <w:rFonts w:hint="eastAsia" w:eastAsia="仿宋_GB2312" w:cs="Times New Roman"/>
                      <w:color w:val="auto"/>
                      <w:kern w:val="2"/>
                      <w:sz w:val="18"/>
                      <w:szCs w:val="18"/>
                      <w:lang w:val="en-US" w:eastAsia="zh-CN" w:bidi="ar-SA"/>
                    </w:rPr>
                    <w:t>16</w:t>
                  </w:r>
                  <w:r>
                    <w:rPr>
                      <w:rFonts w:hint="eastAsia" w:ascii="Times New Roman" w:hAnsi="Times New Roman" w:eastAsia="仿宋_GB2312" w:cs="Times New Roman"/>
                      <w:color w:val="auto"/>
                      <w:kern w:val="2"/>
                      <w:sz w:val="18"/>
                      <w:szCs w:val="18"/>
                      <w:lang w:val="en-US" w:eastAsia="zh-CN" w:bidi="ar-SA"/>
                    </w:rPr>
                    <w:t>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/d，依托</w:t>
                  </w:r>
                  <w:r>
                    <w:rPr>
                      <w:rFonts w:hint="eastAsia" w:eastAsia="仿宋_GB2312" w:cs="Times New Roman"/>
                      <w:color w:val="auto"/>
                      <w:kern w:val="2"/>
                      <w:sz w:val="18"/>
                      <w:szCs w:val="18"/>
                      <w:lang w:val="en-US" w:eastAsia="zh-CN" w:bidi="ar-SA"/>
                    </w:rPr>
                    <w:t>润土公司</w:t>
                  </w:r>
                  <w:r>
                    <w:rPr>
                      <w:rFonts w:hint="eastAsia" w:ascii="Times New Roman" w:hAnsi="Times New Roman" w:eastAsia="仿宋_GB2312" w:cs="Times New Roman"/>
                      <w:color w:val="auto"/>
                      <w:kern w:val="2"/>
                      <w:sz w:val="18"/>
                      <w:szCs w:val="18"/>
                      <w:lang w:val="en-US" w:eastAsia="zh-CN" w:bidi="ar-SA"/>
                    </w:rPr>
                    <w:t>厂区内现有化粪池，处理后纳入园区污水管网</w:t>
                  </w:r>
                  <w:r>
                    <w:rPr>
                      <w:rFonts w:hint="eastAsia" w:eastAsia="仿宋_GB2312" w:cs="Times New Roman"/>
                      <w:color w:val="auto"/>
                      <w:kern w:val="2"/>
                      <w:sz w:val="18"/>
                      <w:szCs w:val="18"/>
                      <w:lang w:val="en-US" w:eastAsia="zh-CN" w:bidi="ar-SA"/>
                    </w:rPr>
                    <w:t>；试压废水排放量约2.4m</w:t>
                  </w:r>
                  <w:r>
                    <w:rPr>
                      <w:rFonts w:hint="eastAsia" w:eastAsia="仿宋_GB2312" w:cs="Times New Roman"/>
                      <w:color w:val="auto"/>
                      <w:kern w:val="2"/>
                      <w:sz w:val="18"/>
                      <w:szCs w:val="18"/>
                      <w:vertAlign w:val="superscript"/>
                      <w:lang w:val="en-US" w:eastAsia="zh-CN" w:bidi="ar-SA"/>
                    </w:rPr>
                    <w:t>3</w:t>
                  </w:r>
                  <w:r>
                    <w:rPr>
                      <w:rFonts w:hint="eastAsia" w:eastAsia="仿宋_GB2312" w:cs="Times New Roman"/>
                      <w:color w:val="auto"/>
                      <w:kern w:val="2"/>
                      <w:sz w:val="18"/>
                      <w:szCs w:val="18"/>
                      <w:lang w:val="en-US" w:eastAsia="zh-CN" w:bidi="ar-SA"/>
                    </w:rPr>
                    <w:t>，</w:t>
                  </w:r>
                </w:p>
                <w:p w14:paraId="7BAFCA65">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运营期</w:t>
                  </w:r>
                  <w:r>
                    <w:rPr>
                      <w:rFonts w:hint="eastAsia" w:ascii="Times New Roman" w:hAnsi="Times New Roman" w:eastAsia="仿宋_GB2312" w:cs="Times New Roman"/>
                      <w:color w:val="auto"/>
                      <w:kern w:val="2"/>
                      <w:sz w:val="18"/>
                      <w:szCs w:val="18"/>
                      <w:lang w:val="en-US" w:eastAsia="zh-CN" w:bidi="ar-SA"/>
                    </w:rPr>
                    <w:t>：无废水产生。</w:t>
                  </w:r>
                </w:p>
              </w:tc>
              <w:tc>
                <w:tcPr>
                  <w:tcW w:w="1025" w:type="pct"/>
                  <w:tcBorders>
                    <w:tl2br w:val="nil"/>
                    <w:tr2bl w:val="nil"/>
                  </w:tcBorders>
                  <w:noWrap w:val="0"/>
                  <w:vAlign w:val="center"/>
                </w:tcPr>
                <w:p w14:paraId="1881D9A1">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依托</w:t>
                  </w:r>
                </w:p>
              </w:tc>
            </w:tr>
            <w:tr w14:paraId="5D464C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492FE5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7BCF242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供电</w:t>
                  </w:r>
                </w:p>
              </w:tc>
              <w:tc>
                <w:tcPr>
                  <w:tcW w:w="2685" w:type="pct"/>
                  <w:tcBorders>
                    <w:tl2br w:val="nil"/>
                    <w:tr2bl w:val="nil"/>
                  </w:tcBorders>
                  <w:noWrap w:val="0"/>
                  <w:vAlign w:val="center"/>
                </w:tcPr>
                <w:p w14:paraId="34AC00D8">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本项目本身无供配电需求，管廊上不设照明。管廊照明依托园区道路和厂区照明设施。管廊沿线设置管道检维修备用电源或移动式检维修电源，供管道检维修用电需求。</w:t>
                  </w:r>
                </w:p>
              </w:tc>
              <w:tc>
                <w:tcPr>
                  <w:tcW w:w="1025" w:type="pct"/>
                  <w:tcBorders>
                    <w:tl2br w:val="nil"/>
                    <w:tr2bl w:val="nil"/>
                  </w:tcBorders>
                  <w:noWrap w:val="0"/>
                  <w:vAlign w:val="center"/>
                </w:tcPr>
                <w:p w14:paraId="20E58A2D">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w:t>
                  </w:r>
                </w:p>
              </w:tc>
            </w:tr>
            <w:tr w14:paraId="4FE00A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restart"/>
                  <w:tcBorders>
                    <w:tl2br w:val="nil"/>
                    <w:tr2bl w:val="nil"/>
                  </w:tcBorders>
                  <w:noWrap w:val="0"/>
                  <w:vAlign w:val="center"/>
                </w:tcPr>
                <w:p w14:paraId="3EA315C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临时工程</w:t>
                  </w:r>
                </w:p>
              </w:tc>
              <w:tc>
                <w:tcPr>
                  <w:tcW w:w="775" w:type="pct"/>
                  <w:tcBorders>
                    <w:tl2br w:val="nil"/>
                    <w:tr2bl w:val="nil"/>
                  </w:tcBorders>
                  <w:noWrap w:val="0"/>
                  <w:vAlign w:val="center"/>
                </w:tcPr>
                <w:p w14:paraId="2981F12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道路工程</w:t>
                  </w:r>
                </w:p>
              </w:tc>
              <w:tc>
                <w:tcPr>
                  <w:tcW w:w="2685" w:type="pct"/>
                  <w:tcBorders>
                    <w:tl2br w:val="nil"/>
                    <w:tr2bl w:val="nil"/>
                  </w:tcBorders>
                  <w:noWrap w:val="0"/>
                  <w:vAlign w:val="center"/>
                </w:tcPr>
                <w:p w14:paraId="36D0BED6">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highlight w:val="none"/>
                      <w:lang w:val="en-US" w:eastAsia="zh-CN" w:bidi="ar-SA"/>
                    </w:rPr>
                  </w:pPr>
                  <w:r>
                    <w:rPr>
                      <w:rFonts w:hint="eastAsia" w:ascii="Times New Roman" w:hAnsi="Times New Roman" w:eastAsia="仿宋_GB2312" w:cs="Times New Roman"/>
                      <w:color w:val="auto"/>
                      <w:kern w:val="2"/>
                      <w:sz w:val="18"/>
                      <w:szCs w:val="18"/>
                      <w:highlight w:val="none"/>
                      <w:lang w:val="en-US" w:eastAsia="zh-CN" w:bidi="ar-SA"/>
                    </w:rPr>
                    <w:t>不新增施工便道，依托现有市政道路。</w:t>
                  </w:r>
                </w:p>
              </w:tc>
              <w:tc>
                <w:tcPr>
                  <w:tcW w:w="1025" w:type="pct"/>
                  <w:tcBorders>
                    <w:tl2br w:val="nil"/>
                    <w:tr2bl w:val="nil"/>
                  </w:tcBorders>
                  <w:noWrap w:val="0"/>
                  <w:vAlign w:val="center"/>
                </w:tcPr>
                <w:p w14:paraId="4B4CB94C">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依托</w:t>
                  </w:r>
                </w:p>
              </w:tc>
            </w:tr>
            <w:tr w14:paraId="3494AB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60A980D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50EB06C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施工营地</w:t>
                  </w:r>
                </w:p>
              </w:tc>
              <w:tc>
                <w:tcPr>
                  <w:tcW w:w="2685" w:type="pct"/>
                  <w:tcBorders>
                    <w:tl2br w:val="nil"/>
                    <w:tr2bl w:val="nil"/>
                  </w:tcBorders>
                  <w:noWrap w:val="0"/>
                  <w:vAlign w:val="center"/>
                </w:tcPr>
                <w:p w14:paraId="5925EBBD">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highlight w:val="none"/>
                      <w:lang w:val="en-US" w:eastAsia="zh-CN" w:bidi="ar-SA"/>
                    </w:rPr>
                  </w:pPr>
                  <w:r>
                    <w:rPr>
                      <w:rFonts w:hint="eastAsia" w:ascii="Times New Roman" w:hAnsi="Times New Roman" w:eastAsia="仿宋_GB2312" w:cs="Times New Roman"/>
                      <w:color w:val="auto"/>
                      <w:kern w:val="2"/>
                      <w:sz w:val="18"/>
                      <w:szCs w:val="18"/>
                      <w:highlight w:val="none"/>
                      <w:lang w:val="en-US" w:eastAsia="zh-CN" w:bidi="ar-SA"/>
                    </w:rPr>
                    <w:t>项目不设施工营地</w:t>
                  </w:r>
                  <w:r>
                    <w:rPr>
                      <w:rFonts w:hint="eastAsia" w:eastAsia="仿宋_GB2312" w:cs="Times New Roman"/>
                      <w:color w:val="auto"/>
                      <w:kern w:val="2"/>
                      <w:sz w:val="18"/>
                      <w:szCs w:val="18"/>
                      <w:highlight w:val="none"/>
                      <w:lang w:val="en-US" w:eastAsia="zh-CN" w:bidi="ar-SA"/>
                    </w:rPr>
                    <w:t>。临时办公用房和管材堆放场等临时用地设置在润土公司厂区内</w:t>
                  </w:r>
                </w:p>
              </w:tc>
              <w:tc>
                <w:tcPr>
                  <w:tcW w:w="1025" w:type="pct"/>
                  <w:tcBorders>
                    <w:tl2br w:val="nil"/>
                    <w:tr2bl w:val="nil"/>
                  </w:tcBorders>
                  <w:noWrap w:val="0"/>
                  <w:vAlign w:val="center"/>
                </w:tcPr>
                <w:p w14:paraId="20E5AF4A">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依托</w:t>
                  </w:r>
                </w:p>
              </w:tc>
            </w:tr>
            <w:tr w14:paraId="6A5C64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640981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16FF471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施工场地</w:t>
                  </w:r>
                </w:p>
              </w:tc>
              <w:tc>
                <w:tcPr>
                  <w:tcW w:w="2685" w:type="pct"/>
                  <w:tcBorders>
                    <w:tl2br w:val="nil"/>
                    <w:tr2bl w:val="nil"/>
                  </w:tcBorders>
                  <w:noWrap w:val="0"/>
                  <w:vAlign w:val="center"/>
                </w:tcPr>
                <w:p w14:paraId="06B8109D">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highlight w:val="none"/>
                      <w:lang w:val="en-US" w:eastAsia="zh-CN" w:bidi="ar-SA"/>
                    </w:rPr>
                  </w:pPr>
                  <w:r>
                    <w:rPr>
                      <w:rFonts w:hint="eastAsia" w:ascii="Times New Roman" w:hAnsi="Times New Roman" w:eastAsia="仿宋_GB2312" w:cs="Times New Roman"/>
                      <w:color w:val="auto"/>
                      <w:kern w:val="2"/>
                      <w:sz w:val="18"/>
                      <w:szCs w:val="18"/>
                      <w:highlight w:val="none"/>
                      <w:lang w:val="en-US" w:eastAsia="zh-CN" w:bidi="ar-SA"/>
                    </w:rPr>
                    <w:t>施工材料直接汽车运输至现场，不设施工材料堆放场地。</w:t>
                  </w:r>
                </w:p>
              </w:tc>
              <w:tc>
                <w:tcPr>
                  <w:tcW w:w="1025" w:type="pct"/>
                  <w:tcBorders>
                    <w:tl2br w:val="nil"/>
                    <w:tr2bl w:val="nil"/>
                  </w:tcBorders>
                  <w:noWrap w:val="0"/>
                  <w:vAlign w:val="center"/>
                </w:tcPr>
                <w:p w14:paraId="5C1DCC39">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w:t>
                  </w:r>
                </w:p>
              </w:tc>
            </w:tr>
            <w:tr w14:paraId="0D1F51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restart"/>
                  <w:tcBorders>
                    <w:tl2br w:val="nil"/>
                    <w:tr2bl w:val="nil"/>
                  </w:tcBorders>
                  <w:noWrap w:val="0"/>
                  <w:vAlign w:val="center"/>
                </w:tcPr>
                <w:p w14:paraId="59EE269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环保工程</w:t>
                  </w:r>
                </w:p>
              </w:tc>
              <w:tc>
                <w:tcPr>
                  <w:tcW w:w="775" w:type="pct"/>
                  <w:tcBorders>
                    <w:tl2br w:val="nil"/>
                    <w:tr2bl w:val="nil"/>
                  </w:tcBorders>
                  <w:noWrap w:val="0"/>
                  <w:vAlign w:val="center"/>
                </w:tcPr>
                <w:p w14:paraId="74EB22A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废水</w:t>
                  </w:r>
                </w:p>
              </w:tc>
              <w:tc>
                <w:tcPr>
                  <w:tcW w:w="2685" w:type="pct"/>
                  <w:tcBorders>
                    <w:tl2br w:val="nil"/>
                    <w:tr2bl w:val="nil"/>
                  </w:tcBorders>
                  <w:noWrap w:val="0"/>
                  <w:vAlign w:val="center"/>
                </w:tcPr>
                <w:p w14:paraId="29C8C9EE">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施工期：生活污水依托</w:t>
                  </w:r>
                  <w:r>
                    <w:rPr>
                      <w:rFonts w:hint="eastAsia" w:eastAsia="仿宋_GB2312" w:cs="Times New Roman"/>
                      <w:color w:val="auto"/>
                      <w:kern w:val="2"/>
                      <w:sz w:val="18"/>
                      <w:szCs w:val="18"/>
                      <w:lang w:val="en-US" w:eastAsia="zh-CN" w:bidi="ar-SA"/>
                    </w:rPr>
                    <w:t>润土公司</w:t>
                  </w:r>
                  <w:r>
                    <w:rPr>
                      <w:rFonts w:hint="eastAsia" w:ascii="Times New Roman" w:hAnsi="Times New Roman" w:eastAsia="仿宋_GB2312" w:cs="Times New Roman"/>
                      <w:color w:val="auto"/>
                      <w:kern w:val="2"/>
                      <w:sz w:val="18"/>
                      <w:szCs w:val="18"/>
                      <w:lang w:val="en-US" w:eastAsia="zh-CN" w:bidi="ar-SA"/>
                    </w:rPr>
                    <w:t>厂区内现有化粪池，处理后纳入园区污水管网</w:t>
                  </w:r>
                  <w:r>
                    <w:rPr>
                      <w:rFonts w:hint="eastAsia" w:eastAsia="仿宋_GB2312" w:cs="Times New Roman"/>
                      <w:color w:val="auto"/>
                      <w:kern w:val="2"/>
                      <w:sz w:val="18"/>
                      <w:szCs w:val="18"/>
                      <w:lang w:val="en-US" w:eastAsia="zh-CN" w:bidi="ar-SA"/>
                    </w:rPr>
                    <w:t>；试压废水排入润土公司厂区废水收集池，纳入园区污水管网。</w:t>
                  </w:r>
                </w:p>
                <w:p w14:paraId="7324879C">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运营期</w:t>
                  </w:r>
                  <w:r>
                    <w:rPr>
                      <w:rFonts w:hint="eastAsia" w:ascii="Times New Roman" w:hAnsi="Times New Roman" w:eastAsia="仿宋_GB2312" w:cs="Times New Roman"/>
                      <w:color w:val="auto"/>
                      <w:kern w:val="2"/>
                      <w:sz w:val="18"/>
                      <w:szCs w:val="18"/>
                      <w:lang w:val="en-US" w:eastAsia="zh-CN" w:bidi="ar-SA"/>
                    </w:rPr>
                    <w:t>：无废水产生。</w:t>
                  </w:r>
                </w:p>
              </w:tc>
              <w:tc>
                <w:tcPr>
                  <w:tcW w:w="1025" w:type="pct"/>
                  <w:tcBorders>
                    <w:tl2br w:val="nil"/>
                    <w:tr2bl w:val="nil"/>
                  </w:tcBorders>
                  <w:noWrap w:val="0"/>
                  <w:vAlign w:val="center"/>
                </w:tcPr>
                <w:p w14:paraId="6219DC22">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依托</w:t>
                  </w:r>
                </w:p>
              </w:tc>
            </w:tr>
            <w:tr w14:paraId="76B2DA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575A9E3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48C09F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废气</w:t>
                  </w:r>
                </w:p>
              </w:tc>
              <w:tc>
                <w:tcPr>
                  <w:tcW w:w="2685" w:type="pct"/>
                  <w:tcBorders>
                    <w:tl2br w:val="nil"/>
                    <w:tr2bl w:val="nil"/>
                  </w:tcBorders>
                  <w:noWrap w:val="0"/>
                  <w:vAlign w:val="center"/>
                </w:tcPr>
                <w:p w14:paraId="5C5C5050">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施工期：</w:t>
                  </w:r>
                </w:p>
                <w:p w14:paraId="2E6E74F0">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（1）施工扬尘：按照“六个百分百”的要求，必须采取围挡、遮盖、洒水等抑尘措施；</w:t>
                  </w:r>
                </w:p>
                <w:p w14:paraId="03B8C4CE">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（2）焊接烟尘、焊缝涂漆废气、燃油机械尾气和吹扫废气等：自然扩散。</w:t>
                  </w:r>
                </w:p>
                <w:p w14:paraId="2EB2E104">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运营期</w:t>
                  </w:r>
                  <w:r>
                    <w:rPr>
                      <w:rFonts w:hint="eastAsia" w:ascii="Times New Roman" w:hAnsi="Times New Roman" w:eastAsia="仿宋_GB2312" w:cs="Times New Roman"/>
                      <w:color w:val="auto"/>
                      <w:kern w:val="2"/>
                      <w:sz w:val="18"/>
                      <w:szCs w:val="18"/>
                      <w:lang w:val="en-US" w:eastAsia="zh-CN" w:bidi="ar-SA"/>
                    </w:rPr>
                    <w:t>：项目正常工况下无废气排放。</w:t>
                  </w:r>
                </w:p>
              </w:tc>
              <w:tc>
                <w:tcPr>
                  <w:tcW w:w="1025" w:type="pct"/>
                  <w:tcBorders>
                    <w:tl2br w:val="nil"/>
                    <w:tr2bl w:val="nil"/>
                  </w:tcBorders>
                  <w:noWrap w:val="0"/>
                  <w:vAlign w:val="center"/>
                </w:tcPr>
                <w:p w14:paraId="0CB332CC">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w:t>
                  </w:r>
                </w:p>
              </w:tc>
            </w:tr>
            <w:tr w14:paraId="73414A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7F44875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0991B9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噪声</w:t>
                  </w:r>
                </w:p>
              </w:tc>
              <w:tc>
                <w:tcPr>
                  <w:tcW w:w="2685" w:type="pct"/>
                  <w:tcBorders>
                    <w:tl2br w:val="nil"/>
                    <w:tr2bl w:val="nil"/>
                  </w:tcBorders>
                  <w:noWrap w:val="0"/>
                  <w:vAlign w:val="center"/>
                </w:tcPr>
                <w:p w14:paraId="7B2F11A3">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施工期：选用低噪机械、合理规划施工时间，对放散管安装消声器等降低噪声。</w:t>
                  </w:r>
                </w:p>
                <w:p w14:paraId="39C8987F">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运营期：正常工况无噪声排放，管道检修时会产生放空噪声，采取综合降噪措施，包括在放空管道上安装消声器、采用隔音材料包裹管道以及使用隔音支架等。</w:t>
                  </w:r>
                </w:p>
              </w:tc>
              <w:tc>
                <w:tcPr>
                  <w:tcW w:w="1025" w:type="pct"/>
                  <w:tcBorders>
                    <w:tl2br w:val="nil"/>
                    <w:tr2bl w:val="nil"/>
                  </w:tcBorders>
                  <w:noWrap w:val="0"/>
                  <w:vAlign w:val="center"/>
                </w:tcPr>
                <w:p w14:paraId="72E28BD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w:t>
                  </w:r>
                </w:p>
              </w:tc>
            </w:tr>
            <w:tr w14:paraId="344C24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5D708D9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3C6A52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固废</w:t>
                  </w:r>
                </w:p>
              </w:tc>
              <w:tc>
                <w:tcPr>
                  <w:tcW w:w="2685" w:type="pct"/>
                  <w:tcBorders>
                    <w:tl2br w:val="nil"/>
                    <w:tr2bl w:val="nil"/>
                  </w:tcBorders>
                  <w:noWrap w:val="0"/>
                  <w:vAlign w:val="center"/>
                </w:tcPr>
                <w:p w14:paraId="0907ED5F">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施工期：废油漆桶/刷属于危险废物，暂存于</w:t>
                  </w:r>
                  <w:r>
                    <w:rPr>
                      <w:rFonts w:hint="eastAsia" w:eastAsia="仿宋_GB2312" w:cs="Times New Roman"/>
                      <w:color w:val="auto"/>
                      <w:kern w:val="2"/>
                      <w:sz w:val="18"/>
                      <w:szCs w:val="18"/>
                      <w:lang w:val="en-US" w:eastAsia="zh-CN" w:bidi="ar-SA"/>
                    </w:rPr>
                    <w:t>润土公司</w:t>
                  </w:r>
                  <w:r>
                    <w:rPr>
                      <w:rFonts w:hint="eastAsia" w:ascii="Times New Roman" w:hAnsi="Times New Roman" w:eastAsia="仿宋_GB2312" w:cs="Times New Roman"/>
                      <w:color w:val="auto"/>
                      <w:kern w:val="2"/>
                      <w:sz w:val="18"/>
                      <w:szCs w:val="18"/>
                      <w:lang w:val="en-US" w:eastAsia="zh-CN" w:bidi="ar-SA"/>
                    </w:rPr>
                    <w:t>厂区内危废暂存间（位于厂区</w:t>
                  </w:r>
                  <w:r>
                    <w:rPr>
                      <w:rFonts w:hint="eastAsia" w:eastAsia="仿宋_GB2312" w:cs="Times New Roman"/>
                      <w:color w:val="auto"/>
                      <w:kern w:val="2"/>
                      <w:sz w:val="18"/>
                      <w:szCs w:val="18"/>
                      <w:lang w:val="en-US" w:eastAsia="zh-CN" w:bidi="ar-SA"/>
                    </w:rPr>
                    <w:t>东侧</w:t>
                  </w:r>
                  <w:r>
                    <w:rPr>
                      <w:rFonts w:hint="eastAsia" w:ascii="Times New Roman" w:hAnsi="Times New Roman" w:eastAsia="仿宋_GB2312" w:cs="Times New Roman"/>
                      <w:color w:val="auto"/>
                      <w:kern w:val="2"/>
                      <w:sz w:val="18"/>
                      <w:szCs w:val="18"/>
                      <w:lang w:val="en-US" w:eastAsia="zh-CN" w:bidi="ar-SA"/>
                    </w:rPr>
                    <w:t>，占地面积2</w:t>
                  </w:r>
                  <w:r>
                    <w:rPr>
                      <w:rFonts w:hint="eastAsia" w:eastAsia="仿宋_GB2312" w:cs="Times New Roman"/>
                      <w:color w:val="auto"/>
                      <w:kern w:val="2"/>
                      <w:sz w:val="18"/>
                      <w:szCs w:val="18"/>
                      <w:lang w:val="en-US" w:eastAsia="zh-CN" w:bidi="ar-SA"/>
                    </w:rPr>
                    <w:t>47.5</w:t>
                  </w:r>
                  <w:r>
                    <w:rPr>
                      <w:rFonts w:hint="eastAsia" w:ascii="Times New Roman" w:hAnsi="Times New Roman" w:eastAsia="仿宋_GB2312" w:cs="Times New Roman"/>
                      <w:color w:val="auto"/>
                      <w:kern w:val="2"/>
                      <w:sz w:val="18"/>
                      <w:szCs w:val="18"/>
                      <w:lang w:val="en-US" w:eastAsia="zh-CN" w:bidi="ar-SA"/>
                    </w:rPr>
                    <w:t>m</w:t>
                  </w:r>
                  <w:r>
                    <w:rPr>
                      <w:rFonts w:hint="eastAsia" w:ascii="Times New Roman" w:hAnsi="Times New Roman" w:eastAsia="仿宋_GB2312" w:cs="Times New Roman"/>
                      <w:color w:val="auto"/>
                      <w:kern w:val="2"/>
                      <w:sz w:val="18"/>
                      <w:szCs w:val="18"/>
                      <w:vertAlign w:val="superscript"/>
                      <w:lang w:val="en-US" w:eastAsia="zh-CN" w:bidi="ar-SA"/>
                    </w:rPr>
                    <w:t>2</w:t>
                  </w:r>
                  <w:r>
                    <w:rPr>
                      <w:rFonts w:hint="eastAsia" w:ascii="Times New Roman" w:hAnsi="Times New Roman" w:eastAsia="仿宋_GB2312" w:cs="Times New Roman"/>
                      <w:color w:val="auto"/>
                      <w:kern w:val="2"/>
                      <w:sz w:val="18"/>
                      <w:szCs w:val="18"/>
                      <w:lang w:val="en-US" w:eastAsia="zh-CN" w:bidi="ar-SA"/>
                    </w:rPr>
                    <w:t>），委托资质单位处置；废焊条收集后外售处理；施工生活垃圾委托当地环卫部门清运处理。</w:t>
                  </w:r>
                </w:p>
                <w:p w14:paraId="5A51C0A3">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运营期</w:t>
                  </w:r>
                  <w:r>
                    <w:rPr>
                      <w:rFonts w:hint="eastAsia" w:ascii="Times New Roman" w:hAnsi="Times New Roman" w:eastAsia="仿宋_GB2312" w:cs="Times New Roman"/>
                      <w:color w:val="auto"/>
                      <w:kern w:val="2"/>
                      <w:sz w:val="18"/>
                      <w:szCs w:val="18"/>
                      <w:lang w:val="en-US" w:eastAsia="zh-CN" w:bidi="ar-SA"/>
                    </w:rPr>
                    <w:t>：</w:t>
                  </w:r>
                  <w:r>
                    <w:rPr>
                      <w:rFonts w:hint="eastAsia" w:eastAsia="仿宋_GB2312" w:cs="Times New Roman"/>
                      <w:color w:val="auto"/>
                      <w:kern w:val="2"/>
                      <w:sz w:val="18"/>
                      <w:szCs w:val="18"/>
                      <w:lang w:val="en-US" w:eastAsia="zh-CN" w:bidi="ar-SA"/>
                    </w:rPr>
                    <w:t>项目正常工况下无固废产生</w:t>
                  </w:r>
                  <w:r>
                    <w:rPr>
                      <w:rFonts w:hint="eastAsia" w:ascii="Times New Roman" w:hAnsi="Times New Roman" w:eastAsia="仿宋_GB2312" w:cs="Times New Roman"/>
                      <w:color w:val="auto"/>
                      <w:kern w:val="2"/>
                      <w:sz w:val="18"/>
                      <w:szCs w:val="18"/>
                      <w:lang w:val="en-US" w:eastAsia="zh-CN" w:bidi="ar-SA"/>
                    </w:rPr>
                    <w:t>。</w:t>
                  </w:r>
                </w:p>
              </w:tc>
              <w:tc>
                <w:tcPr>
                  <w:tcW w:w="1025" w:type="pct"/>
                  <w:tcBorders>
                    <w:tl2br w:val="nil"/>
                    <w:tr2bl w:val="nil"/>
                  </w:tcBorders>
                  <w:noWrap w:val="0"/>
                  <w:vAlign w:val="center"/>
                </w:tcPr>
                <w:p w14:paraId="79F72111">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依托</w:t>
                  </w:r>
                </w:p>
              </w:tc>
            </w:tr>
            <w:tr w14:paraId="368C84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029E9E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34CBD47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生态保护措施</w:t>
                  </w:r>
                </w:p>
              </w:tc>
              <w:tc>
                <w:tcPr>
                  <w:tcW w:w="2685" w:type="pct"/>
                  <w:tcBorders>
                    <w:tl2br w:val="nil"/>
                    <w:tr2bl w:val="nil"/>
                  </w:tcBorders>
                  <w:noWrap w:val="0"/>
                  <w:vAlign w:val="center"/>
                </w:tcPr>
                <w:p w14:paraId="4BF5F060">
                  <w:pPr>
                    <w:pStyle w:val="3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施工结束后及时恢复地面绿化，恢复标准不得低于施工前绿化标准；优选施工时间，避开动物活动高峰时段，加强施工人员环保教育，妥善处理施工固废，不得随意抛弃。</w:t>
                  </w:r>
                </w:p>
              </w:tc>
              <w:tc>
                <w:tcPr>
                  <w:tcW w:w="1025" w:type="pct"/>
                  <w:tcBorders>
                    <w:tl2br w:val="nil"/>
                    <w:tr2bl w:val="nil"/>
                  </w:tcBorders>
                  <w:noWrap w:val="0"/>
                  <w:vAlign w:val="center"/>
                </w:tcPr>
                <w:p w14:paraId="175FA17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w:t>
                  </w:r>
                </w:p>
              </w:tc>
            </w:tr>
            <w:tr w14:paraId="01716A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3" w:type="pct"/>
                  <w:vMerge w:val="continue"/>
                  <w:tcBorders>
                    <w:tl2br w:val="nil"/>
                    <w:tr2bl w:val="nil"/>
                  </w:tcBorders>
                  <w:noWrap w:val="0"/>
                  <w:vAlign w:val="center"/>
                </w:tcPr>
                <w:p w14:paraId="493EED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75" w:type="pct"/>
                  <w:tcBorders>
                    <w:tl2br w:val="nil"/>
                    <w:tr2bl w:val="nil"/>
                  </w:tcBorders>
                  <w:noWrap w:val="0"/>
                  <w:vAlign w:val="center"/>
                </w:tcPr>
                <w:p w14:paraId="70638B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环境</w:t>
                  </w:r>
                  <w:r>
                    <w:rPr>
                      <w:rFonts w:hint="eastAsia" w:ascii="Times New Roman" w:hAnsi="Times New Roman" w:cs="Times New Roman"/>
                      <w:color w:val="auto"/>
                      <w:kern w:val="2"/>
                      <w:sz w:val="18"/>
                      <w:szCs w:val="18"/>
                      <w:lang w:val="en-US" w:eastAsia="zh-CN" w:bidi="ar-SA"/>
                    </w:rPr>
                    <w:t>风险</w:t>
                  </w:r>
                  <w:r>
                    <w:rPr>
                      <w:rFonts w:hint="eastAsia" w:cs="Times New Roman"/>
                      <w:color w:val="auto"/>
                      <w:kern w:val="2"/>
                      <w:sz w:val="18"/>
                      <w:szCs w:val="18"/>
                      <w:lang w:val="en-US" w:eastAsia="zh-CN" w:bidi="ar-SA"/>
                    </w:rPr>
                    <w:t>防范措施</w:t>
                  </w:r>
                </w:p>
              </w:tc>
              <w:tc>
                <w:tcPr>
                  <w:tcW w:w="2685" w:type="pct"/>
                  <w:tcBorders>
                    <w:tl2br w:val="nil"/>
                    <w:tr2bl w:val="nil"/>
                  </w:tcBorders>
                  <w:noWrap w:val="0"/>
                  <w:vAlign w:val="center"/>
                </w:tcPr>
                <w:p w14:paraId="3F878A60">
                  <w:pPr>
                    <w:pStyle w:val="30"/>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源头管控，管道按照规范设计安装；按照规范设置管道标志；定期巡检；管道起点和终点附近设置截断阀；阀门处配备气体泄漏检测装置；编制突发环境事件应急预案，定期进行应急演练，配备必要的应急物资等，并与当地应急机构形成长效联动机制。</w:t>
                  </w:r>
                </w:p>
              </w:tc>
              <w:tc>
                <w:tcPr>
                  <w:tcW w:w="1025" w:type="pct"/>
                  <w:tcBorders>
                    <w:tl2br w:val="nil"/>
                    <w:tr2bl w:val="nil"/>
                  </w:tcBorders>
                  <w:noWrap w:val="0"/>
                  <w:vAlign w:val="center"/>
                </w:tcPr>
                <w:p w14:paraId="6C9BB272">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新建</w:t>
                  </w:r>
                </w:p>
              </w:tc>
            </w:tr>
          </w:tbl>
          <w:p w14:paraId="329C7E69">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0"/>
              <w:textAlignment w:val="auto"/>
              <w:rPr>
                <w:rFonts w:hint="default" w:cs="Times New Roman"/>
                <w:b/>
                <w:bCs/>
                <w:color w:val="auto"/>
                <w:lang w:val="en-US" w:eastAsia="zh-CN"/>
              </w:rPr>
            </w:pPr>
            <w:r>
              <w:rPr>
                <w:rFonts w:hint="eastAsia" w:cs="Times New Roman"/>
                <w:b/>
                <w:bCs/>
                <w:color w:val="auto"/>
                <w:lang w:val="en-US" w:eastAsia="zh-CN"/>
              </w:rPr>
              <w:t>2.2.6.2 管道运营及管理方式</w:t>
            </w:r>
          </w:p>
          <w:p w14:paraId="493AA8BF">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bCs/>
                <w:color w:val="auto"/>
                <w:lang w:val="en-US" w:eastAsia="zh-CN"/>
              </w:rPr>
            </w:pPr>
            <w:r>
              <w:rPr>
                <w:rFonts w:hint="eastAsia" w:cs="Times New Roman"/>
                <w:b/>
                <w:bCs/>
                <w:color w:val="auto"/>
                <w:lang w:val="en-US" w:eastAsia="zh-CN"/>
              </w:rPr>
              <w:t>1、运营期输送</w:t>
            </w:r>
          </w:p>
          <w:p w14:paraId="0488C8B5">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bCs/>
                <w:color w:val="auto"/>
                <w:lang w:val="en-US" w:eastAsia="zh-CN"/>
              </w:rPr>
              <w:t>氢气输送系统：</w:t>
            </w:r>
            <w:r>
              <w:rPr>
                <w:rFonts w:hint="eastAsia" w:cs="Times New Roman"/>
                <w:color w:val="auto"/>
                <w:lang w:val="en-US" w:eastAsia="zh-CN"/>
              </w:rPr>
              <w:t>润土公司与安徽湛为气体有限公司签订了《管道输送氢气供应合同》，气源主要依托临涣焦化股份有限公司，供氢路径由临涣焦化至安徽湛为的主氢气管道上引出一支分流管道，敷设至润土公司，以满足其用氢需求。</w:t>
            </w:r>
            <w:r>
              <w:rPr>
                <w:rFonts w:hint="eastAsia" w:cs="Times New Roman"/>
                <w:b w:val="0"/>
                <w:bCs w:val="0"/>
                <w:color w:val="auto"/>
                <w:lang w:val="en-US" w:eastAsia="zh-CN"/>
              </w:rPr>
              <w:t>氢气源自临涣焦化的焦炉煤气提氢装置，经增压后进入专用输送管网，输送至润土公司厂区。厂区设有调压与计量装置，确保氢气压力稳定并适配生产环节的用气要求。为保障供气可靠性与运行安全，系统配置了氢气供应设备与安全设施，用于调峰及应对非正常工况。</w:t>
            </w:r>
            <w:r>
              <w:rPr>
                <w:rFonts w:hint="eastAsia" w:cs="Times New Roman"/>
                <w:color w:val="auto"/>
                <w:lang w:val="en-US" w:eastAsia="zh-CN"/>
              </w:rPr>
              <w:t>本项目氢气气源起始端输送装置为</w:t>
            </w:r>
            <w:r>
              <w:rPr>
                <w:rFonts w:hint="eastAsia" w:cs="Times New Roman"/>
                <w:b w:val="0"/>
                <w:bCs w:val="0"/>
                <w:color w:val="auto"/>
                <w:lang w:val="en-US" w:eastAsia="zh-CN"/>
              </w:rPr>
              <w:t>临涣焦化</w:t>
            </w:r>
            <w:r>
              <w:rPr>
                <w:rFonts w:hint="eastAsia" w:cs="Times New Roman"/>
                <w:color w:val="auto"/>
                <w:highlight w:val="none"/>
                <w:lang w:val="en-US" w:eastAsia="zh-CN"/>
              </w:rPr>
              <w:t>高纯氢PSA吸附区1个20m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的产品气缓冲罐，由缓冲罐出口管道引出</w:t>
            </w:r>
            <w:r>
              <w:rPr>
                <w:rFonts w:hint="eastAsia" w:cs="Times New Roman"/>
                <w:color w:val="auto"/>
                <w:lang w:val="en-US" w:eastAsia="zh-CN"/>
              </w:rPr>
              <w:t>，接收端装置为</w:t>
            </w:r>
            <w:r>
              <w:rPr>
                <w:rFonts w:hint="eastAsia" w:cs="Times New Roman"/>
                <w:b w:val="0"/>
                <w:bCs w:val="0"/>
                <w:color w:val="auto"/>
                <w:lang w:val="en-US" w:eastAsia="zh-CN"/>
              </w:rPr>
              <w:t>润土公司2号车间的MAK生产装置，同时为3-6号车间规划远期项目预留了氢气接口。</w:t>
            </w:r>
          </w:p>
          <w:p w14:paraId="040E5B5A">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bCs/>
                <w:color w:val="auto"/>
                <w:lang w:val="en-US" w:eastAsia="zh-CN"/>
              </w:rPr>
            </w:pPr>
            <w:r>
              <w:rPr>
                <w:rFonts w:hint="eastAsia" w:cs="Times New Roman"/>
                <w:b/>
                <w:bCs/>
                <w:color w:val="auto"/>
                <w:lang w:val="en-US" w:eastAsia="zh-CN"/>
              </w:rPr>
              <w:t>2、运营期管理方式</w:t>
            </w:r>
          </w:p>
          <w:p w14:paraId="12FEB4B0">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bCs/>
                <w:color w:val="auto"/>
                <w:lang w:val="en-US" w:eastAsia="zh-CN"/>
              </w:rPr>
            </w:pPr>
            <w:r>
              <w:rPr>
                <w:rFonts w:hint="eastAsia" w:cs="Times New Roman"/>
                <w:b w:val="0"/>
                <w:bCs w:val="0"/>
                <w:color w:val="auto"/>
                <w:lang w:val="en-US" w:eastAsia="zh-CN"/>
              </w:rPr>
              <w:t>运营期管线日常安全管理责任主体为润土公司，由其负责巡检，建立健全日管控、周排查、月调度工作制度和机制。</w:t>
            </w:r>
          </w:p>
          <w:p w14:paraId="5946978E">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0"/>
              <w:textAlignment w:val="auto"/>
              <w:rPr>
                <w:rFonts w:hint="default" w:cs="Times New Roman"/>
                <w:b/>
                <w:bCs/>
                <w:color w:val="auto"/>
                <w:lang w:val="en-US" w:eastAsia="zh-CN"/>
              </w:rPr>
            </w:pPr>
            <w:r>
              <w:rPr>
                <w:rFonts w:hint="eastAsia" w:cs="Times New Roman"/>
                <w:b/>
                <w:bCs/>
                <w:color w:val="auto"/>
                <w:lang w:val="en-US" w:eastAsia="zh-CN"/>
              </w:rPr>
              <w:t>2.2.6.3 管线输送介质</w:t>
            </w:r>
          </w:p>
          <w:p w14:paraId="16DD82D3">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0"/>
              <w:textAlignment w:val="auto"/>
              <w:rPr>
                <w:rFonts w:hint="default" w:cs="Times New Roman"/>
                <w:b w:val="0"/>
                <w:bCs w:val="0"/>
                <w:color w:val="auto"/>
                <w:lang w:val="en-US" w:eastAsia="zh-CN"/>
              </w:rPr>
            </w:pPr>
            <w:r>
              <w:rPr>
                <w:rFonts w:hint="eastAsia" w:cs="Times New Roman"/>
                <w:b w:val="0"/>
                <w:bCs w:val="0"/>
                <w:color w:val="auto"/>
                <w:lang w:val="en-US" w:eastAsia="zh-CN"/>
              </w:rPr>
              <w:t>本项目氢气管线输送介质详见下表。</w:t>
            </w:r>
          </w:p>
          <w:p w14:paraId="485502B6">
            <w:pPr>
              <w:pStyle w:val="29"/>
              <w:rPr>
                <w:rFonts w:hint="eastAsia" w:eastAsia="仿宋_GB2312" w:cs="Times New Roman"/>
                <w:color w:val="auto"/>
                <w:lang w:val="en-US" w:eastAsia="zh-CN"/>
              </w:rPr>
            </w:pPr>
            <w:r>
              <w:rPr>
                <w:rFonts w:hint="default" w:ascii="Times New Roman" w:hAnsi="Times New Roman" w:eastAsia="仿宋_GB2312" w:cs="Times New Roman"/>
                <w:color w:val="auto"/>
                <w:lang w:val="zh-CN"/>
              </w:rPr>
              <w:t>表</w:t>
            </w:r>
            <w:r>
              <w:rPr>
                <w:rFonts w:hint="eastAsia" w:ascii="Times New Roman" w:hAnsi="Times New Roman" w:eastAsia="仿宋_GB2312" w:cs="Times New Roman"/>
                <w:color w:val="auto"/>
                <w:lang w:val="en-US" w:eastAsia="zh-CN"/>
              </w:rPr>
              <w:t>2</w:t>
            </w:r>
            <w:r>
              <w:rPr>
                <w:rFonts w:hint="eastAsia" w:eastAsia="仿宋_GB2312" w:cs="Times New Roman"/>
                <w:color w:val="auto"/>
                <w:lang w:val="en-US" w:eastAsia="zh-CN"/>
              </w:rPr>
              <w:t>.2</w:t>
            </w:r>
            <w:r>
              <w:rPr>
                <w:rFonts w:hint="default" w:ascii="Times New Roman" w:hAnsi="Times New Roman" w:eastAsia="仿宋_GB2312" w:cs="Times New Roman"/>
                <w:color w:val="auto"/>
                <w:lang w:val="zh-CN"/>
              </w:rPr>
              <w:t>-</w:t>
            </w:r>
            <w:r>
              <w:rPr>
                <w:rFonts w:hint="eastAsia" w:eastAsia="仿宋_GB2312" w:cs="Times New Roman"/>
                <w:color w:val="auto"/>
                <w:lang w:val="en-US" w:eastAsia="zh-CN"/>
              </w:rPr>
              <w:t>5</w:t>
            </w:r>
            <w:r>
              <w:rPr>
                <w:rFonts w:hint="default" w:ascii="Times New Roman" w:hAnsi="Times New Roman" w:eastAsia="仿宋_GB2312" w:cs="Times New Roman"/>
                <w:color w:val="auto"/>
                <w:lang w:val="zh-CN"/>
              </w:rPr>
              <w:t xml:space="preserve"> </w:t>
            </w:r>
            <w:r>
              <w:rPr>
                <w:rFonts w:hint="eastAsia" w:eastAsia="仿宋_GB2312" w:cs="Times New Roman"/>
                <w:color w:val="auto"/>
                <w:lang w:val="en-US" w:eastAsia="zh-CN"/>
              </w:rPr>
              <w:t>管线输送介质一览表</w:t>
            </w:r>
          </w:p>
          <w:tbl>
            <w:tblPr>
              <w:tblStyle w:val="14"/>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8"/>
              <w:gridCol w:w="704"/>
              <w:gridCol w:w="831"/>
              <w:gridCol w:w="949"/>
              <w:gridCol w:w="823"/>
              <w:gridCol w:w="1170"/>
              <w:gridCol w:w="845"/>
              <w:gridCol w:w="1102"/>
              <w:gridCol w:w="652"/>
              <w:gridCol w:w="747"/>
            </w:tblGrid>
            <w:tr w14:paraId="41231E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04" w:type="pct"/>
                  <w:tcBorders>
                    <w:tl2br w:val="nil"/>
                    <w:tr2bl w:val="nil"/>
                  </w:tcBorders>
                  <w:noWrap w:val="0"/>
                  <w:vAlign w:val="center"/>
                </w:tcPr>
                <w:p w14:paraId="7E5FE96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介质名称</w:t>
                  </w:r>
                </w:p>
              </w:tc>
              <w:tc>
                <w:tcPr>
                  <w:tcW w:w="413" w:type="pct"/>
                  <w:tcBorders>
                    <w:tl2br w:val="nil"/>
                    <w:tr2bl w:val="nil"/>
                  </w:tcBorders>
                  <w:noWrap w:val="0"/>
                  <w:vAlign w:val="center"/>
                </w:tcPr>
                <w:p w14:paraId="5E487F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管线材质</w:t>
                  </w:r>
                </w:p>
              </w:tc>
              <w:tc>
                <w:tcPr>
                  <w:tcW w:w="488" w:type="pct"/>
                  <w:tcBorders>
                    <w:tl2br w:val="nil"/>
                    <w:tr2bl w:val="nil"/>
                  </w:tcBorders>
                  <w:noWrap w:val="0"/>
                  <w:vAlign w:val="center"/>
                </w:tcPr>
                <w:p w14:paraId="00B76BE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管径</w:t>
                  </w:r>
                </w:p>
              </w:tc>
              <w:tc>
                <w:tcPr>
                  <w:tcW w:w="557" w:type="pct"/>
                  <w:tcBorders>
                    <w:tl2br w:val="nil"/>
                    <w:tr2bl w:val="nil"/>
                  </w:tcBorders>
                  <w:noWrap w:val="0"/>
                  <w:vAlign w:val="center"/>
                </w:tcPr>
                <w:p w14:paraId="43B8EBB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规格</w:t>
                  </w:r>
                </w:p>
              </w:tc>
              <w:tc>
                <w:tcPr>
                  <w:tcW w:w="483" w:type="pct"/>
                  <w:tcBorders>
                    <w:tl2br w:val="nil"/>
                    <w:tr2bl w:val="nil"/>
                  </w:tcBorders>
                  <w:shd w:val="clear" w:color="auto" w:fill="auto"/>
                  <w:noWrap w:val="0"/>
                  <w:vAlign w:val="center"/>
                </w:tcPr>
                <w:p w14:paraId="1ACF894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输送量</w:t>
                  </w:r>
                </w:p>
              </w:tc>
              <w:tc>
                <w:tcPr>
                  <w:tcW w:w="687" w:type="pct"/>
                  <w:tcBorders>
                    <w:tl2br w:val="nil"/>
                    <w:tr2bl w:val="nil"/>
                  </w:tcBorders>
                  <w:shd w:val="clear" w:color="auto" w:fill="auto"/>
                  <w:noWrap w:val="0"/>
                  <w:vAlign w:val="center"/>
                </w:tcPr>
                <w:p w14:paraId="73CCBE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峰值用气量</w:t>
                  </w:r>
                </w:p>
              </w:tc>
              <w:tc>
                <w:tcPr>
                  <w:tcW w:w="496" w:type="pct"/>
                  <w:tcBorders>
                    <w:tl2br w:val="nil"/>
                    <w:tr2bl w:val="nil"/>
                  </w:tcBorders>
                  <w:shd w:val="clear" w:color="auto" w:fill="auto"/>
                  <w:noWrap w:val="0"/>
                  <w:vAlign w:val="center"/>
                </w:tcPr>
                <w:p w14:paraId="6610F9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年输送时间</w:t>
                  </w:r>
                </w:p>
              </w:tc>
              <w:tc>
                <w:tcPr>
                  <w:tcW w:w="647" w:type="pct"/>
                  <w:tcBorders>
                    <w:tl2br w:val="nil"/>
                    <w:tr2bl w:val="nil"/>
                  </w:tcBorders>
                  <w:shd w:val="clear" w:color="auto" w:fill="auto"/>
                  <w:noWrap w:val="0"/>
                  <w:vAlign w:val="center"/>
                </w:tcPr>
                <w:p w14:paraId="6345DD9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输送压力</w:t>
                  </w:r>
                </w:p>
              </w:tc>
              <w:tc>
                <w:tcPr>
                  <w:tcW w:w="383" w:type="pct"/>
                  <w:tcBorders>
                    <w:tl2br w:val="nil"/>
                    <w:tr2bl w:val="nil"/>
                  </w:tcBorders>
                  <w:shd w:val="clear" w:color="auto" w:fill="auto"/>
                  <w:noWrap w:val="0"/>
                  <w:vAlign w:val="center"/>
                </w:tcPr>
                <w:p w14:paraId="4F57929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介质状态</w:t>
                  </w:r>
                </w:p>
              </w:tc>
              <w:tc>
                <w:tcPr>
                  <w:tcW w:w="438" w:type="pct"/>
                  <w:tcBorders>
                    <w:tl2br w:val="nil"/>
                    <w:tr2bl w:val="nil"/>
                  </w:tcBorders>
                  <w:noWrap w:val="0"/>
                  <w:vAlign w:val="center"/>
                </w:tcPr>
                <w:p w14:paraId="50054F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介质特性</w:t>
                  </w:r>
                </w:p>
              </w:tc>
            </w:tr>
            <w:tr w14:paraId="2ED30E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04" w:type="pct"/>
                  <w:tcBorders>
                    <w:tl2br w:val="nil"/>
                    <w:tr2bl w:val="nil"/>
                  </w:tcBorders>
                  <w:noWrap w:val="0"/>
                  <w:vAlign w:val="center"/>
                </w:tcPr>
                <w:p w14:paraId="559237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氢气</w:t>
                  </w:r>
                </w:p>
              </w:tc>
              <w:tc>
                <w:tcPr>
                  <w:tcW w:w="413" w:type="pct"/>
                  <w:tcBorders>
                    <w:tl2br w:val="nil"/>
                    <w:tr2bl w:val="nil"/>
                  </w:tcBorders>
                  <w:shd w:val="clear" w:color="auto" w:fill="auto"/>
                  <w:noWrap w:val="0"/>
                  <w:vAlign w:val="center"/>
                </w:tcPr>
                <w:p w14:paraId="24455D78">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无缝钢管</w:t>
                  </w:r>
                </w:p>
              </w:tc>
              <w:tc>
                <w:tcPr>
                  <w:tcW w:w="488" w:type="pct"/>
                  <w:tcBorders>
                    <w:tl2br w:val="nil"/>
                    <w:tr2bl w:val="nil"/>
                  </w:tcBorders>
                  <w:shd w:val="clear" w:color="auto" w:fill="auto"/>
                  <w:noWrap w:val="0"/>
                  <w:vAlign w:val="center"/>
                </w:tcPr>
                <w:p w14:paraId="7D4EE67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DN</w:t>
                  </w:r>
                  <w:r>
                    <w:rPr>
                      <w:rFonts w:hint="eastAsia" w:cs="Times New Roman"/>
                      <w:color w:val="auto"/>
                      <w:kern w:val="2"/>
                      <w:sz w:val="18"/>
                      <w:szCs w:val="18"/>
                      <w:lang w:val="en-US" w:eastAsia="zh-CN" w:bidi="ar-SA"/>
                    </w:rPr>
                    <w:t>5</w:t>
                  </w:r>
                  <w:r>
                    <w:rPr>
                      <w:rFonts w:hint="eastAsia" w:ascii="Times New Roman" w:hAnsi="Times New Roman" w:cs="Times New Roman"/>
                      <w:color w:val="auto"/>
                      <w:kern w:val="2"/>
                      <w:sz w:val="18"/>
                      <w:szCs w:val="18"/>
                      <w:lang w:val="en-US" w:eastAsia="zh-CN" w:bidi="ar-SA"/>
                    </w:rPr>
                    <w:t>0</w:t>
                  </w:r>
                </w:p>
              </w:tc>
              <w:tc>
                <w:tcPr>
                  <w:tcW w:w="557" w:type="pct"/>
                  <w:tcBorders>
                    <w:tl2br w:val="nil"/>
                    <w:tr2bl w:val="nil"/>
                  </w:tcBorders>
                  <w:noWrap w:val="0"/>
                  <w:vAlign w:val="center"/>
                </w:tcPr>
                <w:p w14:paraId="7918D13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≥99.99%</w:t>
                  </w:r>
                </w:p>
              </w:tc>
              <w:tc>
                <w:tcPr>
                  <w:tcW w:w="483" w:type="pct"/>
                  <w:tcBorders>
                    <w:tl2br w:val="nil"/>
                    <w:tr2bl w:val="nil"/>
                  </w:tcBorders>
                  <w:shd w:val="clear" w:color="auto" w:fill="auto"/>
                  <w:noWrap w:val="0"/>
                  <w:vAlign w:val="center"/>
                </w:tcPr>
                <w:p w14:paraId="131913B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sz w:val="18"/>
                      <w:szCs w:val="18"/>
                      <w:lang w:val="en-US" w:eastAsia="zh-CN"/>
                    </w:rPr>
                    <w:t>1</w:t>
                  </w:r>
                  <w:r>
                    <w:rPr>
                      <w:rFonts w:hint="eastAsia" w:eastAsia="仿宋_GB2312" w:cs="Times New Roman"/>
                      <w:color w:val="auto"/>
                      <w:sz w:val="18"/>
                      <w:szCs w:val="18"/>
                      <w:lang w:val="en-US" w:eastAsia="zh-CN"/>
                    </w:rPr>
                    <w:t>490</w:t>
                  </w:r>
                  <w:r>
                    <w:rPr>
                      <w:rFonts w:hint="eastAsia" w:ascii="Times New Roman" w:hAnsi="Times New Roman" w:eastAsia="仿宋_GB2312" w:cs="Times New Roman"/>
                      <w:color w:val="auto"/>
                      <w:sz w:val="18"/>
                      <w:szCs w:val="18"/>
                      <w:lang w:val="en-US" w:eastAsia="zh-CN"/>
                    </w:rPr>
                    <w:t>t/a</w:t>
                  </w:r>
                </w:p>
              </w:tc>
              <w:tc>
                <w:tcPr>
                  <w:tcW w:w="687" w:type="pct"/>
                  <w:tcBorders>
                    <w:tl2br w:val="nil"/>
                    <w:tr2bl w:val="nil"/>
                  </w:tcBorders>
                  <w:shd w:val="clear" w:color="auto" w:fill="auto"/>
                  <w:noWrap w:val="0"/>
                  <w:vAlign w:val="center"/>
                </w:tcPr>
                <w:p w14:paraId="71A56594">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2300Nm</w:t>
                  </w:r>
                  <w:r>
                    <w:rPr>
                      <w:rFonts w:hint="eastAsia" w:eastAsia="仿宋_GB2312" w:cs="Times New Roman"/>
                      <w:color w:val="auto"/>
                      <w:sz w:val="18"/>
                      <w:szCs w:val="18"/>
                      <w:vertAlign w:val="superscript"/>
                      <w:lang w:val="en-US" w:eastAsia="zh-CN"/>
                    </w:rPr>
                    <w:t>3</w:t>
                  </w:r>
                  <w:r>
                    <w:rPr>
                      <w:rFonts w:hint="eastAsia" w:eastAsia="仿宋_GB2312" w:cs="Times New Roman"/>
                      <w:color w:val="auto"/>
                      <w:sz w:val="18"/>
                      <w:szCs w:val="18"/>
                      <w:lang w:val="en-US" w:eastAsia="zh-CN"/>
                    </w:rPr>
                    <w:t>/h</w:t>
                  </w:r>
                </w:p>
              </w:tc>
              <w:tc>
                <w:tcPr>
                  <w:tcW w:w="496" w:type="pct"/>
                  <w:tcBorders>
                    <w:tl2br w:val="nil"/>
                    <w:tr2bl w:val="nil"/>
                  </w:tcBorders>
                  <w:shd w:val="clear" w:color="auto" w:fill="auto"/>
                  <w:noWrap w:val="0"/>
                  <w:vAlign w:val="center"/>
                </w:tcPr>
                <w:p w14:paraId="5268F7F0">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7200h</w:t>
                  </w:r>
                </w:p>
              </w:tc>
              <w:tc>
                <w:tcPr>
                  <w:tcW w:w="647" w:type="pct"/>
                  <w:tcBorders>
                    <w:tl2br w:val="nil"/>
                    <w:tr2bl w:val="nil"/>
                  </w:tcBorders>
                  <w:shd w:val="clear" w:color="auto" w:fill="auto"/>
                  <w:noWrap w:val="0"/>
                  <w:vAlign w:val="center"/>
                </w:tcPr>
                <w:p w14:paraId="7A75C34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sz w:val="18"/>
                      <w:szCs w:val="18"/>
                      <w:lang w:val="en-US" w:eastAsia="zh-CN"/>
                    </w:rPr>
                    <w:t>4.0</w:t>
                  </w:r>
                  <w:r>
                    <w:rPr>
                      <w:rFonts w:hint="eastAsia" w:ascii="Times New Roman" w:hAnsi="Times New Roman" w:eastAsia="仿宋_GB2312" w:cs="Times New Roman"/>
                      <w:color w:val="auto"/>
                      <w:sz w:val="18"/>
                      <w:szCs w:val="18"/>
                      <w:lang w:val="en-US" w:eastAsia="zh-CN"/>
                    </w:rPr>
                    <w:t>MPa</w:t>
                  </w:r>
                </w:p>
              </w:tc>
              <w:tc>
                <w:tcPr>
                  <w:tcW w:w="383" w:type="pct"/>
                  <w:tcBorders>
                    <w:tl2br w:val="nil"/>
                    <w:tr2bl w:val="nil"/>
                  </w:tcBorders>
                  <w:shd w:val="clear" w:color="auto" w:fill="auto"/>
                  <w:noWrap w:val="0"/>
                  <w:vAlign w:val="center"/>
                </w:tcPr>
                <w:p w14:paraId="286FA371">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气态</w:t>
                  </w:r>
                </w:p>
              </w:tc>
              <w:tc>
                <w:tcPr>
                  <w:tcW w:w="438" w:type="pct"/>
                  <w:tcBorders>
                    <w:tl2br w:val="nil"/>
                    <w:tr2bl w:val="nil"/>
                  </w:tcBorders>
                  <w:noWrap w:val="0"/>
                  <w:vAlign w:val="center"/>
                </w:tcPr>
                <w:p w14:paraId="3D036258">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易燃易爆</w:t>
                  </w:r>
                </w:p>
              </w:tc>
            </w:tr>
          </w:tbl>
          <w:p w14:paraId="4CBF08CC">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0"/>
              <w:textAlignment w:val="auto"/>
              <w:rPr>
                <w:rFonts w:hint="default" w:cs="Times New Roman"/>
                <w:b/>
                <w:bCs/>
                <w:color w:val="auto"/>
                <w:lang w:val="en-US" w:eastAsia="zh-CN"/>
              </w:rPr>
            </w:pPr>
            <w:r>
              <w:rPr>
                <w:rFonts w:hint="eastAsia" w:cs="Times New Roman"/>
                <w:b/>
                <w:bCs/>
                <w:color w:val="auto"/>
                <w:lang w:val="en-US" w:eastAsia="zh-CN"/>
              </w:rPr>
              <w:t>2.2.6.4 气源可靠性分析</w:t>
            </w:r>
          </w:p>
          <w:p w14:paraId="75D11D5C">
            <w:pPr>
              <w:pStyle w:val="32"/>
              <w:ind w:firstLine="480"/>
              <w:rPr>
                <w:rFonts w:hint="default" w:cs="Times New Roman"/>
                <w:color w:val="auto"/>
                <w:lang w:val="en-US" w:eastAsia="zh-CN"/>
              </w:rPr>
            </w:pPr>
            <w:r>
              <w:rPr>
                <w:rFonts w:hint="eastAsia" w:cs="Times New Roman"/>
                <w:color w:val="auto"/>
                <w:lang w:val="en-US" w:eastAsia="zh-CN"/>
              </w:rPr>
              <w:t>润土公司与安徽湛为气体有限公司签订了氢气供应框架协议，气源主要依托临涣焦化股份有限公司，供氢路径由临涣焦化至安徽湛为的主氢气管道上引出一支分流管道，敷设至润土公司，以满足其用氢需求。《</w:t>
            </w:r>
            <w:r>
              <w:rPr>
                <w:rFonts w:hint="eastAsia" w:cs="Times New Roman"/>
                <w:color w:val="000000"/>
                <w:highlight w:val="none"/>
                <w:lang w:val="en-US" w:eastAsia="zh-CN"/>
              </w:rPr>
              <w:t>安徽湛为气体有限公司氢气外管及装卸站建设项目验收意见</w:t>
            </w:r>
            <w:r>
              <w:rPr>
                <w:rFonts w:hint="eastAsia" w:cs="Times New Roman"/>
                <w:color w:val="auto"/>
                <w:lang w:val="en-US" w:eastAsia="zh-CN"/>
              </w:rPr>
              <w:t>》详见附件6。</w:t>
            </w:r>
          </w:p>
          <w:p w14:paraId="79883E26">
            <w:pPr>
              <w:pStyle w:val="32"/>
              <w:ind w:firstLine="480"/>
              <w:rPr>
                <w:rFonts w:hint="default" w:ascii="Times New Roman" w:hAnsi="Times New Roman" w:eastAsia="仿宋_GB2312" w:cs="Times New Roman"/>
                <w:color w:val="auto"/>
              </w:rPr>
            </w:pPr>
            <w:r>
              <w:rPr>
                <w:rFonts w:hint="eastAsia" w:cs="Times New Roman"/>
                <w:color w:val="auto"/>
                <w:lang w:val="en-US" w:eastAsia="zh-CN"/>
              </w:rPr>
              <w:t>临涣焦化股份有限公司为淮北矿业集团下属企业，是淮北临涣化工园区的龙头骨干企业。临涣焦化股份有限公司</w:t>
            </w:r>
            <w:r>
              <w:rPr>
                <w:rFonts w:hint="default" w:ascii="Times New Roman" w:hAnsi="Times New Roman" w:eastAsia="仿宋_GB2312" w:cs="Times New Roman"/>
                <w:color w:val="auto"/>
              </w:rPr>
              <w:t>成立于20</w:t>
            </w:r>
            <w:r>
              <w:rPr>
                <w:rFonts w:hint="eastAsia" w:ascii="Times New Roman" w:hAnsi="Times New Roman" w:cs="Times New Roman"/>
                <w:color w:val="auto"/>
                <w:lang w:val="en-US" w:eastAsia="zh-CN"/>
              </w:rPr>
              <w:t>05</w:t>
            </w:r>
            <w:r>
              <w:rPr>
                <w:rFonts w:hint="default" w:ascii="Times New Roman" w:hAnsi="Times New Roman" w:eastAsia="仿宋_GB2312" w:cs="Times New Roman"/>
                <w:color w:val="auto"/>
              </w:rPr>
              <w:t>年</w:t>
            </w:r>
            <w:r>
              <w:rPr>
                <w:rFonts w:hint="eastAsia" w:ascii="Times New Roman" w:hAnsi="Times New Roman" w:cs="Times New Roman"/>
                <w:color w:val="auto"/>
                <w:lang w:val="en-US" w:eastAsia="zh-CN"/>
              </w:rPr>
              <w:t>5</w:t>
            </w:r>
            <w:r>
              <w:rPr>
                <w:rFonts w:hint="default" w:ascii="Times New Roman" w:hAnsi="Times New Roman" w:eastAsia="仿宋_GB2312" w:cs="Times New Roman"/>
                <w:color w:val="auto"/>
              </w:rPr>
              <w:t>月，地址位于</w:t>
            </w:r>
            <w:r>
              <w:rPr>
                <w:rFonts w:hint="eastAsia" w:cs="Times New Roman"/>
                <w:color w:val="auto"/>
                <w:lang w:val="en-US" w:eastAsia="zh-CN"/>
              </w:rPr>
              <w:t>安徽省淮北市濉溪县韩村镇小湖孜，主要经营范围：许可经营项目：发电类；一般经营项目：焦炭、化工产品生产、销售和相关产品的开发，销售煤炭、金属材料及制品、铁矿石、化肥、机械电子设备及配件（以上涉及行政许可的除外）。</w:t>
            </w:r>
          </w:p>
          <w:p w14:paraId="10788A6A">
            <w:pPr>
              <w:pStyle w:val="32"/>
              <w:ind w:firstLine="480"/>
              <w:rPr>
                <w:rFonts w:hint="default" w:cs="Times New Roman"/>
                <w:b/>
                <w:bCs/>
                <w:color w:val="auto"/>
                <w:lang w:val="en-US" w:eastAsia="zh-CN"/>
              </w:rPr>
            </w:pPr>
            <w:r>
              <w:rPr>
                <w:rFonts w:hint="eastAsia" w:cs="Times New Roman"/>
                <w:b/>
                <w:bCs/>
                <w:color w:val="auto"/>
                <w:lang w:val="en-US" w:eastAsia="zh-CN"/>
              </w:rPr>
              <w:t>（1）生产工艺可靠性</w:t>
            </w:r>
          </w:p>
          <w:p w14:paraId="520EE410">
            <w:pPr>
              <w:pStyle w:val="32"/>
              <w:ind w:firstLine="480"/>
              <w:rPr>
                <w:rFonts w:hint="eastAsia" w:cs="Times New Roman"/>
                <w:color w:val="auto"/>
                <w:lang w:val="en-US" w:eastAsia="zh-CN"/>
              </w:rPr>
            </w:pPr>
            <w:r>
              <w:rPr>
                <w:rFonts w:hint="eastAsia" w:cs="Times New Roman"/>
                <w:color w:val="auto"/>
                <w:lang w:val="en-US" w:eastAsia="zh-CN"/>
              </w:rPr>
              <w:t>临涣焦化氢气来源于“驰放气制备高纯氢项目”，该项目是淮北矿业集团“以气补焦”发展战略的重点工程，也是园区延伸煤焦化产业链的标志性项目。该项目以甲醇装置富余驰放气为原料，采用PSA变压吸附分离技术制取氢气，该技术是工业制氢领域成熟可靠的工艺路线。具有以下特点：</w:t>
            </w:r>
          </w:p>
          <w:p w14:paraId="48162BEA">
            <w:pPr>
              <w:pStyle w:val="32"/>
              <w:ind w:firstLine="480"/>
              <w:rPr>
                <w:rFonts w:hint="eastAsia" w:cs="Times New Roman"/>
                <w:color w:val="auto"/>
                <w:lang w:val="en-US" w:eastAsia="zh-CN"/>
              </w:rPr>
            </w:pPr>
            <w:r>
              <w:rPr>
                <w:rFonts w:hint="eastAsia" w:ascii="仿宋" w:hAnsi="仿宋" w:eastAsia="仿宋" w:cs="仿宋"/>
                <w:color w:val="auto"/>
                <w:lang w:val="en-US" w:eastAsia="zh-CN"/>
              </w:rPr>
              <w:t>①</w:t>
            </w:r>
            <w:r>
              <w:rPr>
                <w:rFonts w:hint="eastAsia" w:cs="Times New Roman"/>
                <w:color w:val="auto"/>
                <w:lang w:val="en-US" w:eastAsia="zh-CN"/>
              </w:rPr>
              <w:t>自动化程度高，可连续稳定运行；</w:t>
            </w:r>
          </w:p>
          <w:p w14:paraId="075C76F2">
            <w:pPr>
              <w:pStyle w:val="32"/>
              <w:ind w:firstLine="480"/>
              <w:rPr>
                <w:rFonts w:hint="eastAsia" w:cs="Times New Roman"/>
                <w:color w:val="auto"/>
                <w:lang w:val="en-US" w:eastAsia="zh-CN"/>
              </w:rPr>
            </w:pPr>
            <w:r>
              <w:rPr>
                <w:rFonts w:hint="eastAsia" w:ascii="仿宋" w:hAnsi="仿宋" w:eastAsia="仿宋" w:cs="仿宋"/>
                <w:color w:val="auto"/>
                <w:lang w:val="en-US" w:eastAsia="zh-CN"/>
              </w:rPr>
              <w:t>②</w:t>
            </w:r>
            <w:r>
              <w:rPr>
                <w:rFonts w:hint="eastAsia" w:cs="Times New Roman"/>
                <w:color w:val="auto"/>
                <w:lang w:val="en-US" w:eastAsia="zh-CN"/>
              </w:rPr>
              <w:t>产品纯度高，可达99.999%；</w:t>
            </w:r>
          </w:p>
          <w:p w14:paraId="0CDDEC47">
            <w:pPr>
              <w:pStyle w:val="32"/>
              <w:ind w:firstLine="480"/>
              <w:rPr>
                <w:rFonts w:hint="default" w:cs="Times New Roman"/>
                <w:color w:val="auto"/>
                <w:lang w:val="en-US" w:eastAsia="zh-CN"/>
              </w:rPr>
            </w:pPr>
            <w:r>
              <w:rPr>
                <w:rFonts w:hint="eastAsia" w:ascii="仿宋" w:hAnsi="仿宋" w:eastAsia="仿宋" w:cs="仿宋"/>
                <w:color w:val="auto"/>
                <w:lang w:val="en-US" w:eastAsia="zh-CN"/>
              </w:rPr>
              <w:t>③</w:t>
            </w:r>
            <w:r>
              <w:rPr>
                <w:rFonts w:hint="eastAsia" w:cs="Times New Roman"/>
                <w:color w:val="auto"/>
                <w:lang w:val="en-US" w:eastAsia="zh-CN"/>
              </w:rPr>
              <w:t>运行维护成本低，装置可靠性强。</w:t>
            </w:r>
          </w:p>
          <w:p w14:paraId="5A6E718A">
            <w:pPr>
              <w:pStyle w:val="32"/>
              <w:ind w:firstLine="480"/>
              <w:rPr>
                <w:rFonts w:hint="default" w:cs="Times New Roman"/>
                <w:b/>
                <w:bCs/>
                <w:color w:val="auto"/>
                <w:lang w:val="en-US" w:eastAsia="zh-CN"/>
              </w:rPr>
            </w:pPr>
            <w:r>
              <w:rPr>
                <w:rFonts w:hint="eastAsia" w:cs="Times New Roman"/>
                <w:b/>
                <w:bCs/>
                <w:color w:val="auto"/>
                <w:lang w:val="en-US" w:eastAsia="zh-CN"/>
              </w:rPr>
              <w:t>（2）供气能力可靠性</w:t>
            </w:r>
          </w:p>
          <w:p w14:paraId="153B8FCA">
            <w:pPr>
              <w:pStyle w:val="32"/>
              <w:ind w:firstLine="480"/>
              <w:rPr>
                <w:rFonts w:hint="eastAsia" w:cs="Times New Roman"/>
                <w:color w:val="auto"/>
                <w:lang w:val="en-US" w:eastAsia="zh-CN"/>
              </w:rPr>
            </w:pPr>
            <w:r>
              <w:rPr>
                <w:rFonts w:hint="eastAsia" w:cs="Times New Roman"/>
                <w:color w:val="auto"/>
                <w:lang w:val="en-US" w:eastAsia="zh-CN"/>
              </w:rPr>
              <w:t>临涣焦化现有装置具备10000 Nm</w:t>
            </w:r>
            <w:r>
              <w:rPr>
                <w:rFonts w:hint="eastAsia" w:cs="Times New Roman"/>
                <w:color w:val="auto"/>
                <w:vertAlign w:val="superscript"/>
                <w:lang w:val="en-US" w:eastAsia="zh-CN"/>
              </w:rPr>
              <w:t>3</w:t>
            </w:r>
            <w:r>
              <w:rPr>
                <w:rFonts w:hint="eastAsia" w:cs="Times New Roman"/>
                <w:color w:val="auto"/>
                <w:lang w:val="en-US" w:eastAsia="zh-CN"/>
              </w:rPr>
              <w:t>/h的供气能力，氢气峰值用气量总计为9100Nm</w:t>
            </w:r>
            <w:r>
              <w:rPr>
                <w:rFonts w:hint="eastAsia" w:cs="Times New Roman"/>
                <w:color w:val="auto"/>
                <w:vertAlign w:val="superscript"/>
                <w:lang w:val="en-US" w:eastAsia="zh-CN"/>
              </w:rPr>
              <w:t>3</w:t>
            </w:r>
            <w:r>
              <w:rPr>
                <w:rFonts w:hint="eastAsia" w:cs="Times New Roman"/>
                <w:color w:val="auto"/>
                <w:lang w:val="en-US" w:eastAsia="zh-CN"/>
              </w:rPr>
              <w:t>/h，用气需求占供气能力的91%，供气能力充足，可完全满足本项目用气需求，且可兼顾园区其他企业的正常用气。</w:t>
            </w:r>
          </w:p>
          <w:p w14:paraId="77DEB5E6">
            <w:pPr>
              <w:pStyle w:val="32"/>
              <w:ind w:firstLine="480"/>
              <w:rPr>
                <w:rFonts w:hint="default" w:cs="Times New Roman"/>
                <w:color w:val="auto"/>
                <w:lang w:val="en-US" w:eastAsia="zh-CN"/>
              </w:rPr>
            </w:pPr>
            <w:r>
              <w:rPr>
                <w:rFonts w:hint="eastAsia" w:cs="Times New Roman"/>
                <w:color w:val="auto"/>
                <w:lang w:val="en-US" w:eastAsia="zh-CN"/>
              </w:rPr>
              <w:t>安徽湛为气体有限公司与临涣焦化股份有限公司已签订氢气供应框架协议。根据协议，临涣焦化供气量为5000Nm</w:t>
            </w:r>
            <w:r>
              <w:rPr>
                <w:rFonts w:hint="eastAsia" w:cs="Times New Roman"/>
                <w:color w:val="auto"/>
                <w:vertAlign w:val="superscript"/>
                <w:lang w:val="en-US" w:eastAsia="zh-CN"/>
              </w:rPr>
              <w:t>3</w:t>
            </w:r>
            <w:r>
              <w:rPr>
                <w:rFonts w:hint="eastAsia" w:cs="Times New Roman"/>
                <w:color w:val="auto"/>
                <w:lang w:val="en-US" w:eastAsia="zh-CN"/>
              </w:rPr>
              <w:t>/h，其中：1500Nm</w:t>
            </w:r>
            <w:r>
              <w:rPr>
                <w:rFonts w:hint="eastAsia" w:cs="Times New Roman"/>
                <w:color w:val="auto"/>
                <w:vertAlign w:val="superscript"/>
                <w:lang w:val="en-US" w:eastAsia="zh-CN"/>
              </w:rPr>
              <w:t>3</w:t>
            </w:r>
            <w:r>
              <w:rPr>
                <w:rFonts w:hint="eastAsia" w:cs="Times New Roman"/>
                <w:color w:val="auto"/>
                <w:lang w:val="en-US" w:eastAsia="zh-CN"/>
              </w:rPr>
              <w:t>/h充装外售（直接加压充装外售的氢气量为500Nm</w:t>
            </w:r>
            <w:r>
              <w:rPr>
                <w:rFonts w:hint="eastAsia" w:cs="Times New Roman"/>
                <w:color w:val="auto"/>
                <w:vertAlign w:val="superscript"/>
                <w:lang w:val="en-US" w:eastAsia="zh-CN"/>
              </w:rPr>
              <w:t>3</w:t>
            </w:r>
            <w:r>
              <w:rPr>
                <w:rFonts w:hint="eastAsia" w:cs="Times New Roman"/>
                <w:color w:val="auto"/>
                <w:lang w:val="en-US" w:eastAsia="zh-CN"/>
              </w:rPr>
              <w:t>/h、经纯化系统纯化后加压充装外售的氢气量为1000Nm</w:t>
            </w:r>
            <w:r>
              <w:rPr>
                <w:rFonts w:hint="eastAsia" w:cs="Times New Roman"/>
                <w:color w:val="auto"/>
                <w:vertAlign w:val="superscript"/>
                <w:lang w:val="en-US" w:eastAsia="zh-CN"/>
              </w:rPr>
              <w:t>3</w:t>
            </w:r>
            <w:r>
              <w:rPr>
                <w:rFonts w:hint="eastAsia" w:cs="Times New Roman"/>
                <w:color w:val="auto"/>
                <w:lang w:val="en-US" w:eastAsia="zh-CN"/>
              </w:rPr>
              <w:t>/h），2300Nm</w:t>
            </w:r>
            <w:r>
              <w:rPr>
                <w:rFonts w:hint="eastAsia" w:cs="Times New Roman"/>
                <w:color w:val="auto"/>
                <w:vertAlign w:val="superscript"/>
                <w:lang w:val="en-US" w:eastAsia="zh-CN"/>
              </w:rPr>
              <w:t>3</w:t>
            </w:r>
            <w:r>
              <w:rPr>
                <w:rFonts w:hint="eastAsia" w:cs="Times New Roman"/>
                <w:color w:val="auto"/>
                <w:lang w:val="en-US" w:eastAsia="zh-CN"/>
              </w:rPr>
              <w:t>/h供给润土公司，氢气峰值用气总量为3800Nm</w:t>
            </w:r>
            <w:r>
              <w:rPr>
                <w:rFonts w:hint="eastAsia" w:cs="Times New Roman"/>
                <w:color w:val="auto"/>
                <w:vertAlign w:val="superscript"/>
                <w:lang w:val="en-US" w:eastAsia="zh-CN"/>
              </w:rPr>
              <w:t>3</w:t>
            </w:r>
            <w:r>
              <w:rPr>
                <w:rFonts w:hint="eastAsia" w:cs="Times New Roman"/>
                <w:color w:val="auto"/>
                <w:lang w:val="en-US" w:eastAsia="zh-CN"/>
              </w:rPr>
              <w:t>/h，用气需求占供气能力的76%，供气能力充足，可完全满足本项目用气需求。</w:t>
            </w:r>
          </w:p>
          <w:p w14:paraId="67E62320">
            <w:pPr>
              <w:pStyle w:val="2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w:t>
            </w:r>
            <w:r>
              <w:rPr>
                <w:rFonts w:hint="eastAsia" w:ascii="Times New Roman" w:hAnsi="Times New Roman" w:eastAsia="仿宋_GB2312" w:cs="Times New Roman"/>
                <w:color w:val="auto"/>
                <w:lang w:val="en-US" w:eastAsia="zh-CN"/>
              </w:rPr>
              <w:t>2</w:t>
            </w:r>
            <w:r>
              <w:rPr>
                <w:rFonts w:hint="eastAsia" w:eastAsia="仿宋_GB2312" w:cs="Times New Roman"/>
                <w:color w:val="auto"/>
                <w:lang w:val="en-US" w:eastAsia="zh-CN"/>
              </w:rPr>
              <w:t>.2</w:t>
            </w:r>
            <w:r>
              <w:rPr>
                <w:rFonts w:hint="default" w:ascii="Times New Roman" w:hAnsi="Times New Roman" w:eastAsia="仿宋_GB2312" w:cs="Times New Roman"/>
                <w:color w:val="auto"/>
                <w:lang w:val="zh-CN"/>
              </w:rPr>
              <w:t>-</w:t>
            </w:r>
            <w:r>
              <w:rPr>
                <w:rFonts w:hint="eastAsia" w:eastAsia="仿宋_GB2312" w:cs="Times New Roman"/>
                <w:color w:val="auto"/>
                <w:lang w:val="en-US" w:eastAsia="zh-CN"/>
              </w:rPr>
              <w:t>6</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供气能力及各用气单位用气量情况一览表</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300"/>
              <w:gridCol w:w="1312"/>
              <w:gridCol w:w="2360"/>
              <w:gridCol w:w="1235"/>
              <w:gridCol w:w="1545"/>
            </w:tblGrid>
            <w:tr w14:paraId="4B5432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9" w:type="pct"/>
                  <w:tcBorders>
                    <w:tl2br w:val="nil"/>
                    <w:tr2bl w:val="nil"/>
                  </w:tcBorders>
                  <w:noWrap w:val="0"/>
                  <w:vAlign w:val="center"/>
                </w:tcPr>
                <w:p w14:paraId="621BB0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名称</w:t>
                  </w:r>
                </w:p>
              </w:tc>
              <w:tc>
                <w:tcPr>
                  <w:tcW w:w="763" w:type="pct"/>
                  <w:tcBorders>
                    <w:tl2br w:val="nil"/>
                    <w:tr2bl w:val="nil"/>
                  </w:tcBorders>
                  <w:noWrap w:val="0"/>
                  <w:vAlign w:val="center"/>
                </w:tcPr>
                <w:p w14:paraId="2EA4D5B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供气单位</w:t>
                  </w:r>
                </w:p>
              </w:tc>
              <w:tc>
                <w:tcPr>
                  <w:tcW w:w="770" w:type="pct"/>
                  <w:tcBorders>
                    <w:tl2br w:val="nil"/>
                    <w:tr2bl w:val="nil"/>
                  </w:tcBorders>
                  <w:noWrap w:val="0"/>
                  <w:vAlign w:val="center"/>
                </w:tcPr>
                <w:p w14:paraId="604EBA7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主管供气能力</w:t>
                  </w:r>
                </w:p>
              </w:tc>
              <w:tc>
                <w:tcPr>
                  <w:tcW w:w="1385" w:type="pct"/>
                  <w:tcBorders>
                    <w:tl2br w:val="nil"/>
                    <w:tr2bl w:val="nil"/>
                  </w:tcBorders>
                  <w:noWrap w:val="0"/>
                  <w:vAlign w:val="center"/>
                </w:tcPr>
                <w:p w14:paraId="5576DCB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用气单位</w:t>
                  </w:r>
                </w:p>
              </w:tc>
              <w:tc>
                <w:tcPr>
                  <w:tcW w:w="725" w:type="pct"/>
                  <w:tcBorders>
                    <w:tl2br w:val="nil"/>
                    <w:tr2bl w:val="nil"/>
                  </w:tcBorders>
                  <w:noWrap w:val="0"/>
                  <w:vAlign w:val="center"/>
                </w:tcPr>
                <w:p w14:paraId="70B77ED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峰值用气量</w:t>
                  </w:r>
                </w:p>
              </w:tc>
              <w:tc>
                <w:tcPr>
                  <w:tcW w:w="906" w:type="pct"/>
                  <w:tcBorders>
                    <w:tl2br w:val="nil"/>
                    <w:tr2bl w:val="nil"/>
                  </w:tcBorders>
                  <w:noWrap w:val="0"/>
                  <w:vAlign w:val="center"/>
                </w:tcPr>
                <w:p w14:paraId="4509947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用气单位峰值总用气量</w:t>
                  </w:r>
                </w:p>
              </w:tc>
            </w:tr>
            <w:tr w14:paraId="2E3211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9" w:type="pct"/>
                  <w:vMerge w:val="restart"/>
                  <w:tcBorders>
                    <w:tl2br w:val="nil"/>
                    <w:tr2bl w:val="nil"/>
                  </w:tcBorders>
                  <w:noWrap w:val="0"/>
                  <w:vAlign w:val="center"/>
                </w:tcPr>
                <w:p w14:paraId="5807A6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氢气</w:t>
                  </w:r>
                </w:p>
              </w:tc>
              <w:tc>
                <w:tcPr>
                  <w:tcW w:w="763" w:type="pct"/>
                  <w:vMerge w:val="restart"/>
                  <w:tcBorders>
                    <w:tl2br w:val="nil"/>
                    <w:tr2bl w:val="nil"/>
                  </w:tcBorders>
                  <w:noWrap w:val="0"/>
                  <w:vAlign w:val="center"/>
                </w:tcPr>
                <w:p w14:paraId="696D57D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临涣焦化股份有限公司</w:t>
                  </w:r>
                </w:p>
              </w:tc>
              <w:tc>
                <w:tcPr>
                  <w:tcW w:w="770" w:type="pct"/>
                  <w:vMerge w:val="restart"/>
                  <w:tcBorders>
                    <w:tl2br w:val="nil"/>
                    <w:tr2bl w:val="nil"/>
                  </w:tcBorders>
                  <w:noWrap w:val="0"/>
                  <w:vAlign w:val="center"/>
                </w:tcPr>
                <w:p w14:paraId="1D552829">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1</w:t>
                  </w:r>
                  <w:r>
                    <w:rPr>
                      <w:rFonts w:hint="eastAsia" w:eastAsia="仿宋_GB2312" w:cs="Times New Roman"/>
                      <w:color w:val="auto"/>
                      <w:kern w:val="2"/>
                      <w:sz w:val="18"/>
                      <w:szCs w:val="18"/>
                      <w:lang w:val="en-US" w:eastAsia="zh-CN" w:bidi="ar-SA"/>
                    </w:rPr>
                    <w:t>0</w:t>
                  </w:r>
                  <w:r>
                    <w:rPr>
                      <w:rFonts w:hint="eastAsia" w:ascii="Times New Roman" w:hAnsi="Times New Roman" w:eastAsia="仿宋_GB2312" w:cs="Times New Roman"/>
                      <w:color w:val="auto"/>
                      <w:kern w:val="2"/>
                      <w:sz w:val="18"/>
                      <w:szCs w:val="18"/>
                      <w:lang w:val="en-US" w:eastAsia="zh-CN" w:bidi="ar-SA"/>
                    </w:rPr>
                    <w:t>000Nm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/h</w:t>
                  </w:r>
                </w:p>
              </w:tc>
              <w:tc>
                <w:tcPr>
                  <w:tcW w:w="1385" w:type="pct"/>
                  <w:tcBorders>
                    <w:tl2br w:val="nil"/>
                    <w:tr2bl w:val="nil"/>
                  </w:tcBorders>
                  <w:shd w:val="clear" w:color="auto" w:fill="auto"/>
                  <w:noWrap w:val="0"/>
                  <w:vAlign w:val="center"/>
                </w:tcPr>
                <w:p w14:paraId="2E818B1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安徽湛为气体有限公司</w:t>
                  </w:r>
                </w:p>
              </w:tc>
              <w:tc>
                <w:tcPr>
                  <w:tcW w:w="725" w:type="pct"/>
                  <w:tcBorders>
                    <w:tl2br w:val="nil"/>
                    <w:tr2bl w:val="nil"/>
                  </w:tcBorders>
                  <w:shd w:val="clear" w:color="auto" w:fill="auto"/>
                  <w:noWrap w:val="0"/>
                  <w:vAlign w:val="center"/>
                </w:tcPr>
                <w:p w14:paraId="5859AC1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5</w:t>
                  </w:r>
                  <w:r>
                    <w:rPr>
                      <w:rFonts w:hint="eastAsia" w:eastAsia="仿宋_GB2312" w:cs="Times New Roman"/>
                      <w:color w:val="auto"/>
                      <w:kern w:val="2"/>
                      <w:sz w:val="18"/>
                      <w:szCs w:val="18"/>
                      <w:lang w:val="en-US" w:eastAsia="zh-CN" w:bidi="ar-SA"/>
                    </w:rPr>
                    <w:t>000</w:t>
                  </w:r>
                  <w:r>
                    <w:rPr>
                      <w:rFonts w:hint="eastAsia" w:ascii="Times New Roman" w:hAnsi="Times New Roman" w:eastAsia="仿宋_GB2312" w:cs="Times New Roman"/>
                      <w:color w:val="auto"/>
                      <w:kern w:val="2"/>
                      <w:sz w:val="18"/>
                      <w:szCs w:val="18"/>
                      <w:lang w:val="en-US" w:eastAsia="zh-CN" w:bidi="ar-SA"/>
                    </w:rPr>
                    <w:t>Nm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/h</w:t>
                  </w:r>
                </w:p>
              </w:tc>
              <w:tc>
                <w:tcPr>
                  <w:tcW w:w="906" w:type="pct"/>
                  <w:vMerge w:val="restart"/>
                  <w:tcBorders>
                    <w:tl2br w:val="nil"/>
                    <w:tr2bl w:val="nil"/>
                  </w:tcBorders>
                  <w:noWrap w:val="0"/>
                  <w:vAlign w:val="center"/>
                </w:tcPr>
                <w:p w14:paraId="06DC4B6F">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kern w:val="2"/>
                      <w:sz w:val="18"/>
                      <w:szCs w:val="18"/>
                      <w:lang w:val="en-US" w:eastAsia="zh-CN" w:bidi="ar-SA"/>
                    </w:rPr>
                    <w:t>9100</w:t>
                  </w:r>
                  <w:r>
                    <w:rPr>
                      <w:rFonts w:hint="eastAsia" w:ascii="Times New Roman" w:hAnsi="Times New Roman" w:eastAsia="仿宋_GB2312" w:cs="Times New Roman"/>
                      <w:color w:val="auto"/>
                      <w:kern w:val="2"/>
                      <w:sz w:val="18"/>
                      <w:szCs w:val="18"/>
                      <w:lang w:val="en-US" w:eastAsia="zh-CN" w:bidi="ar-SA"/>
                    </w:rPr>
                    <w:t>Nm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/h</w:t>
                  </w:r>
                </w:p>
              </w:tc>
            </w:tr>
            <w:tr w14:paraId="529C53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9" w:type="pct"/>
                  <w:vMerge w:val="continue"/>
                  <w:tcBorders>
                    <w:tl2br w:val="nil"/>
                    <w:tr2bl w:val="nil"/>
                  </w:tcBorders>
                  <w:noWrap w:val="0"/>
                  <w:vAlign w:val="center"/>
                </w:tcPr>
                <w:p w14:paraId="457F380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63" w:type="pct"/>
                  <w:vMerge w:val="continue"/>
                  <w:tcBorders>
                    <w:tl2br w:val="nil"/>
                    <w:tr2bl w:val="nil"/>
                  </w:tcBorders>
                  <w:noWrap w:val="0"/>
                  <w:vAlign w:val="center"/>
                </w:tcPr>
                <w:p w14:paraId="64F6C75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770" w:type="pct"/>
                  <w:vMerge w:val="continue"/>
                  <w:tcBorders>
                    <w:tl2br w:val="nil"/>
                    <w:tr2bl w:val="nil"/>
                  </w:tcBorders>
                  <w:noWrap w:val="0"/>
                  <w:vAlign w:val="center"/>
                </w:tcPr>
                <w:p w14:paraId="466C538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1385" w:type="pct"/>
                  <w:tcBorders>
                    <w:tl2br w:val="nil"/>
                    <w:tr2bl w:val="nil"/>
                  </w:tcBorders>
                  <w:shd w:val="clear" w:color="auto" w:fill="auto"/>
                  <w:noWrap w:val="0"/>
                  <w:vAlign w:val="center"/>
                </w:tcPr>
                <w:p w14:paraId="20141AC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临涣焦化精苯分公司</w:t>
                  </w:r>
                </w:p>
              </w:tc>
              <w:tc>
                <w:tcPr>
                  <w:tcW w:w="725" w:type="pct"/>
                  <w:tcBorders>
                    <w:tl2br w:val="nil"/>
                    <w:tr2bl w:val="nil"/>
                  </w:tcBorders>
                  <w:shd w:val="clear" w:color="auto" w:fill="auto"/>
                  <w:noWrap w:val="0"/>
                  <w:vAlign w:val="center"/>
                </w:tcPr>
                <w:p w14:paraId="2179A9F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600Nm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/h</w:t>
                  </w:r>
                </w:p>
              </w:tc>
              <w:tc>
                <w:tcPr>
                  <w:tcW w:w="906" w:type="pct"/>
                  <w:vMerge w:val="continue"/>
                  <w:tcBorders>
                    <w:tl2br w:val="nil"/>
                    <w:tr2bl w:val="nil"/>
                  </w:tcBorders>
                  <w:noWrap w:val="0"/>
                  <w:vAlign w:val="center"/>
                </w:tcPr>
                <w:p w14:paraId="1806CD52">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p>
              </w:tc>
            </w:tr>
            <w:tr w14:paraId="38438F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9" w:type="pct"/>
                  <w:vMerge w:val="continue"/>
                  <w:tcBorders>
                    <w:tl2br w:val="nil"/>
                    <w:tr2bl w:val="nil"/>
                  </w:tcBorders>
                  <w:noWrap w:val="0"/>
                  <w:vAlign w:val="center"/>
                </w:tcPr>
                <w:p w14:paraId="35A3058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63" w:type="pct"/>
                  <w:vMerge w:val="continue"/>
                  <w:tcBorders>
                    <w:tl2br w:val="nil"/>
                    <w:tr2bl w:val="nil"/>
                  </w:tcBorders>
                  <w:noWrap w:val="0"/>
                  <w:vAlign w:val="center"/>
                </w:tcPr>
                <w:p w14:paraId="54DDCBA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770" w:type="pct"/>
                  <w:vMerge w:val="continue"/>
                  <w:tcBorders>
                    <w:tl2br w:val="nil"/>
                    <w:tr2bl w:val="nil"/>
                  </w:tcBorders>
                  <w:noWrap w:val="0"/>
                  <w:vAlign w:val="center"/>
                </w:tcPr>
                <w:p w14:paraId="59980A22">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1385" w:type="pct"/>
                  <w:tcBorders>
                    <w:tl2br w:val="nil"/>
                    <w:tr2bl w:val="nil"/>
                  </w:tcBorders>
                  <w:shd w:val="clear" w:color="auto" w:fill="auto"/>
                  <w:noWrap w:val="0"/>
                  <w:vAlign w:val="center"/>
                </w:tcPr>
                <w:p w14:paraId="4B6E1E5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淮北市星光新材料科技有限公司</w:t>
                  </w:r>
                </w:p>
              </w:tc>
              <w:tc>
                <w:tcPr>
                  <w:tcW w:w="725" w:type="pct"/>
                  <w:tcBorders>
                    <w:tl2br w:val="nil"/>
                    <w:tr2bl w:val="nil"/>
                  </w:tcBorders>
                  <w:shd w:val="clear" w:color="auto" w:fill="auto"/>
                  <w:noWrap w:val="0"/>
                  <w:vAlign w:val="center"/>
                </w:tcPr>
                <w:p w14:paraId="43CC0EC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3000Nm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/h</w:t>
                  </w:r>
                </w:p>
              </w:tc>
              <w:tc>
                <w:tcPr>
                  <w:tcW w:w="906" w:type="pct"/>
                  <w:vMerge w:val="continue"/>
                  <w:tcBorders>
                    <w:tl2br w:val="nil"/>
                    <w:tr2bl w:val="nil"/>
                  </w:tcBorders>
                  <w:noWrap w:val="0"/>
                  <w:vAlign w:val="center"/>
                </w:tcPr>
                <w:p w14:paraId="08D2C251">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p>
              </w:tc>
            </w:tr>
            <w:tr w14:paraId="58E366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9" w:type="pct"/>
                  <w:vMerge w:val="continue"/>
                  <w:tcBorders>
                    <w:tl2br w:val="nil"/>
                    <w:tr2bl w:val="nil"/>
                  </w:tcBorders>
                  <w:noWrap w:val="0"/>
                  <w:vAlign w:val="center"/>
                </w:tcPr>
                <w:p w14:paraId="20F2E94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63" w:type="pct"/>
                  <w:vMerge w:val="continue"/>
                  <w:tcBorders>
                    <w:tl2br w:val="nil"/>
                    <w:tr2bl w:val="nil"/>
                  </w:tcBorders>
                  <w:noWrap w:val="0"/>
                  <w:vAlign w:val="center"/>
                </w:tcPr>
                <w:p w14:paraId="5FAA951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770" w:type="pct"/>
                  <w:vMerge w:val="continue"/>
                  <w:tcBorders>
                    <w:tl2br w:val="nil"/>
                    <w:tr2bl w:val="nil"/>
                  </w:tcBorders>
                  <w:noWrap w:val="0"/>
                  <w:vAlign w:val="center"/>
                </w:tcPr>
                <w:p w14:paraId="5FCB1F4B">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1385" w:type="pct"/>
                  <w:tcBorders>
                    <w:tl2br w:val="nil"/>
                    <w:tr2bl w:val="nil"/>
                  </w:tcBorders>
                  <w:shd w:val="clear" w:color="auto" w:fill="auto"/>
                  <w:noWrap w:val="0"/>
                  <w:vAlign w:val="center"/>
                </w:tcPr>
                <w:p w14:paraId="686BB8A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安徽碳鑫科技有限公司</w:t>
                  </w:r>
                </w:p>
              </w:tc>
              <w:tc>
                <w:tcPr>
                  <w:tcW w:w="725" w:type="pct"/>
                  <w:tcBorders>
                    <w:tl2br w:val="nil"/>
                    <w:tr2bl w:val="nil"/>
                  </w:tcBorders>
                  <w:shd w:val="clear" w:color="auto" w:fill="auto"/>
                  <w:noWrap w:val="0"/>
                  <w:vAlign w:val="center"/>
                </w:tcPr>
                <w:p w14:paraId="1C52C6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5</w:t>
                  </w:r>
                  <w:r>
                    <w:rPr>
                      <w:rFonts w:hint="eastAsia" w:ascii="Times New Roman" w:hAnsi="Times New Roman" w:eastAsia="仿宋_GB2312" w:cs="Times New Roman"/>
                      <w:color w:val="auto"/>
                      <w:kern w:val="2"/>
                      <w:sz w:val="18"/>
                      <w:szCs w:val="18"/>
                      <w:lang w:val="en-US" w:eastAsia="zh-CN" w:bidi="ar-SA"/>
                    </w:rPr>
                    <w:t>00Nm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/h</w:t>
                  </w:r>
                </w:p>
              </w:tc>
              <w:tc>
                <w:tcPr>
                  <w:tcW w:w="906" w:type="pct"/>
                  <w:vMerge w:val="continue"/>
                  <w:tcBorders>
                    <w:tl2br w:val="nil"/>
                    <w:tr2bl w:val="nil"/>
                  </w:tcBorders>
                  <w:noWrap w:val="0"/>
                  <w:vAlign w:val="center"/>
                </w:tcPr>
                <w:p w14:paraId="254EF8D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p>
              </w:tc>
            </w:tr>
            <w:tr w14:paraId="3DBF7D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9" w:type="pct"/>
                  <w:vMerge w:val="continue"/>
                  <w:tcBorders>
                    <w:tl2br w:val="nil"/>
                    <w:tr2bl w:val="nil"/>
                  </w:tcBorders>
                  <w:noWrap w:val="0"/>
                  <w:vAlign w:val="center"/>
                </w:tcPr>
                <w:p w14:paraId="7CF0DB8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63" w:type="pct"/>
                  <w:vMerge w:val="restart"/>
                  <w:tcBorders>
                    <w:tl2br w:val="nil"/>
                    <w:tr2bl w:val="nil"/>
                  </w:tcBorders>
                  <w:noWrap w:val="0"/>
                  <w:vAlign w:val="center"/>
                </w:tcPr>
                <w:p w14:paraId="76B8F8A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安徽湛为气体有限公司</w:t>
                  </w:r>
                </w:p>
              </w:tc>
              <w:tc>
                <w:tcPr>
                  <w:tcW w:w="770" w:type="pct"/>
                  <w:vMerge w:val="restart"/>
                  <w:tcBorders>
                    <w:tl2br w:val="nil"/>
                    <w:tr2bl w:val="nil"/>
                  </w:tcBorders>
                  <w:noWrap w:val="0"/>
                  <w:vAlign w:val="center"/>
                </w:tcPr>
                <w:p w14:paraId="41044AEB">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sz w:val="18"/>
                      <w:szCs w:val="18"/>
                      <w:lang w:val="en-US" w:eastAsia="zh-CN"/>
                    </w:rPr>
                    <w:t>5000Nm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/h</w:t>
                  </w:r>
                </w:p>
              </w:tc>
              <w:tc>
                <w:tcPr>
                  <w:tcW w:w="1385" w:type="pct"/>
                  <w:tcBorders>
                    <w:tl2br w:val="nil"/>
                    <w:tr2bl w:val="nil"/>
                  </w:tcBorders>
                  <w:shd w:val="clear" w:color="auto" w:fill="auto"/>
                  <w:noWrap w:val="0"/>
                  <w:vAlign w:val="center"/>
                </w:tcPr>
                <w:p w14:paraId="4FEB29F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淮北润土高分子新材料研究院有限公司</w:t>
                  </w:r>
                </w:p>
              </w:tc>
              <w:tc>
                <w:tcPr>
                  <w:tcW w:w="725" w:type="pct"/>
                  <w:tcBorders>
                    <w:tl2br w:val="nil"/>
                    <w:tr2bl w:val="nil"/>
                  </w:tcBorders>
                  <w:shd w:val="clear" w:color="auto" w:fill="auto"/>
                  <w:noWrap w:val="0"/>
                  <w:vAlign w:val="center"/>
                </w:tcPr>
                <w:p w14:paraId="0411EF0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230</w:t>
                  </w:r>
                  <w:r>
                    <w:rPr>
                      <w:rFonts w:hint="eastAsia" w:ascii="Times New Roman" w:hAnsi="Times New Roman" w:eastAsia="仿宋_GB2312" w:cs="Times New Roman"/>
                      <w:color w:val="auto"/>
                      <w:kern w:val="2"/>
                      <w:sz w:val="18"/>
                      <w:szCs w:val="18"/>
                      <w:lang w:val="en-US" w:eastAsia="zh-CN" w:bidi="ar-SA"/>
                    </w:rPr>
                    <w:t>0Nm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/h</w:t>
                  </w:r>
                </w:p>
              </w:tc>
              <w:tc>
                <w:tcPr>
                  <w:tcW w:w="906" w:type="pct"/>
                  <w:vMerge w:val="restart"/>
                  <w:tcBorders>
                    <w:tl2br w:val="nil"/>
                    <w:tr2bl w:val="nil"/>
                  </w:tcBorders>
                  <w:noWrap w:val="0"/>
                  <w:vAlign w:val="center"/>
                </w:tcPr>
                <w:p w14:paraId="7AEAC9C4">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kern w:val="2"/>
                      <w:sz w:val="18"/>
                      <w:szCs w:val="18"/>
                      <w:lang w:val="en-US" w:eastAsia="zh-CN" w:bidi="ar-SA"/>
                    </w:rPr>
                    <w:t>3800</w:t>
                  </w:r>
                  <w:r>
                    <w:rPr>
                      <w:rFonts w:hint="eastAsia" w:ascii="Times New Roman" w:hAnsi="Times New Roman" w:eastAsia="仿宋_GB2312" w:cs="Times New Roman"/>
                      <w:color w:val="auto"/>
                      <w:kern w:val="2"/>
                      <w:sz w:val="18"/>
                      <w:szCs w:val="18"/>
                      <w:lang w:val="en-US" w:eastAsia="zh-CN" w:bidi="ar-SA"/>
                    </w:rPr>
                    <w:t>Nm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/h</w:t>
                  </w:r>
                </w:p>
              </w:tc>
            </w:tr>
            <w:tr w14:paraId="6937F7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9" w:type="pct"/>
                  <w:vMerge w:val="continue"/>
                  <w:tcBorders>
                    <w:tl2br w:val="nil"/>
                    <w:tr2bl w:val="nil"/>
                  </w:tcBorders>
                  <w:noWrap w:val="0"/>
                  <w:vAlign w:val="center"/>
                </w:tcPr>
                <w:p w14:paraId="79980DC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763" w:type="pct"/>
                  <w:vMerge w:val="continue"/>
                  <w:tcBorders>
                    <w:tl2br w:val="nil"/>
                    <w:tr2bl w:val="nil"/>
                  </w:tcBorders>
                  <w:noWrap w:val="0"/>
                  <w:vAlign w:val="center"/>
                </w:tcPr>
                <w:p w14:paraId="22BCC62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仿宋_GB2312" w:cs="Times New Roman"/>
                      <w:color w:val="auto"/>
                      <w:kern w:val="2"/>
                      <w:sz w:val="18"/>
                      <w:szCs w:val="18"/>
                      <w:lang w:val="en-US" w:eastAsia="zh-CN" w:bidi="ar-SA"/>
                    </w:rPr>
                  </w:pPr>
                </w:p>
              </w:tc>
              <w:tc>
                <w:tcPr>
                  <w:tcW w:w="770" w:type="pct"/>
                  <w:vMerge w:val="continue"/>
                  <w:tcBorders>
                    <w:tl2br w:val="nil"/>
                    <w:tr2bl w:val="nil"/>
                  </w:tcBorders>
                  <w:noWrap w:val="0"/>
                  <w:vAlign w:val="center"/>
                </w:tcPr>
                <w:p w14:paraId="32BC3AB8">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lang w:val="en-US" w:eastAsia="zh-CN"/>
                    </w:rPr>
                  </w:pPr>
                </w:p>
              </w:tc>
              <w:tc>
                <w:tcPr>
                  <w:tcW w:w="1385" w:type="pct"/>
                  <w:tcBorders>
                    <w:tl2br w:val="nil"/>
                    <w:tr2bl w:val="nil"/>
                  </w:tcBorders>
                  <w:shd w:val="clear" w:color="auto" w:fill="auto"/>
                  <w:noWrap w:val="0"/>
                  <w:vAlign w:val="center"/>
                </w:tcPr>
                <w:p w14:paraId="533E29A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充装外售</w:t>
                  </w:r>
                </w:p>
              </w:tc>
              <w:tc>
                <w:tcPr>
                  <w:tcW w:w="725" w:type="pct"/>
                  <w:tcBorders>
                    <w:tl2br w:val="nil"/>
                    <w:tr2bl w:val="nil"/>
                  </w:tcBorders>
                  <w:shd w:val="clear" w:color="auto" w:fill="auto"/>
                  <w:noWrap w:val="0"/>
                  <w:vAlign w:val="center"/>
                </w:tcPr>
                <w:p w14:paraId="4A3D8D9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150</w:t>
                  </w:r>
                  <w:r>
                    <w:rPr>
                      <w:rFonts w:hint="eastAsia" w:ascii="Times New Roman" w:hAnsi="Times New Roman" w:eastAsia="仿宋_GB2312" w:cs="Times New Roman"/>
                      <w:color w:val="auto"/>
                      <w:kern w:val="2"/>
                      <w:sz w:val="18"/>
                      <w:szCs w:val="18"/>
                      <w:lang w:val="en-US" w:eastAsia="zh-CN" w:bidi="ar-SA"/>
                    </w:rPr>
                    <w:t>0Nm</w:t>
                  </w:r>
                  <w:r>
                    <w:rPr>
                      <w:rFonts w:hint="eastAsia" w:ascii="Times New Roman" w:hAnsi="Times New Roman" w:eastAsia="仿宋_GB2312" w:cs="Times New Roman"/>
                      <w:color w:val="auto"/>
                      <w:kern w:val="2"/>
                      <w:sz w:val="18"/>
                      <w:szCs w:val="18"/>
                      <w:vertAlign w:val="superscript"/>
                      <w:lang w:val="en-US" w:eastAsia="zh-CN" w:bidi="ar-SA"/>
                    </w:rPr>
                    <w:t>3</w:t>
                  </w:r>
                  <w:r>
                    <w:rPr>
                      <w:rFonts w:hint="eastAsia" w:ascii="Times New Roman" w:hAnsi="Times New Roman" w:eastAsia="仿宋_GB2312" w:cs="Times New Roman"/>
                      <w:color w:val="auto"/>
                      <w:kern w:val="2"/>
                      <w:sz w:val="18"/>
                      <w:szCs w:val="18"/>
                      <w:lang w:val="en-US" w:eastAsia="zh-CN" w:bidi="ar-SA"/>
                    </w:rPr>
                    <w:t>/h</w:t>
                  </w:r>
                </w:p>
              </w:tc>
              <w:tc>
                <w:tcPr>
                  <w:tcW w:w="906" w:type="pct"/>
                  <w:vMerge w:val="continue"/>
                  <w:tcBorders>
                    <w:tl2br w:val="nil"/>
                    <w:tr2bl w:val="nil"/>
                  </w:tcBorders>
                  <w:noWrap w:val="0"/>
                  <w:vAlign w:val="center"/>
                </w:tcPr>
                <w:p w14:paraId="49BB071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p>
              </w:tc>
            </w:tr>
          </w:tbl>
          <w:p w14:paraId="290890A2">
            <w:pPr>
              <w:pStyle w:val="29"/>
              <w:ind w:firstLine="960" w:firstLineChars="400"/>
              <w:jc w:val="both"/>
              <w:rPr>
                <w:rFonts w:hint="eastAsia" w:ascii="Times New Roman" w:hAnsi="Times New Roman" w:eastAsia="仿宋_GB2312" w:cs="Times New Roman"/>
                <w:b w:val="0"/>
                <w:bCs/>
                <w:color w:val="auto"/>
                <w:sz w:val="24"/>
                <w:szCs w:val="24"/>
                <w:lang w:val="en-US" w:eastAsia="zh-CN"/>
              </w:rPr>
            </w:pPr>
          </w:p>
          <w:p w14:paraId="222261B9">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0"/>
              <w:textAlignment w:val="auto"/>
              <w:rPr>
                <w:rFonts w:hint="default" w:cs="Times New Roman"/>
                <w:b/>
                <w:bCs/>
                <w:color w:val="auto"/>
                <w:lang w:val="en-US" w:eastAsia="zh-CN"/>
              </w:rPr>
            </w:pPr>
            <w:r>
              <w:rPr>
                <w:rFonts w:hint="eastAsia" w:cs="Times New Roman"/>
                <w:b/>
                <w:bCs/>
                <w:color w:val="auto"/>
                <w:lang w:val="en-US" w:eastAsia="zh-CN"/>
              </w:rPr>
              <w:t>2.2.6.5 项目管廊、管墩依托情况</w:t>
            </w:r>
          </w:p>
          <w:p w14:paraId="4951608C">
            <w:pPr>
              <w:ind w:firstLine="480"/>
              <w:rPr>
                <w:rFonts w:hint="default" w:ascii="Times New Roman" w:hAnsi="Times New Roman" w:eastAsia="仿宋_GB2312" w:cs="Times New Roman"/>
                <w:color w:val="000000"/>
              </w:rPr>
            </w:pPr>
            <w:r>
              <w:rPr>
                <w:rFonts w:hint="eastAsia" w:cs="Times New Roman"/>
                <w:color w:val="000000"/>
                <w:lang w:val="en-US" w:eastAsia="zh-CN"/>
              </w:rPr>
              <w:t>本项目依托煤化工基地已建成的创新路跨路管廊、淮化路管墩预留空间敷设氢气管道，其中创新路跨路管廊为《</w:t>
            </w:r>
            <w:r>
              <w:rPr>
                <w:rFonts w:hint="default" w:ascii="Times New Roman" w:hAnsi="Times New Roman" w:eastAsia="仿宋_GB2312" w:cs="Times New Roman"/>
                <w:color w:val="000000"/>
                <w:highlight w:val="none"/>
              </w:rPr>
              <w:t>安徽（淮北）新型煤化工合成材料基地综合管廊工程二期项目</w:t>
            </w:r>
            <w:r>
              <w:rPr>
                <w:rFonts w:hint="eastAsia" w:cs="Times New Roman"/>
                <w:color w:val="000000"/>
                <w:lang w:val="en-US" w:eastAsia="zh-CN"/>
              </w:rPr>
              <w:t>》建成设施，淮化路管墩源自《安徽（淮北）新型煤化工合成材料基地基础配套设施投资建设项目公共服务一体化项目公共管廊工程一期项目》配套设施，详见附件8、附件9。</w:t>
            </w:r>
          </w:p>
          <w:p w14:paraId="010E7758">
            <w:pPr>
              <w:pStyle w:val="32"/>
              <w:ind w:left="0" w:leftChars="0" w:firstLine="0" w:firstLineChars="0"/>
              <w:rPr>
                <w:rFonts w:hint="default" w:cs="Times New Roman"/>
                <w:color w:val="auto"/>
                <w:highlight w:val="none"/>
                <w:lang w:val="en-US" w:eastAsia="zh-CN"/>
              </w:rPr>
            </w:pPr>
          </w:p>
        </w:tc>
      </w:tr>
      <w:tr w14:paraId="51E22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noWrap w:val="0"/>
            <w:vAlign w:val="center"/>
          </w:tcPr>
          <w:p w14:paraId="43333C23">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总平面及现场布置</w:t>
            </w:r>
          </w:p>
        </w:tc>
        <w:tc>
          <w:tcPr>
            <w:tcW w:w="8236" w:type="dxa"/>
            <w:noWrap w:val="0"/>
            <w:vAlign w:val="top"/>
          </w:tcPr>
          <w:p w14:paraId="6C790C3F">
            <w:pPr>
              <w:pStyle w:val="32"/>
              <w:ind w:firstLine="482"/>
              <w:rPr>
                <w:rFonts w:hint="default" w:cs="Times New Roman"/>
                <w:b/>
                <w:bCs/>
                <w:color w:val="auto"/>
                <w:lang w:val="en-US" w:eastAsia="zh-CN"/>
              </w:rPr>
            </w:pPr>
            <w:r>
              <w:rPr>
                <w:rFonts w:hint="eastAsia" w:cs="Times New Roman"/>
                <w:b/>
                <w:bCs/>
                <w:color w:val="auto"/>
                <w:lang w:val="en-US" w:eastAsia="zh-CN"/>
              </w:rPr>
              <w:t>2.3.1 工程布局情况</w:t>
            </w:r>
          </w:p>
          <w:p w14:paraId="1332244B">
            <w:pPr>
              <w:pStyle w:val="32"/>
              <w:ind w:firstLine="482"/>
              <w:rPr>
                <w:rFonts w:hint="default" w:cs="Times New Roman"/>
                <w:b w:val="0"/>
                <w:bCs w:val="0"/>
                <w:color w:val="auto"/>
                <w:lang w:val="en-US" w:eastAsia="zh-CN"/>
              </w:rPr>
            </w:pPr>
            <w:r>
              <w:rPr>
                <w:rFonts w:hint="eastAsia" w:cs="Times New Roman"/>
                <w:b w:val="0"/>
                <w:bCs w:val="0"/>
                <w:color w:val="auto"/>
                <w:lang w:val="en-US" w:eastAsia="zh-CN"/>
              </w:rPr>
              <w:t>氢气管道自</w:t>
            </w:r>
            <w:r>
              <w:rPr>
                <w:rFonts w:hint="eastAsia" w:cs="Times New Roman"/>
                <w:color w:val="auto"/>
                <w:lang w:val="en-US" w:eastAsia="zh-CN"/>
              </w:rPr>
              <w:t>创新路跨路管廊中临涣焦化至安徽湛为氢气主管引出后，先沿创新路既有跨路管廊由南向北敷设并穿越道路，再沿园区现有管墩自东向西敷设至创新路与淮化路交叉口，继而沿淮化路管墩向北延伸，抵达淮北润土高分子新材料公司厂区西界后接入厂区，</w:t>
            </w:r>
            <w:r>
              <w:rPr>
                <w:rFonts w:hint="eastAsia" w:cs="Times New Roman"/>
                <w:color w:val="auto"/>
                <w:highlight w:val="none"/>
                <w:lang w:val="en-US" w:eastAsia="zh-CN"/>
              </w:rPr>
              <w:t>最终接至企业2号车间的MAK生产装置，同时为3-6号车间规划远期项目预留了氢气接口。</w:t>
            </w:r>
            <w:r>
              <w:rPr>
                <w:rFonts w:hint="eastAsia" w:cs="Times New Roman"/>
                <w:b w:val="0"/>
                <w:bCs w:val="0"/>
                <w:color w:val="auto"/>
                <w:lang w:val="en-US" w:eastAsia="zh-CN"/>
              </w:rPr>
              <w:t>具体管道走向详见附图2。</w:t>
            </w:r>
          </w:p>
          <w:p w14:paraId="0AC4F1DC">
            <w:pPr>
              <w:pStyle w:val="32"/>
              <w:ind w:firstLine="482"/>
              <w:rPr>
                <w:rFonts w:hint="default" w:cs="Times New Roman"/>
                <w:b/>
                <w:bCs/>
                <w:color w:val="auto"/>
                <w:lang w:val="en-US" w:eastAsia="zh-CN"/>
              </w:rPr>
            </w:pPr>
            <w:r>
              <w:rPr>
                <w:rFonts w:hint="eastAsia" w:cs="Times New Roman"/>
                <w:b/>
                <w:bCs/>
                <w:color w:val="auto"/>
                <w:lang w:val="en-US" w:eastAsia="zh-CN"/>
              </w:rPr>
              <w:t>2.3.2 施工布局情况</w:t>
            </w:r>
          </w:p>
          <w:p w14:paraId="45A969CB">
            <w:pPr>
              <w:pStyle w:val="32"/>
              <w:ind w:firstLine="482"/>
              <w:rPr>
                <w:rFonts w:hint="eastAsia" w:cs="Times New Roman"/>
                <w:b w:val="0"/>
                <w:bCs w:val="0"/>
                <w:color w:val="auto"/>
                <w:lang w:val="en-US" w:eastAsia="zh-CN"/>
              </w:rPr>
            </w:pPr>
            <w:r>
              <w:rPr>
                <w:rFonts w:hint="eastAsia" w:cs="Times New Roman"/>
                <w:b w:val="0"/>
                <w:bCs w:val="0"/>
                <w:color w:val="auto"/>
                <w:lang w:val="en-US" w:eastAsia="zh-CN"/>
              </w:rPr>
              <w:t>1）本项目施工内容主要为：利用园区公共管廊、管墩，进行管道铺设和现场焊接。</w:t>
            </w:r>
          </w:p>
          <w:p w14:paraId="107DE1CF">
            <w:pPr>
              <w:pStyle w:val="32"/>
              <w:ind w:firstLine="482"/>
              <w:rPr>
                <w:rFonts w:hint="eastAsia" w:cs="Times New Roman"/>
                <w:b w:val="0"/>
                <w:bCs w:val="0"/>
                <w:color w:val="auto"/>
                <w:lang w:val="en-US" w:eastAsia="zh-CN"/>
              </w:rPr>
            </w:pPr>
            <w:r>
              <w:rPr>
                <w:rFonts w:hint="eastAsia" w:cs="Times New Roman"/>
                <w:b w:val="0"/>
                <w:bCs w:val="0"/>
                <w:color w:val="auto"/>
                <w:lang w:val="en-US" w:eastAsia="zh-CN"/>
              </w:rPr>
              <w:t>2)本项目不布置临时营地，管道堆场布置在管廊、管墩沿线及润土公司厂区闲置区域内。</w:t>
            </w:r>
          </w:p>
          <w:p w14:paraId="73FCC75A">
            <w:pPr>
              <w:pStyle w:val="32"/>
              <w:ind w:firstLine="482"/>
              <w:rPr>
                <w:rFonts w:hint="eastAsia" w:cs="Times New Roman"/>
                <w:b w:val="0"/>
                <w:bCs w:val="0"/>
                <w:color w:val="auto"/>
                <w:lang w:val="en-US" w:eastAsia="zh-CN"/>
              </w:rPr>
            </w:pPr>
            <w:r>
              <w:rPr>
                <w:rFonts w:hint="eastAsia" w:cs="Times New Roman"/>
                <w:b w:val="0"/>
                <w:bCs w:val="0"/>
                <w:color w:val="auto"/>
                <w:lang w:val="en-US" w:eastAsia="zh-CN"/>
              </w:rPr>
              <w:t>3）本项目施工期将根据相关规范、标准等要求，对所依托的园区公共管廊、管墩开展管道铺设，项目总体土建施工量较少。</w:t>
            </w:r>
          </w:p>
          <w:p w14:paraId="58FAC14C">
            <w:pPr>
              <w:pStyle w:val="32"/>
              <w:ind w:firstLine="482"/>
              <w:rPr>
                <w:rFonts w:hint="eastAsia" w:cs="Times New Roman"/>
                <w:b w:val="0"/>
                <w:bCs w:val="0"/>
                <w:color w:val="auto"/>
                <w:lang w:val="en-US" w:eastAsia="zh-CN"/>
              </w:rPr>
            </w:pPr>
            <w:r>
              <w:rPr>
                <w:rFonts w:hint="eastAsia" w:cs="Times New Roman"/>
                <w:b w:val="0"/>
                <w:bCs w:val="0"/>
                <w:color w:val="auto"/>
                <w:lang w:val="en-US" w:eastAsia="zh-CN"/>
              </w:rPr>
              <w:t>4）本项目管道敷设过程中设备及车辆运行过程中产生的粉尘量极少，施工工程量不大，时间较短，通过制定相应管理计划，采用遮盖和适当洒水等措施。</w:t>
            </w:r>
          </w:p>
          <w:p w14:paraId="06F1702D">
            <w:pPr>
              <w:pStyle w:val="32"/>
              <w:ind w:firstLine="482"/>
              <w:rPr>
                <w:rFonts w:hint="eastAsia" w:cs="Times New Roman"/>
                <w:b w:val="0"/>
                <w:bCs w:val="0"/>
                <w:color w:val="auto"/>
                <w:lang w:val="en-US" w:eastAsia="zh-CN"/>
              </w:rPr>
            </w:pPr>
            <w:r>
              <w:rPr>
                <w:rFonts w:hint="eastAsia" w:cs="Times New Roman"/>
                <w:b w:val="0"/>
                <w:bCs w:val="0"/>
                <w:color w:val="auto"/>
                <w:lang w:val="en-US" w:eastAsia="zh-CN"/>
              </w:rPr>
              <w:t>5）本项目施工机械运作时间较短，且无高噪声施工设备，对周边环境影响很小。本项目施工工程量较少，不需设置施工营地。</w:t>
            </w:r>
          </w:p>
          <w:p w14:paraId="1E8BFD47">
            <w:pPr>
              <w:pStyle w:val="32"/>
              <w:ind w:firstLine="482"/>
              <w:rPr>
                <w:rFonts w:hint="eastAsia" w:cs="Times New Roman"/>
                <w:b w:val="0"/>
                <w:bCs w:val="0"/>
                <w:color w:val="auto"/>
                <w:lang w:val="en-US" w:eastAsia="zh-CN"/>
              </w:rPr>
            </w:pPr>
            <w:r>
              <w:rPr>
                <w:rFonts w:hint="eastAsia" w:cs="Times New Roman"/>
                <w:b w:val="0"/>
                <w:bCs w:val="0"/>
                <w:color w:val="auto"/>
                <w:lang w:val="en-US" w:eastAsia="zh-CN"/>
              </w:rPr>
              <w:t>6）施工时应严格执行《建筑施工噪声排放标准(GB12523-2025)》【昼间70dB(A)，夜间55dB(A)】，合理安排作业时间，施工工作尽量在昼间进行。</w:t>
            </w:r>
          </w:p>
          <w:p w14:paraId="6A3A9F16">
            <w:pPr>
              <w:pStyle w:val="32"/>
              <w:ind w:firstLine="482"/>
              <w:rPr>
                <w:rFonts w:hint="eastAsia" w:cs="Times New Roman"/>
                <w:b w:val="0"/>
                <w:bCs w:val="0"/>
                <w:color w:val="auto"/>
                <w:lang w:val="en-US" w:eastAsia="zh-CN"/>
              </w:rPr>
            </w:pPr>
            <w:r>
              <w:rPr>
                <w:rFonts w:hint="eastAsia" w:cs="Times New Roman"/>
                <w:b w:val="0"/>
                <w:bCs w:val="0"/>
                <w:color w:val="auto"/>
                <w:lang w:val="en-US" w:eastAsia="zh-CN"/>
              </w:rPr>
              <w:t>本项目施工布置合理，采取合适的施工方案，采取相应措施减少施工扬尘和噪声，对周边环境的影响较小。</w:t>
            </w:r>
          </w:p>
          <w:p w14:paraId="2B615DD8">
            <w:pPr>
              <w:pStyle w:val="32"/>
              <w:ind w:firstLine="482"/>
              <w:rPr>
                <w:rFonts w:hint="default" w:ascii="Times New Roman" w:hAnsi="Times New Roman" w:eastAsia="仿宋_GB2312" w:cs="Times New Roman"/>
                <w:color w:val="auto"/>
              </w:rPr>
            </w:pPr>
            <w:r>
              <w:rPr>
                <w:rFonts w:hint="eastAsia" w:cs="Times New Roman"/>
                <w:b w:val="0"/>
                <w:bCs w:val="0"/>
                <w:color w:val="auto"/>
                <w:lang w:val="en-US" w:eastAsia="zh-CN"/>
              </w:rPr>
              <w:t>本项目地理位置见附图1，本项目氢气管线布设走向及周边概况见附图2。</w:t>
            </w:r>
          </w:p>
        </w:tc>
      </w:tr>
      <w:tr w14:paraId="22873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noWrap w:val="0"/>
            <w:vAlign w:val="center"/>
          </w:tcPr>
          <w:p w14:paraId="4203F322">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施工方案</w:t>
            </w:r>
          </w:p>
        </w:tc>
        <w:tc>
          <w:tcPr>
            <w:tcW w:w="8236" w:type="dxa"/>
            <w:noWrap w:val="0"/>
            <w:vAlign w:val="top"/>
          </w:tcPr>
          <w:p w14:paraId="5D718EDF">
            <w:pPr>
              <w:pStyle w:val="32"/>
              <w:ind w:firstLine="482"/>
              <w:rPr>
                <w:rFonts w:hint="default" w:cs="Times New Roman"/>
                <w:b/>
                <w:bCs/>
                <w:color w:val="auto"/>
                <w:lang w:val="en-US" w:eastAsia="zh-CN"/>
              </w:rPr>
            </w:pPr>
            <w:r>
              <w:rPr>
                <w:rFonts w:hint="eastAsia" w:cs="Times New Roman"/>
                <w:b/>
                <w:bCs/>
                <w:color w:val="auto"/>
                <w:lang w:val="en-US" w:eastAsia="zh-CN"/>
              </w:rPr>
              <w:t>2.4.1 施工方案及流程</w:t>
            </w:r>
          </w:p>
          <w:p w14:paraId="5920CE15">
            <w:pPr>
              <w:pStyle w:val="32"/>
              <w:ind w:firstLine="482"/>
              <w:rPr>
                <w:rFonts w:hint="eastAsia" w:cs="Times New Roman"/>
                <w:b w:val="0"/>
                <w:bCs w:val="0"/>
                <w:color w:val="auto"/>
                <w:lang w:val="en-US" w:eastAsia="zh-CN"/>
              </w:rPr>
            </w:pPr>
            <w:r>
              <w:rPr>
                <w:rFonts w:hint="eastAsia" w:cs="Times New Roman"/>
                <w:b w:val="0"/>
                <w:bCs w:val="0"/>
                <w:color w:val="auto"/>
                <w:lang w:val="en-US" w:eastAsia="zh-CN"/>
              </w:rPr>
              <w:t>本项目位于安徽（淮北）新型煤化工合成新材料基地，项目所在地交通便利，本项目依托现有道路运输施工材料等，不新建施工便道；管道堆场布置在管廊、管墩沿线及润土公司厂区闲置区域内，不另行专门设置施工营地。</w:t>
            </w:r>
          </w:p>
          <w:p w14:paraId="0A3F33D9">
            <w:pPr>
              <w:pStyle w:val="32"/>
              <w:ind w:firstLine="482"/>
              <w:rPr>
                <w:rFonts w:hint="default" w:ascii="Times New Roman" w:hAnsi="Times New Roman" w:eastAsia="仿宋_GB2312" w:cs="Times New Roman"/>
                <w:color w:val="auto"/>
              </w:rPr>
            </w:pPr>
            <w:r>
              <w:rPr>
                <w:rFonts w:hint="eastAsia" w:cs="Times New Roman"/>
                <w:b w:val="0"/>
                <w:bCs w:val="0"/>
                <w:color w:val="auto"/>
                <w:lang w:val="en-US" w:eastAsia="zh-CN"/>
              </w:rPr>
              <w:t>本项目施工内容较简单，施工流程主要可分为管道、配件准备→安装前检查→现场吊装→管道焊接、附件安装→管道试压和吹扫→附属工程施工→验收。本项目管线均为架空管廊敷设。</w:t>
            </w:r>
            <w:r>
              <w:rPr>
                <w:rFonts w:hint="default" w:ascii="Times New Roman" w:hAnsi="Times New Roman" w:eastAsia="仿宋_GB2312" w:cs="Times New Roman"/>
                <w:color w:val="auto"/>
              </w:rPr>
              <w:t>管线施工流程图如下:</w:t>
            </w:r>
          </w:p>
          <w:p w14:paraId="746688F8">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rPr>
            </w:pPr>
            <w:r>
              <w:drawing>
                <wp:inline distT="0" distB="0" distL="114300" distR="114300">
                  <wp:extent cx="2910205" cy="3694430"/>
                  <wp:effectExtent l="0" t="0" r="63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2910205" cy="3694430"/>
                          </a:xfrm>
                          <a:prstGeom prst="rect">
                            <a:avLst/>
                          </a:prstGeom>
                          <a:noFill/>
                          <a:ln>
                            <a:noFill/>
                          </a:ln>
                        </pic:spPr>
                      </pic:pic>
                    </a:graphicData>
                  </a:graphic>
                </wp:inline>
              </w:drawing>
            </w:r>
          </w:p>
          <w:p w14:paraId="25B88A65">
            <w:pPr>
              <w:pStyle w:val="3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lang w:val="en-US" w:eastAsia="zh-CN"/>
              </w:rPr>
            </w:pPr>
            <w:r>
              <w:rPr>
                <w:rFonts w:hint="eastAsia" w:ascii="Times New Roman" w:hAnsi="Times New Roman" w:cs="Times New Roman"/>
                <w:b/>
                <w:bCs/>
                <w:color w:val="auto"/>
                <w:sz w:val="21"/>
                <w:szCs w:val="21"/>
                <w:lang w:val="en-US" w:eastAsia="zh-CN"/>
              </w:rPr>
              <w:t>图</w:t>
            </w:r>
            <w:r>
              <w:rPr>
                <w:rFonts w:hint="default" w:ascii="Times New Roman" w:hAnsi="Times New Roman" w:eastAsia="仿宋_GB2312" w:cs="Times New Roman"/>
                <w:b/>
                <w:bCs/>
                <w:color w:val="auto"/>
                <w:sz w:val="21"/>
                <w:szCs w:val="21"/>
              </w:rPr>
              <w:t>2</w:t>
            </w:r>
            <w:r>
              <w:rPr>
                <w:rFonts w:hint="eastAsia" w:cs="Times New Roman"/>
                <w:b/>
                <w:bCs/>
                <w:color w:val="auto"/>
                <w:sz w:val="21"/>
                <w:szCs w:val="21"/>
                <w:lang w:val="en-US" w:eastAsia="zh-CN"/>
              </w:rPr>
              <w:t>.4</w:t>
            </w:r>
            <w:r>
              <w:rPr>
                <w:rFonts w:hint="default" w:ascii="Times New Roman" w:hAnsi="Times New Roman" w:eastAsia="仿宋_GB2312" w:cs="Times New Roman"/>
                <w:b/>
                <w:bCs/>
                <w:color w:val="auto"/>
                <w:sz w:val="21"/>
                <w:szCs w:val="21"/>
              </w:rPr>
              <w:t xml:space="preserve">-1  </w:t>
            </w:r>
            <w:r>
              <w:rPr>
                <w:rFonts w:hint="eastAsia" w:ascii="Times New Roman" w:hAnsi="Times New Roman" w:cs="Times New Roman"/>
                <w:b/>
                <w:bCs/>
                <w:color w:val="auto"/>
                <w:sz w:val="21"/>
                <w:szCs w:val="21"/>
                <w:lang w:val="en-US" w:eastAsia="zh-CN"/>
              </w:rPr>
              <w:t>施工流程图</w:t>
            </w:r>
          </w:p>
          <w:p w14:paraId="51740EE7">
            <w:pPr>
              <w:pStyle w:val="32"/>
              <w:ind w:left="0" w:leftChars="0" w:firstLine="0" w:firstLineChars="0"/>
              <w:rPr>
                <w:rFonts w:hint="eastAsia" w:cs="Times New Roman"/>
                <w:color w:val="auto"/>
                <w:lang w:eastAsia="zh-CN"/>
              </w:rPr>
            </w:pPr>
          </w:p>
          <w:p w14:paraId="1E5AAEAC">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）管道、配件准备</w:t>
            </w:r>
          </w:p>
          <w:p w14:paraId="4DA13D6B">
            <w:pPr>
              <w:pStyle w:val="32"/>
              <w:ind w:firstLine="480"/>
              <w:rPr>
                <w:rFonts w:hint="eastAsia" w:cs="Times New Roman"/>
                <w:color w:val="auto"/>
                <w:lang w:eastAsia="zh-CN"/>
              </w:rPr>
            </w:pPr>
            <w:r>
              <w:rPr>
                <w:rFonts w:hint="eastAsia" w:cs="Times New Roman"/>
                <w:color w:val="auto"/>
                <w:lang w:eastAsia="zh-CN"/>
              </w:rPr>
              <w:t>用汽车将管道、配件等运送至施工现场，沿管廊、</w:t>
            </w:r>
            <w:r>
              <w:rPr>
                <w:rFonts w:hint="eastAsia" w:cs="Times New Roman"/>
                <w:color w:val="auto"/>
                <w:lang w:val="en-US" w:eastAsia="zh-CN"/>
              </w:rPr>
              <w:t>管墩</w:t>
            </w:r>
            <w:r>
              <w:rPr>
                <w:rFonts w:hint="eastAsia" w:cs="Times New Roman"/>
                <w:color w:val="auto"/>
                <w:lang w:eastAsia="zh-CN"/>
              </w:rPr>
              <w:t>放置，管道运输过程可能产生一定扬尘；外购管道已进行防腐，现场无需喷涂，可直接安装。</w:t>
            </w:r>
          </w:p>
          <w:p w14:paraId="62FEA1D7">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）安装前检查</w:t>
            </w:r>
          </w:p>
          <w:p w14:paraId="3F9DAB0E">
            <w:pPr>
              <w:pStyle w:val="32"/>
              <w:ind w:firstLine="480"/>
              <w:rPr>
                <w:rFonts w:hint="eastAsia" w:cs="Times New Roman"/>
                <w:color w:val="auto"/>
                <w:lang w:eastAsia="zh-CN"/>
              </w:rPr>
            </w:pPr>
            <w:r>
              <w:rPr>
                <w:rFonts w:hint="eastAsia" w:cs="Times New Roman"/>
                <w:color w:val="auto"/>
                <w:lang w:eastAsia="zh-CN"/>
              </w:rPr>
              <w:t>检查各类管道、管件、阀门的规格，检查管道、管件、阀门等是否清理干净、无杂物。</w:t>
            </w:r>
          </w:p>
          <w:p w14:paraId="21EB95EC">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）现场吊装</w:t>
            </w:r>
          </w:p>
          <w:p w14:paraId="7BCF72B7">
            <w:pPr>
              <w:pStyle w:val="32"/>
              <w:ind w:firstLine="480"/>
              <w:rPr>
                <w:rFonts w:hint="eastAsia" w:cs="Times New Roman"/>
                <w:color w:val="auto"/>
                <w:lang w:eastAsia="zh-CN"/>
              </w:rPr>
            </w:pPr>
            <w:r>
              <w:rPr>
                <w:rFonts w:hint="eastAsia" w:cs="Times New Roman"/>
                <w:color w:val="auto"/>
                <w:lang w:eastAsia="zh-CN"/>
              </w:rPr>
              <w:t>用吊车将经过检查的管道、管件等吊到所需安装的高度，并摆放到位。该过程可能有施工机械产生的噪声和机械尾气，同时有少量扬尘产生。</w:t>
            </w:r>
          </w:p>
          <w:p w14:paraId="0C7384E2">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4</w:t>
            </w:r>
            <w:r>
              <w:rPr>
                <w:rFonts w:hint="eastAsia" w:cs="Times New Roman"/>
                <w:color w:val="auto"/>
                <w:lang w:eastAsia="zh-CN"/>
              </w:rPr>
              <w:t>）管道焊接、附件安装</w:t>
            </w:r>
          </w:p>
          <w:p w14:paraId="72375979">
            <w:pPr>
              <w:pStyle w:val="32"/>
              <w:ind w:firstLine="480"/>
              <w:rPr>
                <w:rFonts w:hint="eastAsia" w:cs="Times New Roman"/>
                <w:color w:val="auto"/>
                <w:lang w:eastAsia="zh-CN"/>
              </w:rPr>
            </w:pPr>
            <w:r>
              <w:rPr>
                <w:rFonts w:hint="eastAsia" w:cs="Times New Roman"/>
                <w:color w:val="auto"/>
                <w:lang w:eastAsia="zh-CN"/>
              </w:rPr>
              <w:t>选择符合《承压设备用焊接材料订货技术条件》（NB/T 47018-2011）要求的焊接材料。焊缝按照有关规范进行检验，阀门等附件安装到位并进行检验。项目管道不现场刷漆，仅对焊缝处进行补漆，补漆工序为：焊道上手动除锈→涂刷底漆→涂刷中间漆→涂刷面漆，按底漆、中间漆和面漆次序依次涂刷。管道焊接安装过程产生焊接烟尘，补漆时有挥发性有机废气产生；焊接过程产生废焊条，作为一般固废；补漆工序产生废油漆桶</w:t>
            </w:r>
            <w:r>
              <w:rPr>
                <w:rFonts w:hint="eastAsia" w:cs="Times New Roman"/>
                <w:color w:val="auto"/>
                <w:lang w:val="en-US" w:eastAsia="zh-CN"/>
              </w:rPr>
              <w:t>/刷</w:t>
            </w:r>
            <w:r>
              <w:rPr>
                <w:rFonts w:hint="eastAsia" w:cs="Times New Roman"/>
                <w:color w:val="auto"/>
                <w:lang w:eastAsia="zh-CN"/>
              </w:rPr>
              <w:t>（S），作为危险废物；另外焊接过程产生噪声（N）。</w:t>
            </w:r>
          </w:p>
          <w:p w14:paraId="244807F9">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5</w:t>
            </w:r>
            <w:r>
              <w:rPr>
                <w:rFonts w:hint="eastAsia" w:cs="Times New Roman"/>
                <w:color w:val="auto"/>
                <w:lang w:eastAsia="zh-CN"/>
              </w:rPr>
              <w:t xml:space="preserve">）管道试压和吹扫 </w:t>
            </w:r>
          </w:p>
          <w:p w14:paraId="2BD5D2D4">
            <w:pPr>
              <w:pStyle w:val="32"/>
              <w:ind w:firstLine="480"/>
              <w:rPr>
                <w:rFonts w:hint="eastAsia" w:cs="Times New Roman"/>
                <w:color w:val="auto"/>
                <w:lang w:eastAsia="zh-CN"/>
              </w:rPr>
            </w:pPr>
            <w:r>
              <w:rPr>
                <w:rFonts w:hint="eastAsia" w:cs="Times New Roman"/>
                <w:color w:val="auto"/>
                <w:lang w:eastAsia="zh-CN"/>
              </w:rPr>
              <w:t>管道试压采用自来水作为试验介质，以压力不降无渗漏为合格。管道试压结束后进行吹扫，保证管道内部清洁，之后进行气密性检查，检查重点是阀门、法兰等连接处，管道试压过程</w:t>
            </w:r>
            <w:r>
              <w:rPr>
                <w:rFonts w:hint="eastAsia" w:cs="Times New Roman"/>
                <w:color w:val="auto"/>
                <w:lang w:val="en-US" w:eastAsia="zh-CN"/>
              </w:rPr>
              <w:t>会</w:t>
            </w:r>
            <w:r>
              <w:rPr>
                <w:rFonts w:hint="eastAsia" w:cs="Times New Roman"/>
                <w:color w:val="auto"/>
                <w:lang w:eastAsia="zh-CN"/>
              </w:rPr>
              <w:t>产生清管试压废水。</w:t>
            </w:r>
          </w:p>
          <w:p w14:paraId="26036CF6">
            <w:pPr>
              <w:pStyle w:val="32"/>
              <w:ind w:firstLine="480"/>
              <w:rPr>
                <w:rFonts w:hint="eastAsia" w:cs="Times New Roman"/>
                <w:color w:val="auto"/>
                <w:lang w:eastAsia="zh-CN"/>
              </w:rPr>
            </w:pPr>
            <w:r>
              <w:rPr>
                <w:rFonts w:hint="eastAsia" w:cs="Times New Roman"/>
                <w:color w:val="auto"/>
                <w:lang w:eastAsia="zh-CN"/>
              </w:rPr>
              <w:t>（3）附属工程施工</w:t>
            </w:r>
          </w:p>
          <w:p w14:paraId="5C0139D1">
            <w:pPr>
              <w:pStyle w:val="32"/>
              <w:ind w:firstLine="480"/>
              <w:rPr>
                <w:rFonts w:hint="eastAsia" w:cs="Times New Roman"/>
                <w:color w:val="auto"/>
                <w:lang w:eastAsia="zh-CN"/>
              </w:rPr>
            </w:pPr>
            <w:r>
              <w:rPr>
                <w:rFonts w:hint="eastAsia" w:cs="Times New Roman"/>
                <w:color w:val="auto"/>
                <w:lang w:eastAsia="zh-CN"/>
              </w:rPr>
              <w:t>附属设施的施工主要为警示牌、告示牌的建设。</w:t>
            </w:r>
          </w:p>
          <w:p w14:paraId="7E2F23C5">
            <w:pPr>
              <w:pStyle w:val="32"/>
              <w:ind w:firstLine="480"/>
              <w:rPr>
                <w:rFonts w:hint="eastAsia" w:cs="Times New Roman"/>
                <w:color w:val="auto"/>
                <w:lang w:eastAsia="zh-CN"/>
              </w:rPr>
            </w:pPr>
            <w:r>
              <w:rPr>
                <w:rFonts w:hint="eastAsia" w:cs="Times New Roman"/>
                <w:color w:val="auto"/>
                <w:lang w:eastAsia="zh-CN"/>
              </w:rPr>
              <w:t>①在确定输送管道可正常输送后，清理场地的过程中，安装附属设施；</w:t>
            </w:r>
          </w:p>
          <w:p w14:paraId="57718A1C">
            <w:pPr>
              <w:pStyle w:val="32"/>
              <w:ind w:firstLine="480"/>
              <w:rPr>
                <w:rFonts w:hint="eastAsia" w:cs="Times New Roman"/>
                <w:color w:val="auto"/>
                <w:lang w:eastAsia="zh-CN"/>
              </w:rPr>
            </w:pPr>
            <w:r>
              <w:rPr>
                <w:rFonts w:hint="eastAsia" w:cs="Times New Roman"/>
                <w:color w:val="auto"/>
                <w:lang w:eastAsia="zh-CN"/>
              </w:rPr>
              <w:t>②继续清理施工现场，恢复地貌、地表植被及绿化。</w:t>
            </w:r>
          </w:p>
          <w:p w14:paraId="6793AAF0">
            <w:pPr>
              <w:pStyle w:val="32"/>
              <w:ind w:firstLine="480"/>
              <w:rPr>
                <w:rFonts w:hint="eastAsia" w:cs="Times New Roman"/>
                <w:color w:val="auto"/>
                <w:lang w:eastAsia="zh-CN"/>
              </w:rPr>
            </w:pPr>
            <w:r>
              <w:rPr>
                <w:rFonts w:hint="eastAsia" w:cs="Times New Roman"/>
                <w:color w:val="auto"/>
                <w:lang w:eastAsia="zh-CN"/>
              </w:rPr>
              <w:t>（4）竣工验收</w:t>
            </w:r>
          </w:p>
          <w:p w14:paraId="13AD064E">
            <w:pPr>
              <w:pStyle w:val="32"/>
              <w:ind w:firstLine="480"/>
              <w:rPr>
                <w:rFonts w:hint="eastAsia" w:cs="Times New Roman"/>
                <w:color w:val="auto"/>
                <w:lang w:eastAsia="zh-CN"/>
              </w:rPr>
            </w:pPr>
            <w:r>
              <w:rPr>
                <w:rFonts w:hint="eastAsia" w:cs="Times New Roman"/>
                <w:color w:val="auto"/>
                <w:lang w:eastAsia="zh-CN"/>
              </w:rPr>
              <w:t>待上述工程全部完成，并运行稳定后进行竣工验收。</w:t>
            </w:r>
          </w:p>
          <w:p w14:paraId="560042BD">
            <w:pPr>
              <w:pStyle w:val="32"/>
              <w:ind w:firstLine="480"/>
              <w:rPr>
                <w:rFonts w:hint="eastAsia" w:cs="Times New Roman"/>
                <w:color w:val="auto"/>
                <w:lang w:eastAsia="zh-CN"/>
              </w:rPr>
            </w:pPr>
            <w:r>
              <w:rPr>
                <w:rFonts w:hint="eastAsia" w:cs="Times New Roman"/>
                <w:color w:val="auto"/>
                <w:lang w:eastAsia="zh-CN"/>
              </w:rPr>
              <w:t>综上，本项目使用的管道均为预制，可直接安装，不需要现场刷漆喷涂，仅在焊接施工中对少量需要补漆处进行喷涂，挥发性废气量较小。管道及管廊施工过程中产生少量的污染物包括：施工扬尘、焊接烟尘，补漆废气，试压废水、生活污水，废焊条、废油漆桶</w:t>
            </w:r>
            <w:r>
              <w:rPr>
                <w:rFonts w:hint="eastAsia" w:cs="Times New Roman"/>
                <w:color w:val="auto"/>
                <w:lang w:val="en-US" w:eastAsia="zh-CN"/>
              </w:rPr>
              <w:t>/刷以</w:t>
            </w:r>
            <w:r>
              <w:rPr>
                <w:rFonts w:hint="eastAsia" w:cs="Times New Roman"/>
                <w:color w:val="auto"/>
                <w:lang w:eastAsia="zh-CN"/>
              </w:rPr>
              <w:t>及施工噪声。</w:t>
            </w:r>
          </w:p>
          <w:p w14:paraId="30BB8DAD">
            <w:pPr>
              <w:pStyle w:val="32"/>
              <w:ind w:firstLine="482"/>
              <w:rPr>
                <w:rFonts w:hint="eastAsia" w:cs="Times New Roman"/>
                <w:b/>
                <w:bCs/>
                <w:color w:val="auto"/>
                <w:lang w:val="en-US" w:eastAsia="zh-CN"/>
              </w:rPr>
            </w:pPr>
            <w:r>
              <w:rPr>
                <w:rFonts w:hint="eastAsia" w:cs="Times New Roman"/>
                <w:b/>
                <w:bCs/>
                <w:color w:val="auto"/>
                <w:lang w:val="en-US" w:eastAsia="zh-CN"/>
              </w:rPr>
              <w:t>2.4.2 建设周期</w:t>
            </w:r>
          </w:p>
          <w:p w14:paraId="77DAE211">
            <w:pPr>
              <w:pStyle w:val="32"/>
              <w:ind w:firstLine="482"/>
              <w:rPr>
                <w:rFonts w:hint="default" w:cs="Times New Roman"/>
                <w:b w:val="0"/>
                <w:bCs w:val="0"/>
                <w:color w:val="auto"/>
                <w:lang w:val="en-US" w:eastAsia="zh-CN"/>
              </w:rPr>
            </w:pPr>
            <w:r>
              <w:rPr>
                <w:rFonts w:hint="default" w:cs="Times New Roman"/>
                <w:b w:val="0"/>
                <w:bCs w:val="0"/>
                <w:color w:val="auto"/>
                <w:lang w:val="en-US" w:eastAsia="zh-CN"/>
              </w:rPr>
              <w:t>根据建设单位提供的资料，本项目管道建设总工期约</w:t>
            </w:r>
            <w:r>
              <w:rPr>
                <w:rFonts w:hint="eastAsia" w:cs="Times New Roman"/>
                <w:b w:val="0"/>
                <w:bCs w:val="0"/>
                <w:color w:val="auto"/>
                <w:lang w:val="en-US" w:eastAsia="zh-CN"/>
              </w:rPr>
              <w:t>1</w:t>
            </w:r>
            <w:r>
              <w:rPr>
                <w:rFonts w:hint="default" w:cs="Times New Roman"/>
                <w:b w:val="0"/>
                <w:bCs w:val="0"/>
                <w:color w:val="auto"/>
                <w:lang w:val="en-US" w:eastAsia="zh-CN"/>
              </w:rPr>
              <w:t>个月。</w:t>
            </w:r>
          </w:p>
        </w:tc>
      </w:tr>
      <w:tr w14:paraId="7307F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noWrap w:val="0"/>
            <w:vAlign w:val="center"/>
          </w:tcPr>
          <w:p w14:paraId="62E6F675">
            <w:pPr>
              <w:pStyle w:val="34"/>
              <w:rPr>
                <w:rFonts w:hint="eastAsia" w:ascii="Times New Roman" w:hAnsi="Times New Roman" w:eastAsia="仿宋_GB2312" w:cs="Times New Roman"/>
                <w:color w:val="auto"/>
                <w:lang w:val="en-US" w:eastAsia="zh-CN"/>
              </w:rPr>
            </w:pPr>
            <w:r>
              <w:rPr>
                <w:rFonts w:hint="eastAsia" w:cs="Times New Roman"/>
                <w:color w:val="auto"/>
                <w:lang w:val="en-US" w:eastAsia="zh-CN"/>
              </w:rPr>
              <w:t>其他</w:t>
            </w:r>
          </w:p>
        </w:tc>
        <w:tc>
          <w:tcPr>
            <w:tcW w:w="8236" w:type="dxa"/>
            <w:noWrap w:val="0"/>
            <w:vAlign w:val="top"/>
          </w:tcPr>
          <w:p w14:paraId="7E81754D">
            <w:pPr>
              <w:pStyle w:val="32"/>
              <w:ind w:firstLine="480"/>
              <w:rPr>
                <w:rFonts w:hint="default" w:ascii="Times New Roman" w:hAnsi="Times New Roman" w:eastAsia="仿宋_GB2312" w:cs="Times New Roman"/>
                <w:color w:val="auto"/>
              </w:rPr>
            </w:pPr>
            <w:r>
              <w:rPr>
                <w:rFonts w:hint="eastAsia" w:cs="Times New Roman"/>
                <w:color w:val="auto"/>
                <w:lang w:val="en-US" w:eastAsia="zh-CN"/>
              </w:rPr>
              <w:t>本项目管线拟依托园区既有公共管廊及管墩，分别采用管廊架空敷设与管墩敷设方式</w:t>
            </w:r>
            <w:r>
              <w:rPr>
                <w:rFonts w:hint="default" w:ascii="Times New Roman" w:hAnsi="Times New Roman" w:eastAsia="仿宋_GB2312" w:cs="Times New Roman"/>
                <w:color w:val="auto"/>
              </w:rPr>
              <w:t>，项目管廊</w:t>
            </w:r>
            <w:r>
              <w:rPr>
                <w:rFonts w:hint="eastAsia" w:cs="Times New Roman"/>
                <w:color w:val="auto"/>
                <w:lang w:eastAsia="zh-CN"/>
              </w:rPr>
              <w:t>、</w:t>
            </w:r>
            <w:r>
              <w:rPr>
                <w:rFonts w:hint="eastAsia" w:cs="Times New Roman"/>
                <w:color w:val="auto"/>
                <w:lang w:val="en-US" w:eastAsia="zh-CN"/>
              </w:rPr>
              <w:t>管墩</w:t>
            </w:r>
            <w:r>
              <w:rPr>
                <w:rFonts w:hint="default" w:ascii="Times New Roman" w:hAnsi="Times New Roman" w:eastAsia="仿宋_GB2312" w:cs="Times New Roman"/>
                <w:color w:val="auto"/>
              </w:rPr>
              <w:t>管位方案已确定，不涉及方案比选。</w:t>
            </w:r>
          </w:p>
        </w:tc>
      </w:tr>
    </w:tbl>
    <w:p w14:paraId="14705E9D">
      <w:pPr>
        <w:pStyle w:val="28"/>
        <w:spacing w:before="24" w:after="24"/>
        <w:rPr>
          <w:rFonts w:hint="default" w:ascii="Times New Roman" w:hAnsi="Times New Roman" w:eastAsia="仿宋_GB2312" w:cs="Times New Roman"/>
          <w:snapToGrid w:val="0"/>
          <w:szCs w:val="30"/>
        </w:rPr>
      </w:pPr>
      <w:r>
        <w:rPr>
          <w:rFonts w:hint="default" w:ascii="Times New Roman" w:hAnsi="Times New Roman" w:eastAsia="仿宋_GB2312" w:cs="Times New Roman"/>
          <w:b/>
          <w:bCs w:val="0"/>
        </w:rPr>
        <w:br w:type="page"/>
      </w:r>
      <w:bookmarkStart w:id="6" w:name="_Toc17294"/>
      <w:r>
        <w:rPr>
          <w:rStyle w:val="18"/>
          <w:rFonts w:hint="default" w:ascii="Times New Roman" w:hAnsi="Times New Roman" w:eastAsia="仿宋_GB2312" w:cs="Times New Roman"/>
          <w:bCs w:val="0"/>
        </w:rPr>
        <w:t>三、生态环境现状、保护目标及评价标准</w:t>
      </w:r>
      <w:bookmarkEnd w:id="6"/>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7724"/>
      </w:tblGrid>
      <w:tr w14:paraId="18D7D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91" w:hRule="atLeast"/>
          <w:jc w:val="center"/>
        </w:trPr>
        <w:tc>
          <w:tcPr>
            <w:tcW w:w="798" w:type="dxa"/>
            <w:noWrap w:val="0"/>
            <w:vAlign w:val="center"/>
          </w:tcPr>
          <w:p w14:paraId="18BE5EEF">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生态环境现状</w:t>
            </w:r>
          </w:p>
        </w:tc>
        <w:tc>
          <w:tcPr>
            <w:tcW w:w="7724" w:type="dxa"/>
            <w:noWrap w:val="0"/>
            <w:vAlign w:val="center"/>
          </w:tcPr>
          <w:p w14:paraId="6CCCDCA0">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cs="Times New Roman"/>
                <w:b/>
                <w:bCs/>
                <w:color w:val="auto"/>
                <w:lang w:val="en-US" w:eastAsia="zh-CN"/>
              </w:rPr>
            </w:pPr>
            <w:r>
              <w:rPr>
                <w:rFonts w:hint="eastAsia" w:cs="Times New Roman"/>
                <w:b/>
                <w:bCs/>
                <w:color w:val="auto"/>
                <w:lang w:val="en-US" w:eastAsia="zh-CN"/>
              </w:rPr>
              <w:t>3.1.1 主体功能区规划情况</w:t>
            </w:r>
          </w:p>
          <w:p w14:paraId="7BA7CCDD">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color w:val="auto"/>
                <w:lang w:eastAsia="zh-CN"/>
              </w:rPr>
              <w:t>《</w:t>
            </w:r>
            <w:r>
              <w:rPr>
                <w:rFonts w:hint="default" w:ascii="Times New Roman" w:hAnsi="Times New Roman" w:eastAsia="仿宋_GB2312" w:cs="Times New Roman"/>
                <w:color w:val="auto"/>
              </w:rPr>
              <w:t>安徽省主体功能区规划</w:t>
            </w:r>
            <w:r>
              <w:rPr>
                <w:rFonts w:hint="eastAsia" w:cs="Times New Roman"/>
                <w:color w:val="auto"/>
                <w:lang w:eastAsia="zh-CN"/>
              </w:rPr>
              <w:t>》</w:t>
            </w:r>
            <w:r>
              <w:rPr>
                <w:rFonts w:hint="default" w:ascii="Times New Roman" w:hAnsi="Times New Roman" w:eastAsia="仿宋_GB2312" w:cs="Times New Roman"/>
                <w:color w:val="auto"/>
              </w:rPr>
              <w:t>中将全省国土空间划分为重点开发、限制开发和禁止开发三类主体功能区。根据</w:t>
            </w:r>
            <w:r>
              <w:rPr>
                <w:rFonts w:hint="eastAsia" w:cs="Times New Roman"/>
                <w:color w:val="auto"/>
                <w:lang w:eastAsia="zh-CN"/>
              </w:rPr>
              <w:t>《</w:t>
            </w:r>
            <w:r>
              <w:rPr>
                <w:rFonts w:hint="default" w:ascii="Times New Roman" w:hAnsi="Times New Roman" w:eastAsia="仿宋_GB2312" w:cs="Times New Roman"/>
                <w:color w:val="auto"/>
              </w:rPr>
              <w:t>安徽濉溪经济开发区总体发展规划</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2023~2035年</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环境影响报告书</w:t>
            </w:r>
            <w:r>
              <w:rPr>
                <w:rFonts w:hint="eastAsia" w:cs="Times New Roman"/>
                <w:color w:val="auto"/>
                <w:lang w:eastAsia="zh-CN"/>
              </w:rPr>
              <w:t>》</w:t>
            </w:r>
            <w:r>
              <w:rPr>
                <w:rFonts w:hint="default" w:ascii="Times New Roman" w:hAnsi="Times New Roman" w:eastAsia="仿宋_GB2312" w:cs="Times New Roman"/>
                <w:color w:val="auto"/>
              </w:rPr>
              <w:t>，安徽濉溪经济开发区规划范围及现状建成区</w:t>
            </w:r>
            <w:r>
              <w:rPr>
                <w:rFonts w:hint="eastAsia" w:cs="Times New Roman"/>
                <w:color w:val="auto"/>
                <w:lang w:eastAsia="zh-CN"/>
              </w:rPr>
              <w:t>，</w:t>
            </w:r>
            <w:r>
              <w:rPr>
                <w:rFonts w:hint="default" w:ascii="Times New Roman" w:hAnsi="Times New Roman" w:eastAsia="仿宋_GB2312" w:cs="Times New Roman"/>
                <w:color w:val="auto"/>
              </w:rPr>
              <w:t>不涉及安徽省主体功能区规划划定的限制、禁止开发区域</w:t>
            </w:r>
            <w:r>
              <w:rPr>
                <w:rFonts w:hint="eastAsia" w:cs="Times New Roman"/>
                <w:color w:val="auto"/>
                <w:lang w:eastAsia="zh-CN"/>
              </w:rPr>
              <w:t>；</w:t>
            </w:r>
            <w:r>
              <w:rPr>
                <w:rFonts w:hint="default" w:ascii="Times New Roman" w:hAnsi="Times New Roman" w:eastAsia="仿宋_GB2312" w:cs="Times New Roman"/>
                <w:color w:val="auto"/>
              </w:rPr>
              <w:t>开发区现状及规划主导产业基本符合</w:t>
            </w:r>
            <w:r>
              <w:rPr>
                <w:rFonts w:hint="eastAsia" w:cs="Times New Roman"/>
                <w:color w:val="auto"/>
                <w:lang w:eastAsia="zh-CN"/>
              </w:rPr>
              <w:t>《</w:t>
            </w:r>
            <w:r>
              <w:rPr>
                <w:rFonts w:hint="default" w:ascii="Times New Roman" w:hAnsi="Times New Roman" w:eastAsia="仿宋_GB2312" w:cs="Times New Roman"/>
                <w:color w:val="auto"/>
              </w:rPr>
              <w:t>安徽省主体功能区规划</w:t>
            </w:r>
            <w:r>
              <w:rPr>
                <w:rFonts w:hint="eastAsia" w:cs="Times New Roman"/>
                <w:color w:val="auto"/>
                <w:lang w:eastAsia="zh-CN"/>
              </w:rPr>
              <w:t>》</w:t>
            </w:r>
            <w:r>
              <w:rPr>
                <w:rFonts w:hint="default" w:ascii="Times New Roman" w:hAnsi="Times New Roman" w:eastAsia="仿宋_GB2312" w:cs="Times New Roman"/>
                <w:color w:val="auto"/>
              </w:rPr>
              <w:t>主体功能定位要求。</w:t>
            </w:r>
          </w:p>
          <w:p w14:paraId="72EE8F57">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cs="Times New Roman"/>
                <w:b/>
                <w:bCs/>
                <w:color w:val="auto"/>
                <w:lang w:val="en-US" w:eastAsia="zh-CN"/>
              </w:rPr>
            </w:pPr>
            <w:r>
              <w:rPr>
                <w:rFonts w:hint="eastAsia" w:cs="Times New Roman"/>
                <w:b/>
                <w:bCs/>
                <w:color w:val="auto"/>
                <w:lang w:val="en-US" w:eastAsia="zh-CN"/>
              </w:rPr>
              <w:t>3.1.2 生态功能区划情况</w:t>
            </w:r>
          </w:p>
          <w:p w14:paraId="3DFF86B7">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cs="Times New Roman"/>
                <w:b w:val="0"/>
                <w:bCs w:val="0"/>
                <w:color w:val="auto"/>
                <w:lang w:val="en-US" w:eastAsia="zh-CN"/>
              </w:rPr>
            </w:pPr>
            <w:r>
              <w:rPr>
                <w:rFonts w:hint="eastAsia" w:cs="Times New Roman"/>
                <w:b w:val="0"/>
                <w:bCs w:val="0"/>
                <w:color w:val="auto"/>
                <w:lang w:val="en-US" w:eastAsia="zh-CN"/>
              </w:rPr>
              <w:t>根据《安徽省生态功能区划》，项目所在地生态功能区划属于濉宿煤炭开采、塌陷恢复与生态保护生态功能区，该功能区位于萧砀黄泛平原风蚀控制与林果农业生态功能区南侧，主要包括淮北市、萧县南部及濉溪县地区，面积573.9km</w:t>
            </w:r>
            <w:r>
              <w:rPr>
                <w:rFonts w:hint="eastAsia" w:cs="Times New Roman"/>
                <w:b w:val="0"/>
                <w:bCs w:val="0"/>
                <w:color w:val="auto"/>
                <w:vertAlign w:val="superscript"/>
                <w:lang w:val="en-US" w:eastAsia="zh-CN"/>
              </w:rPr>
              <w:t>2</w:t>
            </w:r>
            <w:r>
              <w:rPr>
                <w:rFonts w:hint="eastAsia" w:cs="Times New Roman"/>
                <w:b w:val="0"/>
                <w:bCs w:val="0"/>
                <w:color w:val="auto"/>
                <w:lang w:val="en-US" w:eastAsia="zh-CN"/>
              </w:rPr>
              <w:t>。</w:t>
            </w:r>
          </w:p>
          <w:p w14:paraId="6F030C90">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cs="Times New Roman"/>
                <w:b w:val="0"/>
                <w:bCs w:val="0"/>
                <w:color w:val="auto"/>
                <w:lang w:val="en-US" w:eastAsia="zh-CN"/>
              </w:rPr>
            </w:pPr>
            <w:r>
              <w:rPr>
                <w:rFonts w:hint="eastAsia" w:cs="Times New Roman"/>
                <w:b w:val="0"/>
                <w:bCs w:val="0"/>
                <w:color w:val="auto"/>
                <w:lang w:val="en-US" w:eastAsia="zh-CN"/>
              </w:rPr>
              <w:t>本项目位于</w:t>
            </w:r>
            <w:r>
              <w:rPr>
                <w:rFonts w:hint="eastAsia" w:ascii="Times New Roman" w:hAnsi="Times New Roman" w:eastAsia="仿宋_GB2312" w:cs="Times New Roman"/>
                <w:color w:val="auto"/>
                <w:lang w:val="en-US" w:eastAsia="zh-CN"/>
              </w:rPr>
              <w:t>安徽（淮北）新型煤化工合成新材料基地</w:t>
            </w:r>
            <w:r>
              <w:rPr>
                <w:rFonts w:hint="eastAsia" w:cs="Times New Roman"/>
                <w:color w:val="auto"/>
                <w:lang w:val="en-US" w:eastAsia="zh-CN"/>
              </w:rPr>
              <w:t>内，管线沿线及周边以工业企业和城市绿地为主，不涉及生态敏感区。</w:t>
            </w:r>
          </w:p>
          <w:p w14:paraId="3AED5BF3">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cs="Times New Roman"/>
                <w:b/>
                <w:bCs/>
                <w:color w:val="auto"/>
                <w:lang w:val="en-US" w:eastAsia="zh-CN"/>
              </w:rPr>
            </w:pPr>
            <w:r>
              <w:rPr>
                <w:rFonts w:hint="eastAsia" w:cs="Times New Roman"/>
                <w:b/>
                <w:bCs/>
                <w:color w:val="auto"/>
                <w:lang w:val="en-US" w:eastAsia="zh-CN"/>
              </w:rPr>
              <w:t>3.1.3 生态环境质量现状</w:t>
            </w:r>
          </w:p>
          <w:p w14:paraId="2B8BE9B1">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cs="Times New Roman"/>
                <w:b/>
                <w:bCs/>
                <w:color w:val="auto"/>
                <w:lang w:val="en-US" w:eastAsia="zh-CN"/>
              </w:rPr>
            </w:pPr>
            <w:r>
              <w:rPr>
                <w:rFonts w:hint="eastAsia" w:cs="Times New Roman"/>
                <w:b/>
                <w:bCs/>
                <w:color w:val="auto"/>
                <w:lang w:val="en-US" w:eastAsia="zh-CN"/>
              </w:rPr>
              <w:t>3.1.3.1 陆生生态环境现状</w:t>
            </w:r>
          </w:p>
          <w:p w14:paraId="434249F5">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cs="Times New Roman"/>
                <w:b/>
                <w:bCs/>
                <w:color w:val="auto"/>
                <w:lang w:val="en-US" w:eastAsia="zh-CN"/>
              </w:rPr>
            </w:pPr>
            <w:r>
              <w:rPr>
                <w:rFonts w:hint="eastAsia" w:cs="Times New Roman"/>
                <w:b/>
                <w:bCs/>
                <w:color w:val="auto"/>
                <w:lang w:val="en-US" w:eastAsia="zh-CN"/>
              </w:rPr>
              <w:t>（1）陆生植物</w:t>
            </w:r>
          </w:p>
          <w:p w14:paraId="481D53BB">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淮北市在地理区划上属于暖温带落叶阔叶林植被带，原生植被类型以落叶栎类、刺槐、杨树等为主。濉溪县境内地势平坦，土地垦殖率高，主要植被类型包括：</w:t>
            </w:r>
          </w:p>
          <w:p w14:paraId="2CF7372C">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农田植被：以小麦、玉米、大豆、棉花、油菜等旱作作物为主，为区域最主要的土地利用类型。</w:t>
            </w:r>
          </w:p>
          <w:p w14:paraId="49AE6C56">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人工林及绿化植被：常见树种包括杨树、刺槐、泡桐、侧柏、女贞、悬铃木等，道路与河渠周边多植柳树、紫叶李、大叶黄杨等绿化树种。</w:t>
            </w:r>
          </w:p>
          <w:p w14:paraId="796AD713">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次生草本植被：荒地、田埂、路边广泛分布狗尾草、稗草、苍耳、蓟、蒿类、蒲公英、马唐、苋菜等常见草本植物。</w:t>
            </w:r>
          </w:p>
          <w:p w14:paraId="07B575E5">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河岸与洼地植被：沿河及低湿处可见芦苇、香蒲、莎草、藨草等湿生或水生植物群落。</w:t>
            </w:r>
          </w:p>
          <w:p w14:paraId="42FCC12B">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项目所在</w:t>
            </w:r>
            <w:r>
              <w:rPr>
                <w:rFonts w:hint="eastAsia" w:ascii="Times New Roman" w:hAnsi="Times New Roman" w:eastAsia="仿宋_GB2312" w:cs="Times New Roman"/>
                <w:color w:val="auto"/>
                <w:lang w:val="en-US" w:eastAsia="zh-CN"/>
              </w:rPr>
              <w:t>安徽（淮北）新型煤化工合成新材料基地</w:t>
            </w:r>
            <w:r>
              <w:rPr>
                <w:rFonts w:hint="eastAsia" w:cs="Times New Roman"/>
                <w:b w:val="0"/>
                <w:bCs w:val="0"/>
                <w:color w:val="auto"/>
                <w:lang w:val="en-US" w:eastAsia="zh-CN"/>
              </w:rPr>
              <w:t>为工业开发区，现状陆地植被主要为人工绿化植被。</w:t>
            </w:r>
          </w:p>
          <w:p w14:paraId="151FE9DF">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bCs/>
                <w:color w:val="auto"/>
                <w:lang w:val="en-US" w:eastAsia="zh-CN"/>
              </w:rPr>
            </w:pPr>
            <w:r>
              <w:rPr>
                <w:rFonts w:hint="eastAsia" w:cs="Times New Roman"/>
                <w:b/>
                <w:bCs/>
                <w:color w:val="auto"/>
                <w:lang w:val="en-US" w:eastAsia="zh-CN"/>
              </w:rPr>
              <w:t>2）陆生动物</w:t>
            </w:r>
          </w:p>
          <w:p w14:paraId="542A311D">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淮北市及濉溪县野生动物区系属古北界华北区，兼有部分东洋界成分渗透。根据区域调查及相关志书记载，评价范围内陆生脊椎动物主要包括：</w:t>
            </w:r>
          </w:p>
          <w:p w14:paraId="73C0DD24">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鸟类：常见种类有麻雀、喜鹊、灰喜鹊、家燕、金腰燕、戴胜、珠颈斑鸠、雉鸡等，迁徙季节可见多种雁鸭类、鹭类途经水域栖息。</w:t>
            </w:r>
          </w:p>
          <w:p w14:paraId="609BCB52">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哺乳类：以小型兽类为主，如草兔、黄鼬、刺猬、黑线姬鼠、小家鼠等，偶有貉、狗獾等活动于农田林地边缘。</w:t>
            </w:r>
          </w:p>
          <w:p w14:paraId="6B011D24">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两栖爬行类：常见中华蟾蜍、泽陆蛙、黑斑侧褶蛙等两栖动物，以及中华鳖、多疣壁虎、赤链蛇、王锦蛇等爬行类。</w:t>
            </w:r>
          </w:p>
          <w:p w14:paraId="39562676">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其他动物：昆虫、蛛形类等无脊椎动物种类较为丰富，与农田生态系统密切相关。</w:t>
            </w:r>
          </w:p>
          <w:p w14:paraId="6C9B7830">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val="0"/>
                <w:bCs w:val="0"/>
                <w:color w:val="auto"/>
                <w:lang w:val="en-US" w:eastAsia="zh-CN"/>
              </w:rPr>
            </w:pPr>
            <w:r>
              <w:rPr>
                <w:rFonts w:hint="eastAsia" w:cs="Times New Roman"/>
                <w:b w:val="0"/>
                <w:bCs w:val="0"/>
                <w:color w:val="auto"/>
                <w:lang w:val="en-US" w:eastAsia="zh-CN"/>
              </w:rPr>
              <w:t>本项目为管道线性工程，工程所在地块均为城市工业用地，主要分布陆生动物多为鼠类、蛇类等野生动物，无国家、省级保护动物分布。</w:t>
            </w:r>
          </w:p>
          <w:p w14:paraId="754370E4">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cs="Times New Roman"/>
                <w:b/>
                <w:bCs/>
                <w:color w:val="auto"/>
                <w:lang w:val="en-US" w:eastAsia="zh-CN"/>
              </w:rPr>
            </w:pPr>
            <w:r>
              <w:rPr>
                <w:rFonts w:hint="eastAsia" w:cs="Times New Roman"/>
                <w:b/>
                <w:bCs/>
                <w:color w:val="auto"/>
                <w:lang w:val="en-US" w:eastAsia="zh-CN"/>
              </w:rPr>
              <w:t>3.1.4 区域环境质量现状</w:t>
            </w:r>
          </w:p>
          <w:p w14:paraId="2CA3C6A5">
            <w:pPr>
              <w:pStyle w:val="32"/>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bCs/>
                <w:color w:val="auto"/>
                <w:lang w:val="en-US" w:eastAsia="zh-CN"/>
              </w:rPr>
            </w:pPr>
            <w:r>
              <w:rPr>
                <w:rFonts w:hint="eastAsia" w:cs="Times New Roman"/>
                <w:b/>
                <w:bCs/>
                <w:color w:val="auto"/>
                <w:lang w:val="en-US" w:eastAsia="zh-CN"/>
              </w:rPr>
              <w:t>3.1.4.1 大气环境质量现状</w:t>
            </w:r>
          </w:p>
          <w:p w14:paraId="6A2FA37C">
            <w:pPr>
              <w:pStyle w:val="32"/>
              <w:ind w:firstLine="480"/>
              <w:rPr>
                <w:rFonts w:hint="eastAsia" w:cs="Times New Roman"/>
                <w:color w:val="auto"/>
                <w:lang w:val="en-US" w:eastAsia="zh-CN"/>
              </w:rPr>
            </w:pPr>
            <w:r>
              <w:rPr>
                <w:rFonts w:hint="eastAsia" w:cs="Times New Roman"/>
                <w:color w:val="auto"/>
                <w:lang w:val="en-US" w:eastAsia="zh-CN"/>
              </w:rPr>
              <w:t>根据《2024年度淮北市生态环境状况公报》，2024年城市环境空气中：二氧化硫年均值为6微克/立方米，符合国家一级标准。日均值范围为2~15微克/立方米，日均值达标率100%；二氧化氮年均值为19微克/立方米，符合国家一级标准。日均值范围为2~59微克/立方米，日均值达标率100%；一氧化碳年日均第95百分位数为1.0毫克/立方米</w:t>
            </w:r>
            <w:r>
              <w:rPr>
                <w:rFonts w:hint="eastAsia" w:cs="Times New Roman"/>
                <w:color w:val="auto"/>
                <w:highlight w:val="none"/>
                <w:lang w:val="en-US" w:eastAsia="zh-CN"/>
              </w:rPr>
              <w:t>，符合国家二级标准。</w:t>
            </w:r>
            <w:r>
              <w:rPr>
                <w:rFonts w:hint="eastAsia" w:cs="Times New Roman"/>
                <w:color w:val="auto"/>
                <w:lang w:val="en-US" w:eastAsia="zh-CN"/>
              </w:rPr>
              <w:t>日均值范围为0.3~1.2毫克/立方米，日均值达标率100%；臭氧年日最大8小时滑动平均值第90百分位数为175微克/立方米</w:t>
            </w:r>
            <w:r>
              <w:rPr>
                <w:rFonts w:hint="eastAsia" w:cs="Times New Roman"/>
                <w:color w:val="auto"/>
                <w:highlight w:val="none"/>
                <w:lang w:val="en-US" w:eastAsia="zh-CN"/>
              </w:rPr>
              <w:t>，超过国家二级标准</w:t>
            </w:r>
            <w:r>
              <w:rPr>
                <w:rFonts w:hint="eastAsia" w:cs="Times New Roman"/>
                <w:color w:val="auto"/>
                <w:lang w:val="en-US" w:eastAsia="zh-CN"/>
              </w:rPr>
              <w:t>。日最大8小时滑动平均值范围在29~254微克/立方米之间，最大值超标0.59倍，日最大8小时滑动平均值达标率83.6%；可吸入颗粒物扣除沙尘影响后年均值为70微克/立方米，符合国家二级标准要求。日均值范围在12~336微克/立方米之间，最大日平均浓度超标1.24倍，日均值达标率92.9%；细颗粒物年均值为43微克/立方米，超</w:t>
            </w:r>
            <w:r>
              <w:rPr>
                <w:rFonts w:hint="eastAsia" w:cs="Times New Roman"/>
                <w:color w:val="auto"/>
                <w:highlight w:val="none"/>
                <w:lang w:val="en-US" w:eastAsia="zh-CN"/>
              </w:rPr>
              <w:t>过国家二级标准</w:t>
            </w:r>
            <w:r>
              <w:rPr>
                <w:rFonts w:hint="eastAsia" w:cs="Times New Roman"/>
                <w:color w:val="auto"/>
                <w:lang w:val="en-US" w:eastAsia="zh-CN"/>
              </w:rPr>
              <w:t>0.23倍。日均值范围在6~283微克/立方米之间，最大日平均浓度超标2.77倍，日均值达标率87.4%。</w:t>
            </w:r>
          </w:p>
          <w:p w14:paraId="3E6DA6D2">
            <w:pPr>
              <w:pStyle w:val="32"/>
              <w:ind w:firstLine="480"/>
              <w:rPr>
                <w:rFonts w:hint="eastAsia" w:cs="Times New Roman"/>
                <w:color w:val="auto"/>
                <w:lang w:val="en-US" w:eastAsia="zh-CN"/>
              </w:rPr>
            </w:pPr>
            <w:r>
              <w:rPr>
                <w:rFonts w:hint="eastAsia" w:cs="Times New Roman"/>
                <w:color w:val="auto"/>
                <w:lang w:val="en-US" w:eastAsia="zh-CN"/>
              </w:rPr>
              <w:t>根据《2024年度淮北市生态环境状况公报》中的结论，淮北市属于空气质量不达标区，不达标因子为PM</w:t>
            </w:r>
            <w:r>
              <w:rPr>
                <w:rFonts w:hint="eastAsia" w:cs="Times New Roman"/>
                <w:color w:val="auto"/>
                <w:vertAlign w:val="subscript"/>
                <w:lang w:val="en-US" w:eastAsia="zh-CN"/>
              </w:rPr>
              <w:t>2.5</w:t>
            </w:r>
            <w:r>
              <w:rPr>
                <w:rFonts w:hint="eastAsia" w:cs="Times New Roman"/>
                <w:color w:val="auto"/>
                <w:lang w:val="en-US" w:eastAsia="zh-CN"/>
              </w:rPr>
              <w:t>、O</w:t>
            </w:r>
            <w:r>
              <w:rPr>
                <w:rFonts w:hint="eastAsia" w:cs="Times New Roman"/>
                <w:color w:val="auto"/>
                <w:vertAlign w:val="subscript"/>
                <w:lang w:val="en-US" w:eastAsia="zh-CN"/>
              </w:rPr>
              <w:t>3</w:t>
            </w:r>
            <w:r>
              <w:rPr>
                <w:rFonts w:hint="eastAsia" w:cs="Times New Roman"/>
                <w:color w:val="auto"/>
                <w:lang w:val="en-US" w:eastAsia="zh-CN"/>
              </w:rPr>
              <w:t>。对照《环境空气质量标准》（GB3095-2026）过渡期标准，淮北市属于空气质量不达标区，不达标因子为PM</w:t>
            </w:r>
            <w:r>
              <w:rPr>
                <w:rFonts w:hint="eastAsia" w:cs="Times New Roman"/>
                <w:color w:val="auto"/>
                <w:vertAlign w:val="subscript"/>
                <w:lang w:val="en-US" w:eastAsia="zh-CN"/>
              </w:rPr>
              <w:t>2.5</w:t>
            </w:r>
            <w:r>
              <w:rPr>
                <w:rFonts w:hint="eastAsia" w:cs="Times New Roman"/>
                <w:color w:val="auto"/>
                <w:lang w:val="en-US" w:eastAsia="zh-CN"/>
              </w:rPr>
              <w:t>、PM</w:t>
            </w:r>
            <w:r>
              <w:rPr>
                <w:rFonts w:hint="eastAsia" w:cs="Times New Roman"/>
                <w:color w:val="auto"/>
                <w:vertAlign w:val="subscript"/>
                <w:lang w:val="en-US" w:eastAsia="zh-CN"/>
              </w:rPr>
              <w:t>10</w:t>
            </w:r>
            <w:r>
              <w:rPr>
                <w:rFonts w:hint="eastAsia" w:cs="Times New Roman"/>
                <w:color w:val="auto"/>
                <w:lang w:val="en-US" w:eastAsia="zh-CN"/>
              </w:rPr>
              <w:t>、O</w:t>
            </w:r>
            <w:r>
              <w:rPr>
                <w:rFonts w:hint="eastAsia" w:cs="Times New Roman"/>
                <w:color w:val="auto"/>
                <w:vertAlign w:val="subscript"/>
                <w:lang w:val="en-US" w:eastAsia="zh-CN"/>
              </w:rPr>
              <w:t>3</w:t>
            </w:r>
            <w:r>
              <w:rPr>
                <w:rFonts w:hint="eastAsia" w:cs="Times New Roman"/>
                <w:color w:val="auto"/>
                <w:lang w:val="en-US" w:eastAsia="zh-CN"/>
              </w:rPr>
              <w:t>。</w:t>
            </w:r>
          </w:p>
          <w:p w14:paraId="52147729">
            <w:pPr>
              <w:pStyle w:val="32"/>
              <w:ind w:firstLine="480"/>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目前，淮北市生态环境局组织编制了《淮北市大气环境质量达标规划》，将以重点行业为管控对象，秋冬季为重点管控时段，PM</w:t>
            </w:r>
            <w:r>
              <w:rPr>
                <w:rFonts w:hint="eastAsia" w:cs="Times New Roman"/>
                <w:color w:val="auto"/>
                <w:highlight w:val="none"/>
                <w:vertAlign w:val="subscript"/>
                <w:lang w:val="en-US" w:eastAsia="zh-CN"/>
              </w:rPr>
              <w:t>2.5</w:t>
            </w:r>
            <w:r>
              <w:rPr>
                <w:rFonts w:hint="eastAsia" w:cs="Times New Roman"/>
                <w:color w:val="auto"/>
                <w:highlight w:val="none"/>
                <w:lang w:val="en-US" w:eastAsia="zh-CN"/>
              </w:rPr>
              <w:t>、VOCs和NOx为主要管控因子，持续推进产业结构、能源结构、交通运输结构、用地结构等四大结构调整，推进臭氧污染治理、面源污染治理、重点行业深度减排、VOCs污染治理和重污染天气应急管控，不断提升大气污染治理能力建设，确保全面实现空气质量约束性目标。采取上述措施后，淮北市大气环境质量状况将进一步得到改善。</w:t>
            </w:r>
          </w:p>
          <w:p w14:paraId="0BF21432">
            <w:pPr>
              <w:pStyle w:val="2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w:t>
            </w:r>
            <w:r>
              <w:rPr>
                <w:rFonts w:hint="eastAsia" w:ascii="Times New Roman" w:hAnsi="Times New Roman" w:eastAsia="仿宋_GB2312" w:cs="Times New Roman"/>
                <w:color w:val="auto"/>
                <w:lang w:val="en-US" w:eastAsia="zh-CN"/>
              </w:rPr>
              <w:t>3</w:t>
            </w:r>
            <w:r>
              <w:rPr>
                <w:rFonts w:hint="eastAsia" w:eastAsia="仿宋_GB2312" w:cs="Times New Roman"/>
                <w:color w:val="auto"/>
                <w:lang w:val="en-US" w:eastAsia="zh-CN"/>
              </w:rPr>
              <w:t>.1</w:t>
            </w:r>
            <w:r>
              <w:rPr>
                <w:rFonts w:hint="default" w:ascii="Times New Roman" w:hAnsi="Times New Roman" w:eastAsia="仿宋_GB2312" w:cs="Times New Roman"/>
                <w:color w:val="auto"/>
                <w:lang w:val="zh-CN"/>
              </w:rPr>
              <w:t>-</w:t>
            </w:r>
            <w:r>
              <w:rPr>
                <w:rFonts w:hint="eastAsia" w:ascii="Times New Roman" w:hAnsi="Times New Roman" w:eastAsia="仿宋_GB2312" w:cs="Times New Roman"/>
                <w:color w:val="auto"/>
                <w:lang w:val="en-US" w:eastAsia="zh-CN"/>
              </w:rPr>
              <w:t>1</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区域环境质量现状表</w:t>
            </w:r>
            <w:r>
              <w:rPr>
                <w:rFonts w:hint="eastAsia" w:eastAsia="仿宋_GB2312" w:cs="Times New Roman"/>
                <w:color w:val="auto"/>
                <w:lang w:val="en-US" w:eastAsia="zh-CN"/>
              </w:rPr>
              <w:t>【对照《环境空气质量标准》（GB3095-2012）】</w:t>
            </w:r>
          </w:p>
          <w:tbl>
            <w:tblPr>
              <w:tblStyle w:val="14"/>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294"/>
              <w:gridCol w:w="1704"/>
              <w:gridCol w:w="1442"/>
              <w:gridCol w:w="1006"/>
              <w:gridCol w:w="1000"/>
            </w:tblGrid>
            <w:tr w14:paraId="616F79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pct"/>
                  <w:tcBorders>
                    <w:tl2br w:val="nil"/>
                    <w:tr2bl w:val="nil"/>
                  </w:tcBorders>
                  <w:noWrap w:val="0"/>
                  <w:vAlign w:val="center"/>
                </w:tcPr>
                <w:p w14:paraId="0E00A1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污染物</w:t>
                  </w:r>
                </w:p>
              </w:tc>
              <w:tc>
                <w:tcPr>
                  <w:tcW w:w="862" w:type="pct"/>
                  <w:tcBorders>
                    <w:tl2br w:val="nil"/>
                    <w:tr2bl w:val="nil"/>
                  </w:tcBorders>
                  <w:noWrap w:val="0"/>
                  <w:vAlign w:val="center"/>
                </w:tcPr>
                <w:p w14:paraId="65D9644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年评价指标</w:t>
                  </w:r>
                </w:p>
              </w:tc>
              <w:tc>
                <w:tcPr>
                  <w:tcW w:w="1135" w:type="pct"/>
                  <w:tcBorders>
                    <w:tl2br w:val="nil"/>
                    <w:tr2bl w:val="nil"/>
                  </w:tcBorders>
                  <w:noWrap w:val="0"/>
                  <w:vAlign w:val="center"/>
                </w:tcPr>
                <w:p w14:paraId="5BAC66C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现状浓度/(ug/m</w:t>
                  </w:r>
                  <w:r>
                    <w:rPr>
                      <w:rFonts w:hint="eastAsia" w:ascii="Times New Roman" w:hAnsi="Times New Roman" w:cs="Times New Roman"/>
                      <w:b/>
                      <w:bCs/>
                      <w:color w:val="auto"/>
                      <w:kern w:val="2"/>
                      <w:sz w:val="18"/>
                      <w:szCs w:val="18"/>
                      <w:vertAlign w:val="superscript"/>
                      <w:lang w:val="en-US" w:eastAsia="zh-CN" w:bidi="ar-SA"/>
                    </w:rPr>
                    <w:t>3</w:t>
                  </w:r>
                  <w:r>
                    <w:rPr>
                      <w:rFonts w:hint="eastAsia" w:ascii="Times New Roman" w:hAnsi="Times New Roman" w:cs="Times New Roman"/>
                      <w:b/>
                      <w:bCs/>
                      <w:color w:val="auto"/>
                      <w:kern w:val="2"/>
                      <w:sz w:val="18"/>
                      <w:szCs w:val="18"/>
                      <w:lang w:val="en-US" w:eastAsia="zh-CN" w:bidi="ar-SA"/>
                    </w:rPr>
                    <w:t>)</w:t>
                  </w:r>
                </w:p>
              </w:tc>
              <w:tc>
                <w:tcPr>
                  <w:tcW w:w="961" w:type="pct"/>
                  <w:tcBorders>
                    <w:tl2br w:val="nil"/>
                    <w:tr2bl w:val="nil"/>
                  </w:tcBorders>
                  <w:noWrap w:val="0"/>
                  <w:vAlign w:val="center"/>
                </w:tcPr>
                <w:p w14:paraId="530A4F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标准值/(ug/m</w:t>
                  </w:r>
                  <w:r>
                    <w:rPr>
                      <w:rFonts w:hint="eastAsia" w:ascii="Times New Roman" w:hAnsi="Times New Roman" w:cs="Times New Roman"/>
                      <w:b/>
                      <w:bCs/>
                      <w:color w:val="auto"/>
                      <w:kern w:val="2"/>
                      <w:sz w:val="18"/>
                      <w:szCs w:val="18"/>
                      <w:vertAlign w:val="superscript"/>
                      <w:lang w:val="en-US" w:eastAsia="zh-CN" w:bidi="ar-SA"/>
                    </w:rPr>
                    <w:t>3</w:t>
                  </w:r>
                  <w:r>
                    <w:rPr>
                      <w:rFonts w:hint="eastAsia" w:ascii="Times New Roman" w:hAnsi="Times New Roman" w:cs="Times New Roman"/>
                      <w:b/>
                      <w:bCs/>
                      <w:color w:val="auto"/>
                      <w:kern w:val="2"/>
                      <w:sz w:val="18"/>
                      <w:szCs w:val="18"/>
                      <w:lang w:val="en-US" w:eastAsia="zh-CN" w:bidi="ar-SA"/>
                    </w:rPr>
                    <w:t>)</w:t>
                  </w:r>
                </w:p>
              </w:tc>
              <w:tc>
                <w:tcPr>
                  <w:tcW w:w="670" w:type="pct"/>
                  <w:tcBorders>
                    <w:tl2br w:val="nil"/>
                    <w:tr2bl w:val="nil"/>
                  </w:tcBorders>
                  <w:noWrap w:val="0"/>
                  <w:vAlign w:val="center"/>
                </w:tcPr>
                <w:p w14:paraId="7BECE95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占标率%</w:t>
                  </w:r>
                </w:p>
              </w:tc>
              <w:tc>
                <w:tcPr>
                  <w:tcW w:w="666" w:type="pct"/>
                  <w:tcBorders>
                    <w:tl2br w:val="nil"/>
                    <w:tr2bl w:val="nil"/>
                  </w:tcBorders>
                  <w:noWrap w:val="0"/>
                  <w:vAlign w:val="center"/>
                </w:tcPr>
                <w:p w14:paraId="4F36541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达标情况</w:t>
                  </w:r>
                </w:p>
              </w:tc>
            </w:tr>
            <w:tr w14:paraId="3FBE25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pct"/>
                  <w:tcBorders>
                    <w:tl2br w:val="nil"/>
                    <w:tr2bl w:val="nil"/>
                  </w:tcBorders>
                  <w:noWrap w:val="0"/>
                  <w:vAlign w:val="center"/>
                </w:tcPr>
                <w:p w14:paraId="63F995E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SO</w:t>
                  </w:r>
                  <w:r>
                    <w:rPr>
                      <w:rFonts w:hint="eastAsia" w:ascii="Times New Roman" w:hAnsi="Times New Roman" w:cs="Times New Roman"/>
                      <w:color w:val="auto"/>
                      <w:kern w:val="2"/>
                      <w:sz w:val="18"/>
                      <w:szCs w:val="18"/>
                      <w:vertAlign w:val="subscript"/>
                      <w:lang w:val="en-US" w:eastAsia="zh-CN" w:bidi="ar-SA"/>
                    </w:rPr>
                    <w:t>2</w:t>
                  </w:r>
                </w:p>
              </w:tc>
              <w:tc>
                <w:tcPr>
                  <w:tcW w:w="862" w:type="pct"/>
                  <w:vMerge w:val="restart"/>
                  <w:tcBorders>
                    <w:tl2br w:val="nil"/>
                    <w:tr2bl w:val="nil"/>
                  </w:tcBorders>
                  <w:noWrap w:val="0"/>
                  <w:vAlign w:val="center"/>
                </w:tcPr>
                <w:p w14:paraId="686D0EC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年平均浓度</w:t>
                  </w:r>
                </w:p>
              </w:tc>
              <w:tc>
                <w:tcPr>
                  <w:tcW w:w="1135" w:type="pct"/>
                  <w:tcBorders>
                    <w:tl2br w:val="nil"/>
                    <w:tr2bl w:val="nil"/>
                  </w:tcBorders>
                  <w:noWrap w:val="0"/>
                  <w:vAlign w:val="center"/>
                </w:tcPr>
                <w:p w14:paraId="47D048A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6</w:t>
                  </w:r>
                </w:p>
              </w:tc>
              <w:tc>
                <w:tcPr>
                  <w:tcW w:w="961" w:type="pct"/>
                  <w:tcBorders>
                    <w:tl2br w:val="nil"/>
                    <w:tr2bl w:val="nil"/>
                  </w:tcBorders>
                  <w:noWrap w:val="0"/>
                  <w:vAlign w:val="center"/>
                </w:tcPr>
                <w:p w14:paraId="1BF51292">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60</w:t>
                  </w:r>
                </w:p>
              </w:tc>
              <w:tc>
                <w:tcPr>
                  <w:tcW w:w="670" w:type="pct"/>
                  <w:tcBorders>
                    <w:tl2br w:val="nil"/>
                    <w:tr2bl w:val="nil"/>
                  </w:tcBorders>
                  <w:noWrap w:val="0"/>
                  <w:vAlign w:val="center"/>
                </w:tcPr>
                <w:p w14:paraId="195DA61D">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10</w:t>
                  </w:r>
                </w:p>
              </w:tc>
              <w:tc>
                <w:tcPr>
                  <w:tcW w:w="666" w:type="pct"/>
                  <w:tcBorders>
                    <w:tl2br w:val="nil"/>
                    <w:tr2bl w:val="nil"/>
                  </w:tcBorders>
                  <w:noWrap w:val="0"/>
                  <w:vAlign w:val="center"/>
                </w:tcPr>
                <w:p w14:paraId="32AF76EC">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达标</w:t>
                  </w:r>
                </w:p>
              </w:tc>
            </w:tr>
            <w:tr w14:paraId="3F7E35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pct"/>
                  <w:tcBorders>
                    <w:tl2br w:val="nil"/>
                    <w:tr2bl w:val="nil"/>
                  </w:tcBorders>
                  <w:noWrap w:val="0"/>
                  <w:vAlign w:val="center"/>
                </w:tcPr>
                <w:p w14:paraId="0CAFC62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NO</w:t>
                  </w:r>
                  <w:r>
                    <w:rPr>
                      <w:rFonts w:hint="eastAsia" w:ascii="Times New Roman" w:hAnsi="Times New Roman" w:cs="Times New Roman"/>
                      <w:color w:val="auto"/>
                      <w:kern w:val="2"/>
                      <w:sz w:val="18"/>
                      <w:szCs w:val="18"/>
                      <w:vertAlign w:val="subscript"/>
                      <w:lang w:val="en-US" w:eastAsia="zh-CN" w:bidi="ar-SA"/>
                    </w:rPr>
                    <w:t>2</w:t>
                  </w:r>
                </w:p>
              </w:tc>
              <w:tc>
                <w:tcPr>
                  <w:tcW w:w="862" w:type="pct"/>
                  <w:vMerge w:val="continue"/>
                  <w:tcBorders>
                    <w:tl2br w:val="nil"/>
                    <w:tr2bl w:val="nil"/>
                  </w:tcBorders>
                  <w:noWrap w:val="0"/>
                  <w:vAlign w:val="center"/>
                </w:tcPr>
                <w:p w14:paraId="5396081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1135" w:type="pct"/>
                  <w:tcBorders>
                    <w:tl2br w:val="nil"/>
                    <w:tr2bl w:val="nil"/>
                  </w:tcBorders>
                  <w:noWrap w:val="0"/>
                  <w:vAlign w:val="center"/>
                </w:tcPr>
                <w:p w14:paraId="2CD0500C">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19</w:t>
                  </w:r>
                </w:p>
              </w:tc>
              <w:tc>
                <w:tcPr>
                  <w:tcW w:w="961" w:type="pct"/>
                  <w:tcBorders>
                    <w:tl2br w:val="nil"/>
                    <w:tr2bl w:val="nil"/>
                  </w:tcBorders>
                  <w:noWrap w:val="0"/>
                  <w:vAlign w:val="center"/>
                </w:tcPr>
                <w:p w14:paraId="1433482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40</w:t>
                  </w:r>
                </w:p>
              </w:tc>
              <w:tc>
                <w:tcPr>
                  <w:tcW w:w="670" w:type="pct"/>
                  <w:tcBorders>
                    <w:tl2br w:val="nil"/>
                    <w:tr2bl w:val="nil"/>
                  </w:tcBorders>
                  <w:noWrap w:val="0"/>
                  <w:vAlign w:val="center"/>
                </w:tcPr>
                <w:p w14:paraId="5D9D3AE4">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47.5</w:t>
                  </w:r>
                </w:p>
              </w:tc>
              <w:tc>
                <w:tcPr>
                  <w:tcW w:w="666" w:type="pct"/>
                  <w:tcBorders>
                    <w:tl2br w:val="nil"/>
                    <w:tr2bl w:val="nil"/>
                  </w:tcBorders>
                  <w:noWrap w:val="0"/>
                  <w:vAlign w:val="center"/>
                </w:tcPr>
                <w:p w14:paraId="2146B64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达标</w:t>
                  </w:r>
                </w:p>
              </w:tc>
            </w:tr>
            <w:tr w14:paraId="4AB507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pct"/>
                  <w:tcBorders>
                    <w:tl2br w:val="nil"/>
                    <w:tr2bl w:val="nil"/>
                  </w:tcBorders>
                  <w:noWrap w:val="0"/>
                  <w:vAlign w:val="center"/>
                </w:tcPr>
                <w:p w14:paraId="5AE1C2F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PM</w:t>
                  </w:r>
                  <w:r>
                    <w:rPr>
                      <w:rFonts w:hint="eastAsia" w:ascii="Times New Roman" w:hAnsi="Times New Roman" w:cs="Times New Roman"/>
                      <w:color w:val="auto"/>
                      <w:kern w:val="2"/>
                      <w:sz w:val="18"/>
                      <w:szCs w:val="18"/>
                      <w:vertAlign w:val="subscript"/>
                      <w:lang w:val="en-US" w:eastAsia="zh-CN" w:bidi="ar-SA"/>
                    </w:rPr>
                    <w:t>10</w:t>
                  </w:r>
                </w:p>
              </w:tc>
              <w:tc>
                <w:tcPr>
                  <w:tcW w:w="862" w:type="pct"/>
                  <w:vMerge w:val="continue"/>
                  <w:tcBorders>
                    <w:tl2br w:val="nil"/>
                    <w:tr2bl w:val="nil"/>
                  </w:tcBorders>
                  <w:noWrap w:val="0"/>
                  <w:vAlign w:val="center"/>
                </w:tcPr>
                <w:p w14:paraId="3F55409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1135" w:type="pct"/>
                  <w:tcBorders>
                    <w:tl2br w:val="nil"/>
                    <w:tr2bl w:val="nil"/>
                  </w:tcBorders>
                  <w:noWrap w:val="0"/>
                  <w:vAlign w:val="center"/>
                </w:tcPr>
                <w:p w14:paraId="7718B0A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70</w:t>
                  </w:r>
                </w:p>
              </w:tc>
              <w:tc>
                <w:tcPr>
                  <w:tcW w:w="961" w:type="pct"/>
                  <w:tcBorders>
                    <w:tl2br w:val="nil"/>
                    <w:tr2bl w:val="nil"/>
                  </w:tcBorders>
                  <w:noWrap w:val="0"/>
                  <w:vAlign w:val="center"/>
                </w:tcPr>
                <w:p w14:paraId="156E9EE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70</w:t>
                  </w:r>
                </w:p>
              </w:tc>
              <w:tc>
                <w:tcPr>
                  <w:tcW w:w="670" w:type="pct"/>
                  <w:tcBorders>
                    <w:tl2br w:val="nil"/>
                    <w:tr2bl w:val="nil"/>
                  </w:tcBorders>
                  <w:noWrap w:val="0"/>
                  <w:vAlign w:val="center"/>
                </w:tcPr>
                <w:p w14:paraId="63BC28E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100</w:t>
                  </w:r>
                </w:p>
              </w:tc>
              <w:tc>
                <w:tcPr>
                  <w:tcW w:w="666" w:type="pct"/>
                  <w:tcBorders>
                    <w:tl2br w:val="nil"/>
                    <w:tr2bl w:val="nil"/>
                  </w:tcBorders>
                  <w:noWrap w:val="0"/>
                  <w:vAlign w:val="center"/>
                </w:tcPr>
                <w:p w14:paraId="246D5886">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达标</w:t>
                  </w:r>
                </w:p>
              </w:tc>
            </w:tr>
            <w:tr w14:paraId="733F49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pct"/>
                  <w:tcBorders>
                    <w:tl2br w:val="nil"/>
                    <w:tr2bl w:val="nil"/>
                  </w:tcBorders>
                  <w:noWrap w:val="0"/>
                  <w:vAlign w:val="center"/>
                </w:tcPr>
                <w:p w14:paraId="43E23E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PM</w:t>
                  </w:r>
                  <w:r>
                    <w:rPr>
                      <w:rFonts w:hint="eastAsia" w:ascii="Times New Roman" w:hAnsi="Times New Roman" w:cs="Times New Roman"/>
                      <w:color w:val="auto"/>
                      <w:kern w:val="2"/>
                      <w:sz w:val="18"/>
                      <w:szCs w:val="18"/>
                      <w:vertAlign w:val="subscript"/>
                      <w:lang w:val="en-US" w:eastAsia="zh-CN" w:bidi="ar-SA"/>
                    </w:rPr>
                    <w:t>2.5</w:t>
                  </w:r>
                </w:p>
              </w:tc>
              <w:tc>
                <w:tcPr>
                  <w:tcW w:w="862" w:type="pct"/>
                  <w:vMerge w:val="continue"/>
                  <w:tcBorders>
                    <w:tl2br w:val="nil"/>
                    <w:tr2bl w:val="nil"/>
                  </w:tcBorders>
                  <w:noWrap w:val="0"/>
                  <w:vAlign w:val="center"/>
                </w:tcPr>
                <w:p w14:paraId="5E589F6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1135" w:type="pct"/>
                  <w:tcBorders>
                    <w:tl2br w:val="nil"/>
                    <w:tr2bl w:val="nil"/>
                  </w:tcBorders>
                  <w:noWrap w:val="0"/>
                  <w:vAlign w:val="center"/>
                </w:tcPr>
                <w:p w14:paraId="4DF69703">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43</w:t>
                  </w:r>
                </w:p>
              </w:tc>
              <w:tc>
                <w:tcPr>
                  <w:tcW w:w="961" w:type="pct"/>
                  <w:tcBorders>
                    <w:tl2br w:val="nil"/>
                    <w:tr2bl w:val="nil"/>
                  </w:tcBorders>
                  <w:noWrap w:val="0"/>
                  <w:vAlign w:val="center"/>
                </w:tcPr>
                <w:p w14:paraId="4CBEE906">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35</w:t>
                  </w:r>
                </w:p>
              </w:tc>
              <w:tc>
                <w:tcPr>
                  <w:tcW w:w="670" w:type="pct"/>
                  <w:tcBorders>
                    <w:tl2br w:val="nil"/>
                    <w:tr2bl w:val="nil"/>
                  </w:tcBorders>
                  <w:noWrap w:val="0"/>
                  <w:vAlign w:val="center"/>
                </w:tcPr>
                <w:p w14:paraId="34986A6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122.9</w:t>
                  </w:r>
                </w:p>
              </w:tc>
              <w:tc>
                <w:tcPr>
                  <w:tcW w:w="666" w:type="pct"/>
                  <w:tcBorders>
                    <w:tl2br w:val="nil"/>
                    <w:tr2bl w:val="nil"/>
                  </w:tcBorders>
                  <w:noWrap w:val="0"/>
                  <w:vAlign w:val="center"/>
                </w:tcPr>
                <w:p w14:paraId="24BFA06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不达标</w:t>
                  </w:r>
                </w:p>
              </w:tc>
            </w:tr>
            <w:tr w14:paraId="21119C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pct"/>
                  <w:tcBorders>
                    <w:tl2br w:val="nil"/>
                    <w:tr2bl w:val="nil"/>
                  </w:tcBorders>
                  <w:noWrap w:val="0"/>
                  <w:vAlign w:val="center"/>
                </w:tcPr>
                <w:p w14:paraId="2D830B1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CO</w:t>
                  </w:r>
                </w:p>
              </w:tc>
              <w:tc>
                <w:tcPr>
                  <w:tcW w:w="862" w:type="pct"/>
                  <w:tcBorders>
                    <w:tl2br w:val="nil"/>
                    <w:tr2bl w:val="nil"/>
                  </w:tcBorders>
                  <w:noWrap w:val="0"/>
                  <w:vAlign w:val="center"/>
                </w:tcPr>
                <w:p w14:paraId="2A25C51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日平均浓度第95百分位数</w:t>
                  </w:r>
                </w:p>
              </w:tc>
              <w:tc>
                <w:tcPr>
                  <w:tcW w:w="1135" w:type="pct"/>
                  <w:tcBorders>
                    <w:tl2br w:val="nil"/>
                    <w:tr2bl w:val="nil"/>
                  </w:tcBorders>
                  <w:noWrap w:val="0"/>
                  <w:vAlign w:val="center"/>
                </w:tcPr>
                <w:p w14:paraId="71D9E590">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1000</w:t>
                  </w:r>
                </w:p>
              </w:tc>
              <w:tc>
                <w:tcPr>
                  <w:tcW w:w="961" w:type="pct"/>
                  <w:tcBorders>
                    <w:tl2br w:val="nil"/>
                    <w:tr2bl w:val="nil"/>
                  </w:tcBorders>
                  <w:noWrap w:val="0"/>
                  <w:vAlign w:val="center"/>
                </w:tcPr>
                <w:p w14:paraId="1867237F">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4000</w:t>
                  </w:r>
                </w:p>
              </w:tc>
              <w:tc>
                <w:tcPr>
                  <w:tcW w:w="670" w:type="pct"/>
                  <w:tcBorders>
                    <w:tl2br w:val="nil"/>
                    <w:tr2bl w:val="nil"/>
                  </w:tcBorders>
                  <w:noWrap w:val="0"/>
                  <w:vAlign w:val="center"/>
                </w:tcPr>
                <w:p w14:paraId="7C75E0A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25</w:t>
                  </w:r>
                </w:p>
              </w:tc>
              <w:tc>
                <w:tcPr>
                  <w:tcW w:w="666" w:type="pct"/>
                  <w:tcBorders>
                    <w:tl2br w:val="nil"/>
                    <w:tr2bl w:val="nil"/>
                  </w:tcBorders>
                  <w:noWrap w:val="0"/>
                  <w:vAlign w:val="center"/>
                </w:tcPr>
                <w:p w14:paraId="1F7C8FBB">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达标</w:t>
                  </w:r>
                </w:p>
              </w:tc>
            </w:tr>
            <w:tr w14:paraId="6C0649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pct"/>
                  <w:tcBorders>
                    <w:tl2br w:val="nil"/>
                    <w:tr2bl w:val="nil"/>
                  </w:tcBorders>
                  <w:noWrap w:val="0"/>
                  <w:vAlign w:val="center"/>
                </w:tcPr>
                <w:p w14:paraId="786097F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O</w:t>
                  </w:r>
                  <w:r>
                    <w:rPr>
                      <w:rFonts w:hint="eastAsia" w:ascii="Times New Roman" w:hAnsi="Times New Roman" w:cs="Times New Roman"/>
                      <w:color w:val="auto"/>
                      <w:kern w:val="2"/>
                      <w:sz w:val="18"/>
                      <w:szCs w:val="18"/>
                      <w:vertAlign w:val="subscript"/>
                      <w:lang w:val="en-US" w:eastAsia="zh-CN" w:bidi="ar-SA"/>
                    </w:rPr>
                    <w:t>3</w:t>
                  </w:r>
                </w:p>
              </w:tc>
              <w:tc>
                <w:tcPr>
                  <w:tcW w:w="862" w:type="pct"/>
                  <w:tcBorders>
                    <w:tl2br w:val="nil"/>
                    <w:tr2bl w:val="nil"/>
                  </w:tcBorders>
                  <w:noWrap w:val="0"/>
                  <w:vAlign w:val="center"/>
                </w:tcPr>
                <w:p w14:paraId="76026C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最大8h滑动平均第90百分位数质量浓度</w:t>
                  </w:r>
                </w:p>
              </w:tc>
              <w:tc>
                <w:tcPr>
                  <w:tcW w:w="1135" w:type="pct"/>
                  <w:tcBorders>
                    <w:tl2br w:val="nil"/>
                    <w:tr2bl w:val="nil"/>
                  </w:tcBorders>
                  <w:noWrap w:val="0"/>
                  <w:vAlign w:val="center"/>
                </w:tcPr>
                <w:p w14:paraId="67D4125B">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175</w:t>
                  </w:r>
                </w:p>
              </w:tc>
              <w:tc>
                <w:tcPr>
                  <w:tcW w:w="961" w:type="pct"/>
                  <w:tcBorders>
                    <w:tl2br w:val="nil"/>
                    <w:tr2bl w:val="nil"/>
                  </w:tcBorders>
                  <w:noWrap w:val="0"/>
                  <w:vAlign w:val="center"/>
                </w:tcPr>
                <w:p w14:paraId="1482E08A">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160</w:t>
                  </w:r>
                </w:p>
              </w:tc>
              <w:tc>
                <w:tcPr>
                  <w:tcW w:w="670" w:type="pct"/>
                  <w:tcBorders>
                    <w:tl2br w:val="nil"/>
                    <w:tr2bl w:val="nil"/>
                  </w:tcBorders>
                  <w:noWrap w:val="0"/>
                  <w:vAlign w:val="center"/>
                </w:tcPr>
                <w:p w14:paraId="125CB9A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109.4</w:t>
                  </w:r>
                </w:p>
              </w:tc>
              <w:tc>
                <w:tcPr>
                  <w:tcW w:w="666" w:type="pct"/>
                  <w:tcBorders>
                    <w:tl2br w:val="nil"/>
                    <w:tr2bl w:val="nil"/>
                  </w:tcBorders>
                  <w:noWrap w:val="0"/>
                  <w:vAlign w:val="center"/>
                </w:tcPr>
                <w:p w14:paraId="4F6A1C0A">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不达标</w:t>
                  </w:r>
                </w:p>
              </w:tc>
            </w:tr>
          </w:tbl>
          <w:p w14:paraId="55657C40">
            <w:pPr>
              <w:pStyle w:val="2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w:t>
            </w:r>
            <w:r>
              <w:rPr>
                <w:rFonts w:hint="eastAsia" w:ascii="Times New Roman" w:hAnsi="Times New Roman" w:eastAsia="仿宋_GB2312" w:cs="Times New Roman"/>
                <w:color w:val="auto"/>
                <w:lang w:val="en-US" w:eastAsia="zh-CN"/>
              </w:rPr>
              <w:t>3</w:t>
            </w:r>
            <w:r>
              <w:rPr>
                <w:rFonts w:hint="eastAsia" w:eastAsia="仿宋_GB2312" w:cs="Times New Roman"/>
                <w:color w:val="auto"/>
                <w:lang w:val="en-US" w:eastAsia="zh-CN"/>
              </w:rPr>
              <w:t>.1</w:t>
            </w:r>
            <w:r>
              <w:rPr>
                <w:rFonts w:hint="default" w:ascii="Times New Roman" w:hAnsi="Times New Roman" w:eastAsia="仿宋_GB2312" w:cs="Times New Roman"/>
                <w:color w:val="auto"/>
                <w:lang w:val="zh-CN"/>
              </w:rPr>
              <w:t>-</w:t>
            </w:r>
            <w:r>
              <w:rPr>
                <w:rFonts w:hint="eastAsia" w:eastAsia="仿宋_GB2312" w:cs="Times New Roman"/>
                <w:color w:val="auto"/>
                <w:lang w:val="en-US" w:eastAsia="zh-CN"/>
              </w:rPr>
              <w:t>2</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区域环境质量现状表</w:t>
            </w:r>
            <w:r>
              <w:rPr>
                <w:rFonts w:hint="eastAsia" w:eastAsia="仿宋_GB2312" w:cs="Times New Roman"/>
                <w:color w:val="auto"/>
                <w:lang w:val="en-US" w:eastAsia="zh-CN"/>
              </w:rPr>
              <w:t>【对照《环境空气质量标准》（GB3095-2026）过渡期】</w:t>
            </w:r>
          </w:p>
          <w:tbl>
            <w:tblPr>
              <w:tblStyle w:val="14"/>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503"/>
              <w:gridCol w:w="1704"/>
              <w:gridCol w:w="1443"/>
              <w:gridCol w:w="1006"/>
              <w:gridCol w:w="1000"/>
            </w:tblGrid>
            <w:tr w14:paraId="4693C2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4" w:type="pct"/>
                  <w:tcBorders>
                    <w:tl2br w:val="nil"/>
                    <w:tr2bl w:val="nil"/>
                  </w:tcBorders>
                  <w:noWrap w:val="0"/>
                  <w:vAlign w:val="center"/>
                </w:tcPr>
                <w:p w14:paraId="1588480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污染物</w:t>
                  </w:r>
                </w:p>
              </w:tc>
              <w:tc>
                <w:tcPr>
                  <w:tcW w:w="1001" w:type="pct"/>
                  <w:tcBorders>
                    <w:tl2br w:val="nil"/>
                    <w:tr2bl w:val="nil"/>
                  </w:tcBorders>
                  <w:noWrap w:val="0"/>
                  <w:vAlign w:val="center"/>
                </w:tcPr>
                <w:p w14:paraId="1ECD02F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年评价指标</w:t>
                  </w:r>
                </w:p>
              </w:tc>
              <w:tc>
                <w:tcPr>
                  <w:tcW w:w="1135" w:type="pct"/>
                  <w:tcBorders>
                    <w:tl2br w:val="nil"/>
                    <w:tr2bl w:val="nil"/>
                  </w:tcBorders>
                  <w:noWrap w:val="0"/>
                  <w:vAlign w:val="center"/>
                </w:tcPr>
                <w:p w14:paraId="6BD288A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现状浓度/(ug/m</w:t>
                  </w:r>
                  <w:r>
                    <w:rPr>
                      <w:rFonts w:hint="eastAsia" w:ascii="Times New Roman" w:hAnsi="Times New Roman" w:cs="Times New Roman"/>
                      <w:b/>
                      <w:bCs/>
                      <w:color w:val="auto"/>
                      <w:kern w:val="2"/>
                      <w:sz w:val="18"/>
                      <w:szCs w:val="18"/>
                      <w:vertAlign w:val="superscript"/>
                      <w:lang w:val="en-US" w:eastAsia="zh-CN" w:bidi="ar-SA"/>
                    </w:rPr>
                    <w:t>3</w:t>
                  </w:r>
                  <w:r>
                    <w:rPr>
                      <w:rFonts w:hint="eastAsia" w:ascii="Times New Roman" w:hAnsi="Times New Roman" w:cs="Times New Roman"/>
                      <w:b/>
                      <w:bCs/>
                      <w:color w:val="auto"/>
                      <w:kern w:val="2"/>
                      <w:sz w:val="18"/>
                      <w:szCs w:val="18"/>
                      <w:lang w:val="en-US" w:eastAsia="zh-CN" w:bidi="ar-SA"/>
                    </w:rPr>
                    <w:t>)</w:t>
                  </w:r>
                </w:p>
              </w:tc>
              <w:tc>
                <w:tcPr>
                  <w:tcW w:w="961" w:type="pct"/>
                  <w:tcBorders>
                    <w:tl2br w:val="nil"/>
                    <w:tr2bl w:val="nil"/>
                  </w:tcBorders>
                  <w:noWrap w:val="0"/>
                  <w:vAlign w:val="center"/>
                </w:tcPr>
                <w:p w14:paraId="514F08F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标准值/(ug/m</w:t>
                  </w:r>
                  <w:r>
                    <w:rPr>
                      <w:rFonts w:hint="eastAsia" w:ascii="Times New Roman" w:hAnsi="Times New Roman" w:cs="Times New Roman"/>
                      <w:b/>
                      <w:bCs/>
                      <w:color w:val="auto"/>
                      <w:kern w:val="2"/>
                      <w:sz w:val="18"/>
                      <w:szCs w:val="18"/>
                      <w:vertAlign w:val="superscript"/>
                      <w:lang w:val="en-US" w:eastAsia="zh-CN" w:bidi="ar-SA"/>
                    </w:rPr>
                    <w:t>3</w:t>
                  </w:r>
                  <w:r>
                    <w:rPr>
                      <w:rFonts w:hint="eastAsia" w:ascii="Times New Roman" w:hAnsi="Times New Roman" w:cs="Times New Roman"/>
                      <w:b/>
                      <w:bCs/>
                      <w:color w:val="auto"/>
                      <w:kern w:val="2"/>
                      <w:sz w:val="18"/>
                      <w:szCs w:val="18"/>
                      <w:lang w:val="en-US" w:eastAsia="zh-CN" w:bidi="ar-SA"/>
                    </w:rPr>
                    <w:t>)</w:t>
                  </w:r>
                </w:p>
              </w:tc>
              <w:tc>
                <w:tcPr>
                  <w:tcW w:w="670" w:type="pct"/>
                  <w:tcBorders>
                    <w:tl2br w:val="nil"/>
                    <w:tr2bl w:val="nil"/>
                  </w:tcBorders>
                  <w:noWrap w:val="0"/>
                  <w:vAlign w:val="center"/>
                </w:tcPr>
                <w:p w14:paraId="0841E48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占标率%</w:t>
                  </w:r>
                </w:p>
              </w:tc>
              <w:tc>
                <w:tcPr>
                  <w:tcW w:w="666" w:type="pct"/>
                  <w:tcBorders>
                    <w:tl2br w:val="nil"/>
                    <w:tr2bl w:val="nil"/>
                  </w:tcBorders>
                  <w:noWrap w:val="0"/>
                  <w:vAlign w:val="center"/>
                </w:tcPr>
                <w:p w14:paraId="7BA814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达标情况</w:t>
                  </w:r>
                </w:p>
              </w:tc>
            </w:tr>
            <w:tr w14:paraId="52B9F8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4" w:type="pct"/>
                  <w:tcBorders>
                    <w:tl2br w:val="nil"/>
                    <w:tr2bl w:val="nil"/>
                  </w:tcBorders>
                  <w:noWrap w:val="0"/>
                  <w:vAlign w:val="center"/>
                </w:tcPr>
                <w:p w14:paraId="24A023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SO</w:t>
                  </w:r>
                  <w:r>
                    <w:rPr>
                      <w:rFonts w:hint="eastAsia" w:ascii="Times New Roman" w:hAnsi="Times New Roman" w:cs="Times New Roman"/>
                      <w:color w:val="auto"/>
                      <w:kern w:val="2"/>
                      <w:sz w:val="18"/>
                      <w:szCs w:val="18"/>
                      <w:vertAlign w:val="subscript"/>
                      <w:lang w:val="en-US" w:eastAsia="zh-CN" w:bidi="ar-SA"/>
                    </w:rPr>
                    <w:t>2</w:t>
                  </w:r>
                </w:p>
              </w:tc>
              <w:tc>
                <w:tcPr>
                  <w:tcW w:w="1001" w:type="pct"/>
                  <w:vMerge w:val="restart"/>
                  <w:tcBorders>
                    <w:tl2br w:val="nil"/>
                    <w:tr2bl w:val="nil"/>
                  </w:tcBorders>
                  <w:noWrap w:val="0"/>
                  <w:vAlign w:val="center"/>
                </w:tcPr>
                <w:p w14:paraId="64E778F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年平均浓度</w:t>
                  </w:r>
                </w:p>
              </w:tc>
              <w:tc>
                <w:tcPr>
                  <w:tcW w:w="1135" w:type="pct"/>
                  <w:tcBorders>
                    <w:tl2br w:val="nil"/>
                    <w:tr2bl w:val="nil"/>
                  </w:tcBorders>
                  <w:noWrap w:val="0"/>
                  <w:vAlign w:val="center"/>
                </w:tcPr>
                <w:p w14:paraId="5E5F25F9">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6</w:t>
                  </w:r>
                </w:p>
              </w:tc>
              <w:tc>
                <w:tcPr>
                  <w:tcW w:w="961" w:type="pct"/>
                  <w:tcBorders>
                    <w:tl2br w:val="nil"/>
                    <w:tr2bl w:val="nil"/>
                  </w:tcBorders>
                  <w:noWrap w:val="0"/>
                  <w:vAlign w:val="center"/>
                </w:tcPr>
                <w:p w14:paraId="389BE3CC">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60</w:t>
                  </w:r>
                </w:p>
              </w:tc>
              <w:tc>
                <w:tcPr>
                  <w:tcW w:w="670" w:type="pct"/>
                  <w:tcBorders>
                    <w:tl2br w:val="nil"/>
                    <w:tr2bl w:val="nil"/>
                  </w:tcBorders>
                  <w:noWrap w:val="0"/>
                  <w:vAlign w:val="center"/>
                </w:tcPr>
                <w:p w14:paraId="1C5DE77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10</w:t>
                  </w:r>
                </w:p>
              </w:tc>
              <w:tc>
                <w:tcPr>
                  <w:tcW w:w="666" w:type="pct"/>
                  <w:tcBorders>
                    <w:tl2br w:val="nil"/>
                    <w:tr2bl w:val="nil"/>
                  </w:tcBorders>
                  <w:noWrap w:val="0"/>
                  <w:vAlign w:val="center"/>
                </w:tcPr>
                <w:p w14:paraId="749F88A6">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达标</w:t>
                  </w:r>
                </w:p>
              </w:tc>
            </w:tr>
            <w:tr w14:paraId="6F526E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4" w:type="pct"/>
                  <w:tcBorders>
                    <w:tl2br w:val="nil"/>
                    <w:tr2bl w:val="nil"/>
                  </w:tcBorders>
                  <w:noWrap w:val="0"/>
                  <w:vAlign w:val="center"/>
                </w:tcPr>
                <w:p w14:paraId="3314997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NO</w:t>
                  </w:r>
                  <w:r>
                    <w:rPr>
                      <w:rFonts w:hint="eastAsia" w:ascii="Times New Roman" w:hAnsi="Times New Roman" w:cs="Times New Roman"/>
                      <w:color w:val="auto"/>
                      <w:kern w:val="2"/>
                      <w:sz w:val="18"/>
                      <w:szCs w:val="18"/>
                      <w:vertAlign w:val="subscript"/>
                      <w:lang w:val="en-US" w:eastAsia="zh-CN" w:bidi="ar-SA"/>
                    </w:rPr>
                    <w:t>2</w:t>
                  </w:r>
                </w:p>
              </w:tc>
              <w:tc>
                <w:tcPr>
                  <w:tcW w:w="1001" w:type="pct"/>
                  <w:vMerge w:val="continue"/>
                  <w:tcBorders>
                    <w:tl2br w:val="nil"/>
                    <w:tr2bl w:val="nil"/>
                  </w:tcBorders>
                  <w:noWrap w:val="0"/>
                  <w:vAlign w:val="center"/>
                </w:tcPr>
                <w:p w14:paraId="64A63D8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1135" w:type="pct"/>
                  <w:tcBorders>
                    <w:tl2br w:val="nil"/>
                    <w:tr2bl w:val="nil"/>
                  </w:tcBorders>
                  <w:noWrap w:val="0"/>
                  <w:vAlign w:val="center"/>
                </w:tcPr>
                <w:p w14:paraId="7A7DE889">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19</w:t>
                  </w:r>
                </w:p>
              </w:tc>
              <w:tc>
                <w:tcPr>
                  <w:tcW w:w="961" w:type="pct"/>
                  <w:tcBorders>
                    <w:tl2br w:val="nil"/>
                    <w:tr2bl w:val="nil"/>
                  </w:tcBorders>
                  <w:noWrap w:val="0"/>
                  <w:vAlign w:val="center"/>
                </w:tcPr>
                <w:p w14:paraId="5C11BC80">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40</w:t>
                  </w:r>
                </w:p>
              </w:tc>
              <w:tc>
                <w:tcPr>
                  <w:tcW w:w="670" w:type="pct"/>
                  <w:tcBorders>
                    <w:tl2br w:val="nil"/>
                    <w:tr2bl w:val="nil"/>
                  </w:tcBorders>
                  <w:noWrap w:val="0"/>
                  <w:vAlign w:val="center"/>
                </w:tcPr>
                <w:p w14:paraId="6F9C93E2">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47.5</w:t>
                  </w:r>
                </w:p>
              </w:tc>
              <w:tc>
                <w:tcPr>
                  <w:tcW w:w="666" w:type="pct"/>
                  <w:tcBorders>
                    <w:tl2br w:val="nil"/>
                    <w:tr2bl w:val="nil"/>
                  </w:tcBorders>
                  <w:noWrap w:val="0"/>
                  <w:vAlign w:val="center"/>
                </w:tcPr>
                <w:p w14:paraId="54F2308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达标</w:t>
                  </w:r>
                </w:p>
              </w:tc>
            </w:tr>
            <w:tr w14:paraId="0C51FA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4" w:type="pct"/>
                  <w:tcBorders>
                    <w:tl2br w:val="nil"/>
                    <w:tr2bl w:val="nil"/>
                  </w:tcBorders>
                  <w:noWrap w:val="0"/>
                  <w:vAlign w:val="center"/>
                </w:tcPr>
                <w:p w14:paraId="4EB155A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PM</w:t>
                  </w:r>
                  <w:r>
                    <w:rPr>
                      <w:rFonts w:hint="eastAsia" w:ascii="Times New Roman" w:hAnsi="Times New Roman" w:cs="Times New Roman"/>
                      <w:color w:val="auto"/>
                      <w:kern w:val="2"/>
                      <w:sz w:val="18"/>
                      <w:szCs w:val="18"/>
                      <w:vertAlign w:val="subscript"/>
                      <w:lang w:val="en-US" w:eastAsia="zh-CN" w:bidi="ar-SA"/>
                    </w:rPr>
                    <w:t>10</w:t>
                  </w:r>
                </w:p>
              </w:tc>
              <w:tc>
                <w:tcPr>
                  <w:tcW w:w="1001" w:type="pct"/>
                  <w:vMerge w:val="continue"/>
                  <w:tcBorders>
                    <w:tl2br w:val="nil"/>
                    <w:tr2bl w:val="nil"/>
                  </w:tcBorders>
                  <w:noWrap w:val="0"/>
                  <w:vAlign w:val="center"/>
                </w:tcPr>
                <w:p w14:paraId="7F3ED2B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1135" w:type="pct"/>
                  <w:tcBorders>
                    <w:tl2br w:val="nil"/>
                    <w:tr2bl w:val="nil"/>
                  </w:tcBorders>
                  <w:noWrap w:val="0"/>
                  <w:vAlign w:val="center"/>
                </w:tcPr>
                <w:p w14:paraId="0DFBB428">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70</w:t>
                  </w:r>
                </w:p>
              </w:tc>
              <w:tc>
                <w:tcPr>
                  <w:tcW w:w="961" w:type="pct"/>
                  <w:tcBorders>
                    <w:tl2br w:val="nil"/>
                    <w:tr2bl w:val="nil"/>
                  </w:tcBorders>
                  <w:noWrap w:val="0"/>
                  <w:vAlign w:val="center"/>
                </w:tcPr>
                <w:p w14:paraId="16498C6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60</w:t>
                  </w:r>
                </w:p>
              </w:tc>
              <w:tc>
                <w:tcPr>
                  <w:tcW w:w="670" w:type="pct"/>
                  <w:tcBorders>
                    <w:tl2br w:val="nil"/>
                    <w:tr2bl w:val="nil"/>
                  </w:tcBorders>
                  <w:noWrap w:val="0"/>
                  <w:vAlign w:val="center"/>
                </w:tcPr>
                <w:p w14:paraId="42BDE71A">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1</w:t>
                  </w:r>
                  <w:r>
                    <w:rPr>
                      <w:rFonts w:hint="eastAsia" w:eastAsia="仿宋_GB2312" w:cs="Times New Roman"/>
                      <w:color w:val="auto"/>
                      <w:sz w:val="18"/>
                      <w:szCs w:val="18"/>
                      <w:lang w:val="en-US" w:eastAsia="zh-CN"/>
                    </w:rPr>
                    <w:t>16.7</w:t>
                  </w:r>
                </w:p>
              </w:tc>
              <w:tc>
                <w:tcPr>
                  <w:tcW w:w="666" w:type="pct"/>
                  <w:tcBorders>
                    <w:tl2br w:val="nil"/>
                    <w:tr2bl w:val="nil"/>
                  </w:tcBorders>
                  <w:noWrap w:val="0"/>
                  <w:vAlign w:val="center"/>
                </w:tcPr>
                <w:p w14:paraId="5991CCCF">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不</w:t>
                  </w:r>
                  <w:r>
                    <w:rPr>
                      <w:rFonts w:hint="eastAsia" w:ascii="Times New Roman" w:hAnsi="Times New Roman" w:eastAsia="仿宋_GB2312" w:cs="Times New Roman"/>
                      <w:color w:val="auto"/>
                      <w:sz w:val="18"/>
                      <w:szCs w:val="18"/>
                      <w:lang w:val="en-US" w:eastAsia="zh-CN"/>
                    </w:rPr>
                    <w:t>达标</w:t>
                  </w:r>
                </w:p>
              </w:tc>
            </w:tr>
            <w:tr w14:paraId="24E512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4" w:type="pct"/>
                  <w:tcBorders>
                    <w:tl2br w:val="nil"/>
                    <w:tr2bl w:val="nil"/>
                  </w:tcBorders>
                  <w:noWrap w:val="0"/>
                  <w:vAlign w:val="center"/>
                </w:tcPr>
                <w:p w14:paraId="0080EAE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PM</w:t>
                  </w:r>
                  <w:r>
                    <w:rPr>
                      <w:rFonts w:hint="eastAsia" w:ascii="Times New Roman" w:hAnsi="Times New Roman" w:cs="Times New Roman"/>
                      <w:color w:val="auto"/>
                      <w:kern w:val="2"/>
                      <w:sz w:val="18"/>
                      <w:szCs w:val="18"/>
                      <w:vertAlign w:val="subscript"/>
                      <w:lang w:val="en-US" w:eastAsia="zh-CN" w:bidi="ar-SA"/>
                    </w:rPr>
                    <w:t>2.5</w:t>
                  </w:r>
                </w:p>
              </w:tc>
              <w:tc>
                <w:tcPr>
                  <w:tcW w:w="1001" w:type="pct"/>
                  <w:vMerge w:val="continue"/>
                  <w:tcBorders>
                    <w:tl2br w:val="nil"/>
                    <w:tr2bl w:val="nil"/>
                  </w:tcBorders>
                  <w:noWrap w:val="0"/>
                  <w:vAlign w:val="center"/>
                </w:tcPr>
                <w:p w14:paraId="27BD9EC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1135" w:type="pct"/>
                  <w:tcBorders>
                    <w:tl2br w:val="nil"/>
                    <w:tr2bl w:val="nil"/>
                  </w:tcBorders>
                  <w:noWrap w:val="0"/>
                  <w:vAlign w:val="center"/>
                </w:tcPr>
                <w:p w14:paraId="53A9FFB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43</w:t>
                  </w:r>
                </w:p>
              </w:tc>
              <w:tc>
                <w:tcPr>
                  <w:tcW w:w="961" w:type="pct"/>
                  <w:tcBorders>
                    <w:tl2br w:val="nil"/>
                    <w:tr2bl w:val="nil"/>
                  </w:tcBorders>
                  <w:noWrap w:val="0"/>
                  <w:vAlign w:val="center"/>
                </w:tcPr>
                <w:p w14:paraId="353B1334">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3</w:t>
                  </w:r>
                  <w:r>
                    <w:rPr>
                      <w:rFonts w:hint="eastAsia" w:eastAsia="仿宋_GB2312" w:cs="Times New Roman"/>
                      <w:color w:val="auto"/>
                      <w:kern w:val="2"/>
                      <w:sz w:val="18"/>
                      <w:szCs w:val="18"/>
                      <w:lang w:val="en-US" w:eastAsia="zh-CN" w:bidi="ar-SA"/>
                    </w:rPr>
                    <w:t>0</w:t>
                  </w:r>
                </w:p>
              </w:tc>
              <w:tc>
                <w:tcPr>
                  <w:tcW w:w="670" w:type="pct"/>
                  <w:tcBorders>
                    <w:tl2br w:val="nil"/>
                    <w:tr2bl w:val="nil"/>
                  </w:tcBorders>
                  <w:noWrap w:val="0"/>
                  <w:vAlign w:val="center"/>
                </w:tcPr>
                <w:p w14:paraId="0E12BECD">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143.3</w:t>
                  </w:r>
                </w:p>
              </w:tc>
              <w:tc>
                <w:tcPr>
                  <w:tcW w:w="666" w:type="pct"/>
                  <w:tcBorders>
                    <w:tl2br w:val="nil"/>
                    <w:tr2bl w:val="nil"/>
                  </w:tcBorders>
                  <w:noWrap w:val="0"/>
                  <w:vAlign w:val="center"/>
                </w:tcPr>
                <w:p w14:paraId="26968A4D">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不达标</w:t>
                  </w:r>
                </w:p>
              </w:tc>
            </w:tr>
            <w:tr w14:paraId="37ED18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4" w:type="pct"/>
                  <w:tcBorders>
                    <w:tl2br w:val="nil"/>
                    <w:tr2bl w:val="nil"/>
                  </w:tcBorders>
                  <w:noWrap w:val="0"/>
                  <w:vAlign w:val="center"/>
                </w:tcPr>
                <w:p w14:paraId="4345BB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CO</w:t>
                  </w:r>
                </w:p>
              </w:tc>
              <w:tc>
                <w:tcPr>
                  <w:tcW w:w="1001" w:type="pct"/>
                  <w:tcBorders>
                    <w:tl2br w:val="nil"/>
                    <w:tr2bl w:val="nil"/>
                  </w:tcBorders>
                  <w:noWrap w:val="0"/>
                  <w:vAlign w:val="center"/>
                </w:tcPr>
                <w:p w14:paraId="0333F39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日平均浓度第95百分位数</w:t>
                  </w:r>
                </w:p>
              </w:tc>
              <w:tc>
                <w:tcPr>
                  <w:tcW w:w="1135" w:type="pct"/>
                  <w:tcBorders>
                    <w:tl2br w:val="nil"/>
                    <w:tr2bl w:val="nil"/>
                  </w:tcBorders>
                  <w:noWrap w:val="0"/>
                  <w:vAlign w:val="center"/>
                </w:tcPr>
                <w:p w14:paraId="7AFE6A98">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1000</w:t>
                  </w:r>
                </w:p>
              </w:tc>
              <w:tc>
                <w:tcPr>
                  <w:tcW w:w="961" w:type="pct"/>
                  <w:tcBorders>
                    <w:tl2br w:val="nil"/>
                    <w:tr2bl w:val="nil"/>
                  </w:tcBorders>
                  <w:noWrap w:val="0"/>
                  <w:vAlign w:val="center"/>
                </w:tcPr>
                <w:p w14:paraId="3A7DF0E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4000</w:t>
                  </w:r>
                </w:p>
              </w:tc>
              <w:tc>
                <w:tcPr>
                  <w:tcW w:w="670" w:type="pct"/>
                  <w:tcBorders>
                    <w:tl2br w:val="nil"/>
                    <w:tr2bl w:val="nil"/>
                  </w:tcBorders>
                  <w:noWrap w:val="0"/>
                  <w:vAlign w:val="center"/>
                </w:tcPr>
                <w:p w14:paraId="7C6A95C2">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25</w:t>
                  </w:r>
                </w:p>
              </w:tc>
              <w:tc>
                <w:tcPr>
                  <w:tcW w:w="666" w:type="pct"/>
                  <w:tcBorders>
                    <w:tl2br w:val="nil"/>
                    <w:tr2bl w:val="nil"/>
                  </w:tcBorders>
                  <w:noWrap w:val="0"/>
                  <w:vAlign w:val="center"/>
                </w:tcPr>
                <w:p w14:paraId="3472D310">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达标</w:t>
                  </w:r>
                </w:p>
              </w:tc>
            </w:tr>
            <w:tr w14:paraId="1BCA5C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4" w:type="pct"/>
                  <w:tcBorders>
                    <w:tl2br w:val="nil"/>
                    <w:tr2bl w:val="nil"/>
                  </w:tcBorders>
                  <w:noWrap w:val="0"/>
                  <w:vAlign w:val="center"/>
                </w:tcPr>
                <w:p w14:paraId="57A19A5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O</w:t>
                  </w:r>
                  <w:r>
                    <w:rPr>
                      <w:rFonts w:hint="eastAsia" w:ascii="Times New Roman" w:hAnsi="Times New Roman" w:cs="Times New Roman"/>
                      <w:color w:val="auto"/>
                      <w:kern w:val="2"/>
                      <w:sz w:val="18"/>
                      <w:szCs w:val="18"/>
                      <w:vertAlign w:val="subscript"/>
                      <w:lang w:val="en-US" w:eastAsia="zh-CN" w:bidi="ar-SA"/>
                    </w:rPr>
                    <w:t>3</w:t>
                  </w:r>
                </w:p>
              </w:tc>
              <w:tc>
                <w:tcPr>
                  <w:tcW w:w="1001" w:type="pct"/>
                  <w:tcBorders>
                    <w:tl2br w:val="nil"/>
                    <w:tr2bl w:val="nil"/>
                  </w:tcBorders>
                  <w:noWrap w:val="0"/>
                  <w:vAlign w:val="center"/>
                </w:tcPr>
                <w:p w14:paraId="7E20F38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最大8h滑动平均第90百分位数质量浓度</w:t>
                  </w:r>
                </w:p>
              </w:tc>
              <w:tc>
                <w:tcPr>
                  <w:tcW w:w="1135" w:type="pct"/>
                  <w:tcBorders>
                    <w:tl2br w:val="nil"/>
                    <w:tr2bl w:val="nil"/>
                  </w:tcBorders>
                  <w:noWrap w:val="0"/>
                  <w:vAlign w:val="center"/>
                </w:tcPr>
                <w:p w14:paraId="5B3827F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175</w:t>
                  </w:r>
                </w:p>
              </w:tc>
              <w:tc>
                <w:tcPr>
                  <w:tcW w:w="961" w:type="pct"/>
                  <w:tcBorders>
                    <w:tl2br w:val="nil"/>
                    <w:tr2bl w:val="nil"/>
                  </w:tcBorders>
                  <w:noWrap w:val="0"/>
                  <w:vAlign w:val="center"/>
                </w:tcPr>
                <w:p w14:paraId="32C3151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160</w:t>
                  </w:r>
                </w:p>
              </w:tc>
              <w:tc>
                <w:tcPr>
                  <w:tcW w:w="670" w:type="pct"/>
                  <w:tcBorders>
                    <w:tl2br w:val="nil"/>
                    <w:tr2bl w:val="nil"/>
                  </w:tcBorders>
                  <w:noWrap w:val="0"/>
                  <w:vAlign w:val="center"/>
                </w:tcPr>
                <w:p w14:paraId="4E9441E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109.4</w:t>
                  </w:r>
                </w:p>
              </w:tc>
              <w:tc>
                <w:tcPr>
                  <w:tcW w:w="666" w:type="pct"/>
                  <w:tcBorders>
                    <w:tl2br w:val="nil"/>
                    <w:tr2bl w:val="nil"/>
                  </w:tcBorders>
                  <w:noWrap w:val="0"/>
                  <w:vAlign w:val="center"/>
                </w:tcPr>
                <w:p w14:paraId="35C9222C">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不达标</w:t>
                  </w:r>
                </w:p>
              </w:tc>
            </w:tr>
          </w:tbl>
          <w:p w14:paraId="376F9234">
            <w:pPr>
              <w:pStyle w:val="32"/>
              <w:ind w:firstLine="480"/>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3.1.4.2 水环境质量现状</w:t>
            </w:r>
          </w:p>
          <w:p w14:paraId="3FDEF15A">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本项目附近地表水体为孟沟、运粮沟、浍河，其中孟沟、运粮沟是人工开挖的抗旱排涝农灌渠，汇入浍河。上述水体水质评价均执行</w:t>
            </w:r>
            <w:r>
              <w:rPr>
                <w:rFonts w:hint="eastAsia" w:cs="Times New Roman"/>
                <w:color w:val="auto"/>
                <w:lang w:eastAsia="zh-CN"/>
              </w:rPr>
              <w:t>《</w:t>
            </w:r>
            <w:r>
              <w:rPr>
                <w:rFonts w:hint="default" w:ascii="Times New Roman" w:hAnsi="Times New Roman" w:eastAsia="仿宋_GB2312" w:cs="Times New Roman"/>
                <w:color w:val="auto"/>
              </w:rPr>
              <w:t>地表水环境质量标准</w:t>
            </w:r>
            <w:r>
              <w:rPr>
                <w:rFonts w:hint="eastAsia" w:cs="Times New Roman"/>
                <w:color w:val="auto"/>
                <w:lang w:eastAsia="zh-CN"/>
              </w:rPr>
              <w:t>》（</w:t>
            </w:r>
            <w:r>
              <w:rPr>
                <w:rFonts w:hint="default" w:ascii="Times New Roman" w:hAnsi="Times New Roman" w:eastAsia="仿宋_GB2312" w:cs="Times New Roman"/>
                <w:color w:val="auto"/>
              </w:rPr>
              <w:t>GB3838-2002</w:t>
            </w:r>
            <w:r>
              <w:rPr>
                <w:rFonts w:hint="eastAsia" w:cs="Times New Roman"/>
                <w:color w:val="auto"/>
                <w:lang w:eastAsia="zh-CN"/>
              </w:rPr>
              <w:t>）</w:t>
            </w:r>
            <w:r>
              <w:rPr>
                <w:rFonts w:hint="default" w:ascii="Times New Roman" w:hAnsi="Times New Roman" w:eastAsia="仿宋_GB2312" w:cs="Times New Roman"/>
                <w:color w:val="auto"/>
              </w:rPr>
              <w:t>中IV类标准。</w:t>
            </w:r>
          </w:p>
          <w:p w14:paraId="06235E42">
            <w:pPr>
              <w:pStyle w:val="32"/>
              <w:ind w:firstLine="480"/>
              <w:rPr>
                <w:rFonts w:hint="default" w:cs="Times New Roman"/>
                <w:color w:val="auto"/>
                <w:lang w:val="en-US" w:eastAsia="zh-CN"/>
              </w:rPr>
            </w:pPr>
            <w:r>
              <w:rPr>
                <w:rFonts w:hint="default" w:ascii="Times New Roman" w:hAnsi="Times New Roman" w:eastAsia="仿宋_GB2312" w:cs="Times New Roman"/>
                <w:color w:val="auto"/>
              </w:rPr>
              <w:t>根据</w:t>
            </w:r>
            <w:r>
              <w:rPr>
                <w:rFonts w:hint="eastAsia" w:cs="Times New Roman"/>
                <w:color w:val="auto"/>
                <w:lang w:eastAsia="zh-CN"/>
              </w:rPr>
              <w:t>《</w:t>
            </w:r>
            <w:r>
              <w:rPr>
                <w:rFonts w:hint="default" w:ascii="Times New Roman" w:hAnsi="Times New Roman" w:eastAsia="仿宋_GB2312" w:cs="Times New Roman"/>
                <w:color w:val="auto"/>
              </w:rPr>
              <w:t>202</w:t>
            </w:r>
            <w:r>
              <w:rPr>
                <w:rFonts w:hint="eastAsia" w:ascii="Times New Roman" w:hAnsi="Times New Roman" w:cs="Times New Roman"/>
                <w:color w:val="auto"/>
                <w:lang w:val="en-US" w:eastAsia="zh-CN"/>
              </w:rPr>
              <w:t>4</w:t>
            </w:r>
            <w:r>
              <w:rPr>
                <w:rFonts w:hint="default" w:ascii="Times New Roman" w:hAnsi="Times New Roman" w:eastAsia="仿宋_GB2312" w:cs="Times New Roman"/>
                <w:color w:val="auto"/>
              </w:rPr>
              <w:t>年度淮北市生态环境状况公报</w:t>
            </w:r>
            <w:r>
              <w:rPr>
                <w:rFonts w:hint="eastAsia" w:cs="Times New Roman"/>
                <w:color w:val="auto"/>
                <w:lang w:eastAsia="zh-CN"/>
              </w:rPr>
              <w:t>》</w:t>
            </w:r>
            <w:r>
              <w:rPr>
                <w:rFonts w:hint="default" w:ascii="Times New Roman" w:hAnsi="Times New Roman" w:eastAsia="仿宋_GB2312" w:cs="Times New Roman"/>
                <w:color w:val="auto"/>
              </w:rPr>
              <w:t>，202</w:t>
            </w:r>
            <w:r>
              <w:rPr>
                <w:rFonts w:hint="eastAsia" w:cs="Times New Roman"/>
                <w:color w:val="auto"/>
                <w:lang w:val="en-US" w:eastAsia="zh-CN"/>
              </w:rPr>
              <w:t>4</w:t>
            </w:r>
            <w:r>
              <w:rPr>
                <w:rFonts w:hint="default" w:ascii="Times New Roman" w:hAnsi="Times New Roman" w:eastAsia="仿宋_GB2312" w:cs="Times New Roman"/>
                <w:color w:val="auto"/>
              </w:rPr>
              <w:t>年</w:t>
            </w:r>
            <w:r>
              <w:rPr>
                <w:rFonts w:hint="eastAsia" w:cs="Times New Roman"/>
                <w:color w:val="auto"/>
                <w:lang w:val="en-US" w:eastAsia="zh-CN"/>
              </w:rPr>
              <w:t>浍河主要河流水质情况：</w:t>
            </w:r>
            <w:r>
              <w:rPr>
                <w:rFonts w:hint="default" w:cs="Times New Roman"/>
                <w:color w:val="auto"/>
                <w:lang w:val="en-US" w:eastAsia="zh-CN"/>
              </w:rPr>
              <w:t>浍河水系上共设有3个监测断面，水质状况</w:t>
            </w:r>
            <w:r>
              <w:rPr>
                <w:rFonts w:hint="eastAsia" w:cs="Times New Roman"/>
                <w:color w:val="auto"/>
                <w:lang w:val="en-US" w:eastAsia="zh-CN"/>
              </w:rPr>
              <w:t>为</w:t>
            </w:r>
            <w:r>
              <w:rPr>
                <w:rFonts w:hint="default" w:cs="Times New Roman"/>
                <w:color w:val="auto"/>
                <w:lang w:val="en-US" w:eastAsia="zh-CN"/>
              </w:rPr>
              <w:t>轻度污染，整体水质类别为Ⅳ类，同比水质无明显变化。其中，水质达到或优于Ⅲ类有1个，占比33.3%；Ⅳ类水质断面2个，占比33.7%；东坪集水质（出境，Ⅲ类）好于三姓楼断面水质（入境，Ⅳ类）。</w:t>
            </w:r>
          </w:p>
          <w:p w14:paraId="5129FE58">
            <w:pPr>
              <w:pStyle w:val="32"/>
              <w:ind w:firstLine="480"/>
              <w:rPr>
                <w:rFonts w:hint="default" w:ascii="Times New Roman" w:hAnsi="Times New Roman" w:eastAsia="仿宋_GB2312" w:cs="Times New Roman"/>
                <w:color w:val="auto"/>
              </w:rPr>
            </w:pPr>
            <w:r>
              <w:rPr>
                <w:rFonts w:hint="eastAsia" w:cs="Times New Roman"/>
                <w:color w:val="auto"/>
                <w:lang w:val="en-US" w:eastAsia="zh-CN"/>
              </w:rPr>
              <w:t>综上，浍河水质均可满足</w:t>
            </w:r>
            <w:r>
              <w:rPr>
                <w:rFonts w:hint="eastAsia" w:cs="Times New Roman"/>
                <w:color w:val="auto"/>
                <w:lang w:eastAsia="zh-CN"/>
              </w:rPr>
              <w:t>《</w:t>
            </w:r>
            <w:r>
              <w:rPr>
                <w:rFonts w:hint="default" w:ascii="Times New Roman" w:hAnsi="Times New Roman" w:eastAsia="仿宋_GB2312" w:cs="Times New Roman"/>
                <w:color w:val="auto"/>
              </w:rPr>
              <w:t>地表水环境质量标准</w:t>
            </w:r>
            <w:r>
              <w:rPr>
                <w:rFonts w:hint="eastAsia" w:cs="Times New Roman"/>
                <w:color w:val="auto"/>
                <w:lang w:eastAsia="zh-CN"/>
              </w:rPr>
              <w:t>》（</w:t>
            </w:r>
            <w:r>
              <w:rPr>
                <w:rFonts w:hint="default" w:ascii="Times New Roman" w:hAnsi="Times New Roman" w:eastAsia="仿宋_GB2312" w:cs="Times New Roman"/>
                <w:color w:val="auto"/>
              </w:rPr>
              <w:t>GB3838-2002</w:t>
            </w:r>
            <w:r>
              <w:rPr>
                <w:rFonts w:hint="eastAsia" w:cs="Times New Roman"/>
                <w:color w:val="auto"/>
                <w:lang w:eastAsia="zh-CN"/>
              </w:rPr>
              <w:t>）</w:t>
            </w:r>
            <w:r>
              <w:rPr>
                <w:rFonts w:hint="default" w:ascii="Times New Roman" w:hAnsi="Times New Roman" w:eastAsia="仿宋_GB2312" w:cs="Times New Roman"/>
                <w:color w:val="auto"/>
              </w:rPr>
              <w:t>中IV类标准。</w:t>
            </w:r>
          </w:p>
          <w:p w14:paraId="4C717C70">
            <w:pPr>
              <w:pStyle w:val="32"/>
              <w:ind w:firstLine="480"/>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3.1.4.3 声环境</w:t>
            </w:r>
          </w:p>
          <w:p w14:paraId="57E4CE12">
            <w:pPr>
              <w:pStyle w:val="32"/>
              <w:ind w:firstLine="480"/>
              <w:rPr>
                <w:rFonts w:hint="default" w:ascii="Times New Roman" w:hAnsi="Times New Roman" w:eastAsia="仿宋_GB2312" w:cs="Times New Roman"/>
                <w:color w:val="auto"/>
                <w:lang w:val="en-US" w:eastAsia="zh-CN"/>
              </w:rPr>
            </w:pPr>
            <w:r>
              <w:rPr>
                <w:rFonts w:hint="eastAsia" w:cs="Times New Roman"/>
                <w:color w:val="auto"/>
                <w:lang w:val="en-US" w:eastAsia="zh-CN"/>
              </w:rPr>
              <w:t>项目所在地为3类功能区，执行《声环境质量标准》（GB3096-2008）中3类标准昼间≤65dB(A)，夜间≤55dB(A)。项目沿线50米范围内无声环境保护目标，参考《建设项目环境影响报告表编制技术指南（污染影响类）》，本次不再开展声环境质量现状监测。</w:t>
            </w:r>
          </w:p>
          <w:p w14:paraId="708D46B6">
            <w:pPr>
              <w:pStyle w:val="32"/>
              <w:ind w:firstLine="480"/>
              <w:rPr>
                <w:rFonts w:hint="default" w:cs="Times New Roman"/>
                <w:b/>
                <w:bCs/>
                <w:color w:val="auto"/>
                <w:lang w:val="en-US" w:eastAsia="zh-CN"/>
              </w:rPr>
            </w:pPr>
            <w:r>
              <w:rPr>
                <w:rFonts w:hint="eastAsia" w:cs="Times New Roman"/>
                <w:b/>
                <w:bCs/>
                <w:color w:val="auto"/>
                <w:lang w:val="en-US" w:eastAsia="zh-CN"/>
              </w:rPr>
              <w:t>3.1.4.4 地下水环境质量现状</w:t>
            </w:r>
          </w:p>
          <w:p w14:paraId="2408C2A1">
            <w:pPr>
              <w:pStyle w:val="32"/>
              <w:ind w:firstLine="480"/>
              <w:rPr>
                <w:rFonts w:hint="eastAsia" w:cs="Times New Roman"/>
                <w:b w:val="0"/>
                <w:bCs w:val="0"/>
                <w:color w:val="auto"/>
                <w:lang w:val="en-US" w:eastAsia="zh-CN"/>
              </w:rPr>
            </w:pPr>
            <w:r>
              <w:rPr>
                <w:rFonts w:hint="eastAsia" w:cs="Times New Roman"/>
                <w:b w:val="0"/>
                <w:bCs w:val="0"/>
                <w:color w:val="auto"/>
                <w:lang w:val="en-US" w:eastAsia="zh-CN"/>
              </w:rPr>
              <w:t>本项目属于[G5720]陆地管道运输项目，依据《建设项目环境影响报告表编制技术指南（生态影响类）（试行）》中要求：“水、生态、土壤等其他环境要素参照环境影响评价相关技术导则开展补充监测和调查”。对照《环境影响评价技术导则 地下水环境》（HJ610-2016），本项目属于“F石油、天然气41、石油、天然气、成品油管线（不含城市天然气管线）”中“报告表 气”项，属于Ⅳ类建设项目，可不开展地下水环境影响评价工作。本次不再开展地下水环境质量现状调查。</w:t>
            </w:r>
          </w:p>
          <w:p w14:paraId="11FC8E98">
            <w:pPr>
              <w:pStyle w:val="32"/>
              <w:ind w:firstLine="480"/>
              <w:rPr>
                <w:rFonts w:hint="default" w:cs="Times New Roman"/>
                <w:b/>
                <w:bCs/>
                <w:color w:val="auto"/>
                <w:lang w:val="en-US" w:eastAsia="zh-CN"/>
              </w:rPr>
            </w:pPr>
            <w:r>
              <w:rPr>
                <w:rFonts w:hint="eastAsia" w:cs="Times New Roman"/>
                <w:b/>
                <w:bCs/>
                <w:color w:val="auto"/>
                <w:lang w:val="en-US" w:eastAsia="zh-CN"/>
              </w:rPr>
              <w:t>3.1.4.5 土壤环境质量现状</w:t>
            </w:r>
          </w:p>
          <w:p w14:paraId="30178AB3">
            <w:pPr>
              <w:pStyle w:val="32"/>
              <w:ind w:firstLine="480"/>
              <w:rPr>
                <w:rFonts w:hint="eastAsia" w:cs="Times New Roman"/>
                <w:b w:val="0"/>
                <w:bCs w:val="0"/>
                <w:color w:val="auto"/>
                <w:lang w:val="en-US" w:eastAsia="zh-CN"/>
              </w:rPr>
            </w:pPr>
            <w:r>
              <w:rPr>
                <w:rFonts w:hint="eastAsia" w:cs="Times New Roman"/>
                <w:b w:val="0"/>
                <w:bCs w:val="0"/>
                <w:color w:val="auto"/>
                <w:lang w:val="en-US" w:eastAsia="zh-CN"/>
              </w:rPr>
              <w:t>本项目属于[G5720]陆地管道运输项目，依据《建设项目环境影响报告表编制技术指南（生态影响类）（试行）》中要求：“水、生态、土壤等其他环境要素参照环境影响评价相关技术导则开展补充监测和调查”。</w:t>
            </w:r>
          </w:p>
          <w:p w14:paraId="03CA2D83">
            <w:pPr>
              <w:pStyle w:val="32"/>
              <w:ind w:firstLine="480"/>
              <w:rPr>
                <w:rFonts w:hint="default" w:ascii="Times New Roman" w:hAnsi="Times New Roman" w:eastAsia="仿宋_GB2312" w:cs="Times New Roman"/>
                <w:color w:val="auto"/>
                <w:szCs w:val="21"/>
              </w:rPr>
            </w:pPr>
            <w:r>
              <w:rPr>
                <w:rFonts w:hint="eastAsia" w:cs="Times New Roman"/>
                <w:b w:val="0"/>
                <w:bCs w:val="0"/>
                <w:color w:val="auto"/>
                <w:lang w:val="en-US" w:eastAsia="zh-CN"/>
              </w:rPr>
              <w:t>对照《环境影响评价技术导则 土壤环境》（HJ964-2018），本项目属于“交通运输仓储邮政业”中“其他”项，属于Ⅳ类建设项目，可不开展土壤环境影响评价工作。本次不再开展土壤环境质量现状调查。</w:t>
            </w:r>
          </w:p>
        </w:tc>
      </w:tr>
      <w:tr w14:paraId="539DE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98" w:type="dxa"/>
            <w:noWrap w:val="0"/>
            <w:vAlign w:val="center"/>
          </w:tcPr>
          <w:p w14:paraId="2C11EA57">
            <w:pPr>
              <w:adjustRightInd w:val="0"/>
              <w:snapToGrid w:val="0"/>
              <w:ind w:left="0" w:leftChars="0" w:firstLine="0" w:firstLineChars="0"/>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生态环境保护目标</w:t>
            </w:r>
          </w:p>
        </w:tc>
        <w:tc>
          <w:tcPr>
            <w:tcW w:w="7724" w:type="dxa"/>
            <w:noWrap w:val="0"/>
            <w:vAlign w:val="center"/>
          </w:tcPr>
          <w:p w14:paraId="566B63EC">
            <w:pPr>
              <w:pStyle w:val="32"/>
              <w:numPr>
                <w:ilvl w:val="0"/>
                <w:numId w:val="0"/>
              </w:numPr>
              <w:ind w:firstLine="482" w:firstLineChars="200"/>
              <w:rPr>
                <w:rFonts w:hint="eastAsia" w:cs="Times New Roman"/>
                <w:b/>
                <w:bCs/>
                <w:color w:val="auto"/>
                <w:lang w:val="en-US" w:eastAsia="zh-CN"/>
              </w:rPr>
            </w:pPr>
            <w:r>
              <w:rPr>
                <w:rFonts w:hint="eastAsia" w:cs="Times New Roman"/>
                <w:b/>
                <w:bCs/>
                <w:color w:val="auto"/>
                <w:lang w:val="en-US" w:eastAsia="zh-CN"/>
              </w:rPr>
              <w:t>3.2.1 大气环境</w:t>
            </w:r>
          </w:p>
          <w:p w14:paraId="2E8C1D48">
            <w:pPr>
              <w:pStyle w:val="32"/>
              <w:numPr>
                <w:ilvl w:val="0"/>
                <w:numId w:val="0"/>
              </w:numPr>
              <w:ind w:firstLine="480" w:firstLineChars="200"/>
              <w:rPr>
                <w:rFonts w:hint="eastAsia" w:cs="Times New Roman"/>
                <w:color w:val="auto"/>
                <w:lang w:val="en-US" w:eastAsia="zh-CN"/>
              </w:rPr>
            </w:pPr>
            <w:r>
              <w:rPr>
                <w:rFonts w:hint="eastAsia" w:cs="Times New Roman"/>
                <w:color w:val="auto"/>
                <w:lang w:val="en-US" w:eastAsia="zh-CN"/>
              </w:rPr>
              <w:t>根据现状调查，本次评价区范围500m内无自然保护区、风景名胜区、世界文化和自然遗产、饮用水水源保护区；也没有以医疗卫生、文化教育、科研、行政办公等为主要功能的区域，无文物保护单位，无具有特殊历史、文化、科学、民族意义的保护地等环境敏感区。本项目管线两侧500m评价范围内无环境保护目标。</w:t>
            </w:r>
          </w:p>
          <w:p w14:paraId="47104B3B">
            <w:pPr>
              <w:pStyle w:val="32"/>
              <w:ind w:firstLine="480"/>
              <w:rPr>
                <w:rFonts w:hint="eastAsia" w:cs="Times New Roman"/>
                <w:b/>
                <w:bCs/>
                <w:color w:val="auto"/>
                <w:lang w:val="en-US" w:eastAsia="zh-CN"/>
              </w:rPr>
            </w:pPr>
            <w:r>
              <w:rPr>
                <w:rFonts w:hint="eastAsia" w:cs="Times New Roman"/>
                <w:b/>
                <w:bCs/>
                <w:color w:val="auto"/>
                <w:lang w:val="en-US" w:eastAsia="zh-CN"/>
              </w:rPr>
              <w:t>3.2.2 地表水环境</w:t>
            </w:r>
          </w:p>
          <w:p w14:paraId="0938A8AD">
            <w:pPr>
              <w:pStyle w:val="32"/>
              <w:ind w:firstLine="480"/>
              <w:rPr>
                <w:rFonts w:hint="eastAsia" w:cs="Times New Roman"/>
                <w:color w:val="auto"/>
                <w:lang w:val="en-US" w:eastAsia="zh-CN"/>
              </w:rPr>
            </w:pPr>
            <w:r>
              <w:rPr>
                <w:rFonts w:hint="default" w:ascii="Times New Roman" w:hAnsi="Times New Roman" w:eastAsia="仿宋_GB2312" w:cs="Times New Roman"/>
                <w:color w:val="auto"/>
              </w:rPr>
              <w:t>本项目运营期无生产废水外排。</w:t>
            </w:r>
          </w:p>
          <w:p w14:paraId="60866D4E">
            <w:pPr>
              <w:pStyle w:val="32"/>
              <w:ind w:firstLine="482"/>
              <w:rPr>
                <w:rFonts w:hint="default" w:ascii="Times New Roman" w:hAnsi="Times New Roman" w:eastAsia="仿宋_GB2312" w:cs="Times New Roman"/>
                <w:b/>
                <w:bCs/>
                <w:color w:val="auto"/>
              </w:rPr>
            </w:pPr>
            <w:r>
              <w:rPr>
                <w:rFonts w:hint="eastAsia" w:cs="Times New Roman"/>
                <w:b/>
                <w:bCs/>
                <w:color w:val="auto"/>
                <w:lang w:val="en-US" w:eastAsia="zh-CN"/>
              </w:rPr>
              <w:t xml:space="preserve">3.2.3 </w:t>
            </w:r>
            <w:r>
              <w:rPr>
                <w:rFonts w:hint="default" w:ascii="Times New Roman" w:hAnsi="Times New Roman" w:eastAsia="仿宋_GB2312" w:cs="Times New Roman"/>
                <w:b/>
                <w:bCs/>
                <w:color w:val="auto"/>
              </w:rPr>
              <w:t>声环境</w:t>
            </w:r>
          </w:p>
          <w:p w14:paraId="04951CFE">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根据现场踏勘结果，本项目</w:t>
            </w:r>
            <w:r>
              <w:rPr>
                <w:rFonts w:hint="eastAsia" w:ascii="Times New Roman" w:hAnsi="Times New Roman" w:cs="Times New Roman"/>
                <w:color w:val="auto"/>
                <w:lang w:val="en-US" w:eastAsia="zh-CN"/>
              </w:rPr>
              <w:t>管线两侧外</w:t>
            </w:r>
            <w:r>
              <w:rPr>
                <w:rFonts w:hint="eastAsia" w:cs="Times New Roman"/>
                <w:color w:val="auto"/>
                <w:lang w:val="en-US" w:eastAsia="zh-CN"/>
              </w:rPr>
              <w:t>5</w:t>
            </w:r>
            <w:r>
              <w:rPr>
                <w:rFonts w:hint="eastAsia" w:ascii="Times New Roman" w:hAnsi="Times New Roman" w:cs="Times New Roman"/>
                <w:color w:val="auto"/>
                <w:lang w:val="en-US" w:eastAsia="zh-CN"/>
              </w:rPr>
              <w:t>0m范围内无</w:t>
            </w:r>
            <w:r>
              <w:rPr>
                <w:rFonts w:hint="default" w:ascii="Times New Roman" w:hAnsi="Times New Roman" w:eastAsia="仿宋_GB2312" w:cs="Times New Roman"/>
                <w:color w:val="auto"/>
              </w:rPr>
              <w:t>声环境保护目标。</w:t>
            </w:r>
          </w:p>
          <w:p w14:paraId="38B12A8C">
            <w:pPr>
              <w:pStyle w:val="32"/>
              <w:ind w:firstLine="482"/>
              <w:rPr>
                <w:rFonts w:hint="default" w:ascii="Times New Roman" w:hAnsi="Times New Roman" w:eastAsia="仿宋_GB2312" w:cs="Times New Roman"/>
                <w:b/>
                <w:bCs/>
                <w:color w:val="auto"/>
              </w:rPr>
            </w:pPr>
            <w:r>
              <w:rPr>
                <w:rFonts w:hint="eastAsia" w:cs="Times New Roman"/>
                <w:b/>
                <w:bCs/>
                <w:color w:val="auto"/>
                <w:lang w:val="en-US" w:eastAsia="zh-CN"/>
              </w:rPr>
              <w:t xml:space="preserve">3.2.4 </w:t>
            </w:r>
            <w:r>
              <w:rPr>
                <w:rFonts w:hint="default" w:ascii="Times New Roman" w:hAnsi="Times New Roman" w:eastAsia="仿宋_GB2312" w:cs="Times New Roman"/>
                <w:b/>
                <w:bCs/>
                <w:color w:val="auto"/>
              </w:rPr>
              <w:t>地下水环境</w:t>
            </w:r>
          </w:p>
          <w:p w14:paraId="36221C4F">
            <w:pPr>
              <w:pStyle w:val="32"/>
              <w:ind w:firstLine="480"/>
              <w:rPr>
                <w:rFonts w:hint="eastAsia" w:cs="Times New Roman"/>
                <w:color w:val="auto"/>
                <w:lang w:val="en-US" w:eastAsia="zh-CN"/>
              </w:rPr>
            </w:pPr>
            <w:r>
              <w:rPr>
                <w:rFonts w:hint="default" w:ascii="Times New Roman" w:hAnsi="Times New Roman" w:eastAsia="仿宋_GB2312" w:cs="Times New Roman"/>
                <w:color w:val="auto"/>
              </w:rPr>
              <w:t>根据现场踏勘结果，</w:t>
            </w:r>
            <w:r>
              <w:rPr>
                <w:rFonts w:hint="eastAsia" w:ascii="Times New Roman" w:hAnsi="Times New Roman" w:cs="Times New Roman"/>
                <w:color w:val="auto"/>
                <w:lang w:val="en-US" w:eastAsia="zh-CN"/>
              </w:rPr>
              <w:t>本项目</w:t>
            </w:r>
            <w:r>
              <w:rPr>
                <w:rFonts w:hint="eastAsia" w:cs="Times New Roman"/>
                <w:color w:val="auto"/>
                <w:lang w:val="en-US" w:eastAsia="zh-CN"/>
              </w:rPr>
              <w:t>管线两侧外500米范围内无地下水集中式饮用水水源和热水、矿泉水、温泉等特殊地下水资源。</w:t>
            </w:r>
          </w:p>
          <w:p w14:paraId="72883836">
            <w:pPr>
              <w:pStyle w:val="32"/>
              <w:ind w:firstLine="482"/>
              <w:rPr>
                <w:rFonts w:hint="default" w:ascii="Times New Roman" w:hAnsi="Times New Roman" w:eastAsia="仿宋_GB2312" w:cs="Times New Roman"/>
                <w:b/>
                <w:bCs/>
                <w:color w:val="auto"/>
              </w:rPr>
            </w:pPr>
            <w:r>
              <w:rPr>
                <w:rFonts w:hint="eastAsia" w:cs="Times New Roman"/>
                <w:b/>
                <w:bCs/>
                <w:color w:val="auto"/>
                <w:lang w:val="en-US" w:eastAsia="zh-CN"/>
              </w:rPr>
              <w:t xml:space="preserve">3.2.5 </w:t>
            </w:r>
            <w:r>
              <w:rPr>
                <w:rFonts w:hint="default" w:ascii="Times New Roman" w:hAnsi="Times New Roman" w:eastAsia="仿宋_GB2312" w:cs="Times New Roman"/>
                <w:b/>
                <w:bCs/>
                <w:color w:val="auto"/>
              </w:rPr>
              <w:t>生态环境</w:t>
            </w:r>
          </w:p>
          <w:p w14:paraId="1E0EF3BF">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本项目位于安徽</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淮北</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新型煤化工合成材料基地内</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本地区不属于特殊保护区、生态脆弱区和特殊地貌景观区，评价区内无重点保护文物、古迹、植物、动物及人文景观等。根据</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环境影响评价技术导则生态影响</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HJ19一2022</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中</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线性工程穿越非生态敏感区时，以线路中心线向两侧外延300m为参考评价范围</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的相关要求，本项目管线两侧外延300m范围内均不涉及生态环境保护目标。</w:t>
            </w:r>
          </w:p>
          <w:p w14:paraId="3841E54D">
            <w:pPr>
              <w:pStyle w:val="29"/>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zh-CN"/>
              </w:rPr>
              <w:t>表</w:t>
            </w:r>
            <w:r>
              <w:rPr>
                <w:rFonts w:hint="eastAsia" w:ascii="Times New Roman" w:hAnsi="Times New Roman" w:eastAsia="仿宋_GB2312" w:cs="Times New Roman"/>
                <w:color w:val="auto"/>
                <w:lang w:val="en-US" w:eastAsia="zh-CN"/>
              </w:rPr>
              <w:t>3</w:t>
            </w:r>
            <w:r>
              <w:rPr>
                <w:rFonts w:hint="eastAsia" w:eastAsia="仿宋_GB2312" w:cs="Times New Roman"/>
                <w:color w:val="auto"/>
                <w:lang w:val="en-US" w:eastAsia="zh-CN"/>
              </w:rPr>
              <w:t>.2</w:t>
            </w:r>
            <w:r>
              <w:rPr>
                <w:rFonts w:hint="eastAsia" w:ascii="Times New Roman" w:hAnsi="Times New Roman" w:eastAsia="仿宋_GB2312" w:cs="Times New Roman"/>
                <w:color w:val="auto"/>
                <w:lang w:val="en-US" w:eastAsia="zh-CN"/>
              </w:rPr>
              <w:t>-</w:t>
            </w:r>
            <w:r>
              <w:rPr>
                <w:rFonts w:hint="eastAsia" w:eastAsia="仿宋_GB2312" w:cs="Times New Roman"/>
                <w:color w:val="auto"/>
                <w:lang w:val="en-US" w:eastAsia="zh-CN"/>
              </w:rPr>
              <w:t>1</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本项目主要环境保护目标</w:t>
            </w:r>
          </w:p>
          <w:tbl>
            <w:tblPr>
              <w:tblStyle w:val="14"/>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76"/>
              <w:gridCol w:w="1033"/>
              <w:gridCol w:w="893"/>
              <w:gridCol w:w="1786"/>
              <w:gridCol w:w="866"/>
              <w:gridCol w:w="1948"/>
            </w:tblGrid>
            <w:tr w14:paraId="5D8D94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1" w:type="pct"/>
                  <w:tcBorders>
                    <w:tl2br w:val="nil"/>
                    <w:tr2bl w:val="nil"/>
                  </w:tcBorders>
                  <w:noWrap w:val="0"/>
                  <w:vAlign w:val="center"/>
                </w:tcPr>
                <w:p w14:paraId="21A089D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类别</w:t>
                  </w:r>
                </w:p>
              </w:tc>
              <w:tc>
                <w:tcPr>
                  <w:tcW w:w="688" w:type="pct"/>
                  <w:tcBorders>
                    <w:tl2br w:val="nil"/>
                    <w:tr2bl w:val="nil"/>
                  </w:tcBorders>
                  <w:noWrap w:val="0"/>
                  <w:vAlign w:val="center"/>
                </w:tcPr>
                <w:p w14:paraId="533A35D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保护对象</w:t>
                  </w:r>
                </w:p>
              </w:tc>
              <w:tc>
                <w:tcPr>
                  <w:tcW w:w="595" w:type="pct"/>
                  <w:tcBorders>
                    <w:tl2br w:val="nil"/>
                    <w:tr2bl w:val="nil"/>
                  </w:tcBorders>
                  <w:noWrap w:val="0"/>
                  <w:vAlign w:val="center"/>
                </w:tcPr>
                <w:p w14:paraId="533287D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保护内容</w:t>
                  </w:r>
                </w:p>
              </w:tc>
              <w:tc>
                <w:tcPr>
                  <w:tcW w:w="1190" w:type="pct"/>
                  <w:tcBorders>
                    <w:tl2br w:val="nil"/>
                    <w:tr2bl w:val="nil"/>
                  </w:tcBorders>
                  <w:noWrap w:val="0"/>
                  <w:vAlign w:val="center"/>
                </w:tcPr>
                <w:p w14:paraId="7C0E60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环境功能</w:t>
                  </w:r>
                </w:p>
              </w:tc>
              <w:tc>
                <w:tcPr>
                  <w:tcW w:w="577" w:type="pct"/>
                  <w:tcBorders>
                    <w:tl2br w:val="nil"/>
                    <w:tr2bl w:val="nil"/>
                  </w:tcBorders>
                  <w:noWrap w:val="0"/>
                  <w:vAlign w:val="center"/>
                </w:tcPr>
                <w:p w14:paraId="0252BF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相对方位</w:t>
                  </w:r>
                </w:p>
              </w:tc>
              <w:tc>
                <w:tcPr>
                  <w:tcW w:w="1296" w:type="pct"/>
                  <w:tcBorders>
                    <w:tl2br w:val="nil"/>
                    <w:tr2bl w:val="nil"/>
                  </w:tcBorders>
                  <w:noWrap w:val="0"/>
                  <w:vAlign w:val="center"/>
                </w:tcPr>
                <w:p w14:paraId="4E2FBCD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kern w:val="2"/>
                      <w:sz w:val="18"/>
                      <w:szCs w:val="18"/>
                      <w:lang w:val="en-US" w:eastAsia="zh-CN" w:bidi="ar-SA"/>
                    </w:rPr>
                  </w:pPr>
                  <w:r>
                    <w:rPr>
                      <w:rFonts w:hint="eastAsia" w:ascii="Times New Roman" w:hAnsi="Times New Roman" w:cs="Times New Roman"/>
                      <w:b/>
                      <w:bCs/>
                      <w:color w:val="auto"/>
                      <w:kern w:val="2"/>
                      <w:sz w:val="18"/>
                      <w:szCs w:val="18"/>
                      <w:lang w:val="en-US" w:eastAsia="zh-CN" w:bidi="ar-SA"/>
                    </w:rPr>
                    <w:t>相对管线中心线距离/m</w:t>
                  </w:r>
                </w:p>
              </w:tc>
            </w:tr>
            <w:tr w14:paraId="76C607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1" w:type="pct"/>
                  <w:tcBorders>
                    <w:tl2br w:val="nil"/>
                    <w:tr2bl w:val="nil"/>
                  </w:tcBorders>
                  <w:noWrap w:val="0"/>
                  <w:vAlign w:val="center"/>
                </w:tcPr>
                <w:p w14:paraId="7A76F65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大气环境</w:t>
                  </w:r>
                </w:p>
              </w:tc>
              <w:tc>
                <w:tcPr>
                  <w:tcW w:w="688" w:type="pct"/>
                  <w:tcBorders>
                    <w:tl2br w:val="nil"/>
                    <w:tr2bl w:val="nil"/>
                  </w:tcBorders>
                  <w:noWrap w:val="0"/>
                  <w:vAlign w:val="center"/>
                </w:tcPr>
                <w:p w14:paraId="3E8EAE6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p>
              </w:tc>
              <w:tc>
                <w:tcPr>
                  <w:tcW w:w="595" w:type="pct"/>
                  <w:tcBorders>
                    <w:tl2br w:val="nil"/>
                    <w:tr2bl w:val="nil"/>
                  </w:tcBorders>
                  <w:noWrap w:val="0"/>
                  <w:vAlign w:val="center"/>
                </w:tcPr>
                <w:p w14:paraId="3C40461B">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空气环境</w:t>
                  </w:r>
                </w:p>
              </w:tc>
              <w:tc>
                <w:tcPr>
                  <w:tcW w:w="1190" w:type="pct"/>
                  <w:tcBorders>
                    <w:tl2br w:val="nil"/>
                    <w:tr2bl w:val="nil"/>
                  </w:tcBorders>
                  <w:noWrap w:val="0"/>
                  <w:vAlign w:val="center"/>
                </w:tcPr>
                <w:p w14:paraId="5A13AEA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《环境空气质量标准》（GB3095-2012）中二级标准</w:t>
                  </w:r>
                </w:p>
              </w:tc>
              <w:tc>
                <w:tcPr>
                  <w:tcW w:w="577" w:type="pct"/>
                  <w:tcBorders>
                    <w:tl2br w:val="nil"/>
                    <w:tr2bl w:val="nil"/>
                  </w:tcBorders>
                  <w:noWrap w:val="0"/>
                  <w:vAlign w:val="center"/>
                </w:tcPr>
                <w:p w14:paraId="1959D449">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w:t>
                  </w:r>
                </w:p>
              </w:tc>
              <w:tc>
                <w:tcPr>
                  <w:tcW w:w="1296" w:type="pct"/>
                  <w:tcBorders>
                    <w:tl2br w:val="nil"/>
                    <w:tr2bl w:val="nil"/>
                  </w:tcBorders>
                  <w:noWrap w:val="0"/>
                  <w:vAlign w:val="center"/>
                </w:tcPr>
                <w:p w14:paraId="288695B4">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w:t>
                  </w:r>
                </w:p>
              </w:tc>
            </w:tr>
            <w:tr w14:paraId="635158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1" w:type="pct"/>
                  <w:vMerge w:val="restart"/>
                  <w:tcBorders>
                    <w:tl2br w:val="nil"/>
                    <w:tr2bl w:val="nil"/>
                  </w:tcBorders>
                  <w:noWrap w:val="0"/>
                  <w:vAlign w:val="center"/>
                </w:tcPr>
                <w:p w14:paraId="742ED9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地表水环境</w:t>
                  </w:r>
                </w:p>
              </w:tc>
              <w:tc>
                <w:tcPr>
                  <w:tcW w:w="688" w:type="pct"/>
                  <w:tcBorders>
                    <w:tl2br w:val="nil"/>
                    <w:tr2bl w:val="nil"/>
                  </w:tcBorders>
                  <w:noWrap w:val="0"/>
                  <w:vAlign w:val="center"/>
                </w:tcPr>
                <w:p w14:paraId="54A6F72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孟沟</w:t>
                  </w:r>
                </w:p>
              </w:tc>
              <w:tc>
                <w:tcPr>
                  <w:tcW w:w="595" w:type="pct"/>
                  <w:tcBorders>
                    <w:tl2br w:val="nil"/>
                    <w:tr2bl w:val="nil"/>
                  </w:tcBorders>
                  <w:noWrap w:val="0"/>
                  <w:vAlign w:val="center"/>
                </w:tcPr>
                <w:p w14:paraId="7124418C">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沟渠</w:t>
                  </w:r>
                </w:p>
              </w:tc>
              <w:tc>
                <w:tcPr>
                  <w:tcW w:w="1190" w:type="pct"/>
                  <w:vMerge w:val="restart"/>
                  <w:tcBorders>
                    <w:tl2br w:val="nil"/>
                    <w:tr2bl w:val="nil"/>
                  </w:tcBorders>
                  <w:noWrap w:val="0"/>
                  <w:vAlign w:val="center"/>
                </w:tcPr>
                <w:p w14:paraId="71744214">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《地表水环境质量标准》（GB3838-2002）中IV类标准</w:t>
                  </w:r>
                </w:p>
              </w:tc>
              <w:tc>
                <w:tcPr>
                  <w:tcW w:w="577" w:type="pct"/>
                  <w:tcBorders>
                    <w:tl2br w:val="nil"/>
                    <w:tr2bl w:val="nil"/>
                  </w:tcBorders>
                  <w:noWrap w:val="0"/>
                  <w:vAlign w:val="center"/>
                </w:tcPr>
                <w:p w14:paraId="4D5BE118">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S</w:t>
                  </w:r>
                </w:p>
              </w:tc>
              <w:tc>
                <w:tcPr>
                  <w:tcW w:w="1296" w:type="pct"/>
                  <w:tcBorders>
                    <w:tl2br w:val="nil"/>
                    <w:tr2bl w:val="nil"/>
                  </w:tcBorders>
                  <w:noWrap w:val="0"/>
                  <w:vAlign w:val="center"/>
                </w:tcPr>
                <w:p w14:paraId="1F5298A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682</w:t>
                  </w:r>
                </w:p>
              </w:tc>
            </w:tr>
            <w:tr w14:paraId="469844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1" w:type="pct"/>
                  <w:vMerge w:val="continue"/>
                  <w:tcBorders>
                    <w:tl2br w:val="nil"/>
                    <w:tr2bl w:val="nil"/>
                  </w:tcBorders>
                  <w:noWrap w:val="0"/>
                  <w:vAlign w:val="center"/>
                </w:tcPr>
                <w:p w14:paraId="374D25C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688" w:type="pct"/>
                  <w:tcBorders>
                    <w:tl2br w:val="nil"/>
                    <w:tr2bl w:val="nil"/>
                  </w:tcBorders>
                  <w:noWrap w:val="0"/>
                  <w:vAlign w:val="center"/>
                </w:tcPr>
                <w:p w14:paraId="51965C0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运粮沟</w:t>
                  </w:r>
                </w:p>
              </w:tc>
              <w:tc>
                <w:tcPr>
                  <w:tcW w:w="595" w:type="pct"/>
                  <w:tcBorders>
                    <w:tl2br w:val="nil"/>
                    <w:tr2bl w:val="nil"/>
                  </w:tcBorders>
                  <w:noWrap w:val="0"/>
                  <w:vAlign w:val="center"/>
                </w:tcPr>
                <w:p w14:paraId="7C582426">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沟渠</w:t>
                  </w:r>
                </w:p>
              </w:tc>
              <w:tc>
                <w:tcPr>
                  <w:tcW w:w="1190" w:type="pct"/>
                  <w:vMerge w:val="continue"/>
                  <w:tcBorders>
                    <w:tl2br w:val="nil"/>
                    <w:tr2bl w:val="nil"/>
                  </w:tcBorders>
                  <w:noWrap w:val="0"/>
                  <w:vAlign w:val="center"/>
                </w:tcPr>
                <w:p w14:paraId="6852AE99">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577" w:type="pct"/>
                  <w:tcBorders>
                    <w:tl2br w:val="nil"/>
                    <w:tr2bl w:val="nil"/>
                  </w:tcBorders>
                  <w:noWrap w:val="0"/>
                  <w:vAlign w:val="center"/>
                </w:tcPr>
                <w:p w14:paraId="0CBC923A">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W</w:t>
                  </w:r>
                </w:p>
              </w:tc>
              <w:tc>
                <w:tcPr>
                  <w:tcW w:w="1296" w:type="pct"/>
                  <w:tcBorders>
                    <w:tl2br w:val="nil"/>
                    <w:tr2bl w:val="nil"/>
                  </w:tcBorders>
                  <w:noWrap w:val="0"/>
                  <w:vAlign w:val="center"/>
                </w:tcPr>
                <w:p w14:paraId="7190CB90">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2530</w:t>
                  </w:r>
                </w:p>
              </w:tc>
            </w:tr>
            <w:tr w14:paraId="10ABF7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1" w:type="pct"/>
                  <w:vMerge w:val="continue"/>
                  <w:tcBorders>
                    <w:tl2br w:val="nil"/>
                    <w:tr2bl w:val="nil"/>
                  </w:tcBorders>
                  <w:noWrap w:val="0"/>
                  <w:vAlign w:val="center"/>
                </w:tcPr>
                <w:p w14:paraId="24512E8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18"/>
                      <w:szCs w:val="18"/>
                      <w:lang w:val="en-US" w:eastAsia="zh-CN" w:bidi="ar-SA"/>
                    </w:rPr>
                  </w:pPr>
                </w:p>
              </w:tc>
              <w:tc>
                <w:tcPr>
                  <w:tcW w:w="688" w:type="pct"/>
                  <w:tcBorders>
                    <w:tl2br w:val="nil"/>
                    <w:tr2bl w:val="nil"/>
                  </w:tcBorders>
                  <w:noWrap w:val="0"/>
                  <w:vAlign w:val="center"/>
                </w:tcPr>
                <w:p w14:paraId="4562F77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浍河</w:t>
                  </w:r>
                </w:p>
              </w:tc>
              <w:tc>
                <w:tcPr>
                  <w:tcW w:w="595" w:type="pct"/>
                  <w:tcBorders>
                    <w:tl2br w:val="nil"/>
                    <w:tr2bl w:val="nil"/>
                  </w:tcBorders>
                  <w:noWrap w:val="0"/>
                  <w:vAlign w:val="center"/>
                </w:tcPr>
                <w:p w14:paraId="45CB3EED">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kern w:val="2"/>
                      <w:sz w:val="18"/>
                      <w:szCs w:val="18"/>
                      <w:lang w:val="en-US" w:eastAsia="zh-CN" w:bidi="ar-SA"/>
                    </w:rPr>
                    <w:t>河流</w:t>
                  </w:r>
                </w:p>
              </w:tc>
              <w:tc>
                <w:tcPr>
                  <w:tcW w:w="1190" w:type="pct"/>
                  <w:vMerge w:val="continue"/>
                  <w:tcBorders>
                    <w:tl2br w:val="nil"/>
                    <w:tr2bl w:val="nil"/>
                  </w:tcBorders>
                  <w:noWrap w:val="0"/>
                  <w:vAlign w:val="center"/>
                </w:tcPr>
                <w:p w14:paraId="75A4F0EF">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2"/>
                      <w:sz w:val="18"/>
                      <w:szCs w:val="18"/>
                      <w:lang w:val="en-US" w:eastAsia="zh-CN" w:bidi="ar-SA"/>
                    </w:rPr>
                  </w:pPr>
                </w:p>
              </w:tc>
              <w:tc>
                <w:tcPr>
                  <w:tcW w:w="577" w:type="pct"/>
                  <w:tcBorders>
                    <w:tl2br w:val="nil"/>
                    <w:tr2bl w:val="nil"/>
                  </w:tcBorders>
                  <w:noWrap w:val="0"/>
                  <w:vAlign w:val="center"/>
                </w:tcPr>
                <w:p w14:paraId="399E196E">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EN</w:t>
                  </w:r>
                </w:p>
              </w:tc>
              <w:tc>
                <w:tcPr>
                  <w:tcW w:w="1296" w:type="pct"/>
                  <w:tcBorders>
                    <w:tl2br w:val="nil"/>
                    <w:tr2bl w:val="nil"/>
                  </w:tcBorders>
                  <w:noWrap w:val="0"/>
                  <w:vAlign w:val="center"/>
                </w:tcPr>
                <w:p w14:paraId="61CD2F4C">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7</w:t>
                  </w:r>
                  <w:r>
                    <w:rPr>
                      <w:rFonts w:hint="eastAsia" w:eastAsia="仿宋_GB2312" w:cs="Times New Roman"/>
                      <w:color w:val="auto"/>
                      <w:sz w:val="18"/>
                      <w:szCs w:val="18"/>
                      <w:lang w:val="en-US" w:eastAsia="zh-CN"/>
                    </w:rPr>
                    <w:t>183</w:t>
                  </w:r>
                </w:p>
              </w:tc>
            </w:tr>
            <w:tr w14:paraId="02D36F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1" w:type="pct"/>
                  <w:tcBorders>
                    <w:tl2br w:val="nil"/>
                    <w:tr2bl w:val="nil"/>
                  </w:tcBorders>
                  <w:noWrap w:val="0"/>
                  <w:vAlign w:val="center"/>
                </w:tcPr>
                <w:p w14:paraId="3D83ADD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声环境</w:t>
                  </w:r>
                </w:p>
              </w:tc>
              <w:tc>
                <w:tcPr>
                  <w:tcW w:w="4348" w:type="pct"/>
                  <w:gridSpan w:val="5"/>
                  <w:tcBorders>
                    <w:tl2br w:val="nil"/>
                    <w:tr2bl w:val="nil"/>
                  </w:tcBorders>
                  <w:noWrap w:val="0"/>
                  <w:vAlign w:val="center"/>
                </w:tcPr>
                <w:p w14:paraId="411446B6">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kern w:val="2"/>
                      <w:sz w:val="18"/>
                      <w:szCs w:val="18"/>
                      <w:lang w:val="en-US" w:eastAsia="zh-CN" w:bidi="ar-SA"/>
                    </w:rPr>
                    <w:t>项目</w:t>
                  </w:r>
                  <w:r>
                    <w:rPr>
                      <w:rFonts w:hint="default" w:ascii="Times New Roman" w:hAnsi="Times New Roman" w:eastAsia="仿宋_GB2312" w:cs="Times New Roman"/>
                      <w:color w:val="auto"/>
                      <w:kern w:val="2"/>
                      <w:sz w:val="18"/>
                      <w:szCs w:val="18"/>
                      <w:lang w:val="en-US" w:eastAsia="zh-CN" w:bidi="ar-SA"/>
                    </w:rPr>
                    <w:t>管线两侧外</w:t>
                  </w:r>
                  <w:r>
                    <w:rPr>
                      <w:rFonts w:hint="eastAsia" w:eastAsia="仿宋_GB2312" w:cs="Times New Roman"/>
                      <w:color w:val="auto"/>
                      <w:kern w:val="2"/>
                      <w:sz w:val="18"/>
                      <w:szCs w:val="18"/>
                      <w:lang w:val="en-US" w:eastAsia="zh-CN" w:bidi="ar-SA"/>
                    </w:rPr>
                    <w:t>5</w:t>
                  </w:r>
                  <w:r>
                    <w:rPr>
                      <w:rFonts w:hint="default" w:ascii="Times New Roman" w:hAnsi="Times New Roman" w:eastAsia="仿宋_GB2312" w:cs="Times New Roman"/>
                      <w:color w:val="auto"/>
                      <w:kern w:val="2"/>
                      <w:sz w:val="18"/>
                      <w:szCs w:val="18"/>
                      <w:lang w:val="en-US" w:eastAsia="zh-CN" w:bidi="ar-SA"/>
                    </w:rPr>
                    <w:t>0m范围内无声环境保护目标</w:t>
                  </w:r>
                </w:p>
              </w:tc>
            </w:tr>
            <w:tr w14:paraId="513E1D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1" w:type="pct"/>
                  <w:tcBorders>
                    <w:tl2br w:val="nil"/>
                    <w:tr2bl w:val="nil"/>
                  </w:tcBorders>
                  <w:noWrap w:val="0"/>
                  <w:vAlign w:val="center"/>
                </w:tcPr>
                <w:p w14:paraId="6035D8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土壤、地下水</w:t>
                  </w:r>
                </w:p>
              </w:tc>
              <w:tc>
                <w:tcPr>
                  <w:tcW w:w="4348" w:type="pct"/>
                  <w:gridSpan w:val="5"/>
                  <w:tcBorders>
                    <w:tl2br w:val="nil"/>
                    <w:tr2bl w:val="nil"/>
                  </w:tcBorders>
                  <w:noWrap w:val="0"/>
                  <w:vAlign w:val="center"/>
                </w:tcPr>
                <w:p w14:paraId="05DA3215">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项目管线两侧外500米范围内无地下水集中式饮用水水源和热水、矿泉水、温泉等特殊地下水资源</w:t>
                  </w:r>
                </w:p>
              </w:tc>
            </w:tr>
            <w:tr w14:paraId="5F8451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1" w:type="pct"/>
                  <w:tcBorders>
                    <w:tl2br w:val="nil"/>
                    <w:tr2bl w:val="nil"/>
                  </w:tcBorders>
                  <w:noWrap w:val="0"/>
                  <w:vAlign w:val="center"/>
                </w:tcPr>
                <w:p w14:paraId="644265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生态环境</w:t>
                  </w:r>
                </w:p>
              </w:tc>
              <w:tc>
                <w:tcPr>
                  <w:tcW w:w="4348" w:type="pct"/>
                  <w:gridSpan w:val="5"/>
                  <w:tcBorders>
                    <w:tl2br w:val="nil"/>
                    <w:tr2bl w:val="nil"/>
                  </w:tcBorders>
                  <w:noWrap w:val="0"/>
                  <w:vAlign w:val="center"/>
                </w:tcPr>
                <w:p w14:paraId="276E0F07">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项目管线两侧外延300m范围内均不涉及生态环境保护目标</w:t>
                  </w:r>
                </w:p>
              </w:tc>
            </w:tr>
          </w:tbl>
          <w:p w14:paraId="386A36BE">
            <w:pPr>
              <w:spacing w:line="240" w:lineRule="atLeast"/>
              <w:ind w:firstLine="0" w:firstLineChars="0"/>
              <w:rPr>
                <w:rFonts w:hint="default" w:ascii="Times New Roman" w:hAnsi="Times New Roman" w:eastAsia="仿宋_GB2312" w:cs="Times New Roman"/>
                <w:color w:val="auto"/>
                <w:kern w:val="0"/>
                <w:szCs w:val="21"/>
              </w:rPr>
            </w:pPr>
          </w:p>
        </w:tc>
      </w:tr>
      <w:tr w14:paraId="03282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798" w:type="dxa"/>
            <w:noWrap w:val="0"/>
            <w:vAlign w:val="center"/>
          </w:tcPr>
          <w:p w14:paraId="40C3F1FC">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评价</w:t>
            </w:r>
          </w:p>
          <w:p w14:paraId="51423CAC">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标准</w:t>
            </w:r>
          </w:p>
        </w:tc>
        <w:tc>
          <w:tcPr>
            <w:tcW w:w="7724" w:type="dxa"/>
            <w:noWrap w:val="0"/>
            <w:vAlign w:val="center"/>
          </w:tcPr>
          <w:p w14:paraId="22C0E644">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0"/>
              <w:textAlignment w:val="auto"/>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3.3.1 环境质量标准</w:t>
            </w:r>
          </w:p>
          <w:p w14:paraId="708886A2">
            <w:pPr>
              <w:pStyle w:val="32"/>
              <w:ind w:firstLine="480"/>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3.3.1.1 环境空气</w:t>
            </w:r>
          </w:p>
          <w:p w14:paraId="31458A84">
            <w:pPr>
              <w:pStyle w:val="32"/>
              <w:ind w:firstLine="480"/>
              <w:rPr>
                <w:rFonts w:hint="default" w:ascii="Times New Roman" w:hAnsi="Times New Roman" w:eastAsia="仿宋_GB2312" w:cs="Times New Roman"/>
                <w:color w:val="auto"/>
              </w:rPr>
            </w:pPr>
            <w:r>
              <w:rPr>
                <w:rFonts w:hint="eastAsia" w:cs="Times New Roman"/>
                <w:color w:val="auto"/>
                <w:lang w:val="en-US" w:eastAsia="zh-CN"/>
              </w:rPr>
              <w:t>本项目所在</w:t>
            </w:r>
            <w:r>
              <w:rPr>
                <w:rFonts w:hint="default" w:ascii="Times New Roman" w:hAnsi="Times New Roman" w:eastAsia="仿宋_GB2312" w:cs="Times New Roman"/>
                <w:color w:val="auto"/>
              </w:rPr>
              <w:t>区域大气环境质量为二类区，大气环境质量现状评价时SO</w:t>
            </w:r>
            <w:r>
              <w:rPr>
                <w:rFonts w:hint="default" w:ascii="Times New Roman" w:hAnsi="Times New Roman" w:eastAsia="仿宋_GB2312" w:cs="Times New Roman"/>
                <w:color w:val="auto"/>
                <w:vertAlign w:val="subscript"/>
              </w:rPr>
              <w:t>2</w:t>
            </w:r>
            <w:r>
              <w:rPr>
                <w:rFonts w:hint="default" w:ascii="Times New Roman" w:hAnsi="Times New Roman" w:eastAsia="仿宋_GB2312" w:cs="Times New Roman"/>
                <w:color w:val="auto"/>
              </w:rPr>
              <w:t>、NO</w:t>
            </w:r>
            <w:r>
              <w:rPr>
                <w:rFonts w:hint="default" w:ascii="Times New Roman" w:hAnsi="Times New Roman" w:eastAsia="仿宋_GB2312" w:cs="Times New Roman"/>
                <w:color w:val="auto"/>
                <w:vertAlign w:val="subscript"/>
              </w:rPr>
              <w:t>2</w:t>
            </w:r>
            <w:r>
              <w:rPr>
                <w:rFonts w:hint="default" w:ascii="Times New Roman" w:hAnsi="Times New Roman" w:eastAsia="仿宋_GB2312" w:cs="Times New Roman"/>
                <w:color w:val="auto"/>
              </w:rPr>
              <w:t>、PM</w:t>
            </w:r>
            <w:r>
              <w:rPr>
                <w:rFonts w:hint="default" w:ascii="Times New Roman" w:hAnsi="Times New Roman" w:eastAsia="仿宋_GB2312" w:cs="Times New Roman"/>
                <w:color w:val="auto"/>
                <w:vertAlign w:val="subscript"/>
              </w:rPr>
              <w:t>10</w:t>
            </w:r>
            <w:r>
              <w:rPr>
                <w:rFonts w:hint="default" w:ascii="Times New Roman" w:hAnsi="Times New Roman" w:eastAsia="仿宋_GB2312" w:cs="Times New Roman"/>
                <w:color w:val="auto"/>
              </w:rPr>
              <w:t>、PM</w:t>
            </w:r>
            <w:r>
              <w:rPr>
                <w:rFonts w:hint="default" w:ascii="Times New Roman" w:hAnsi="Times New Roman" w:eastAsia="仿宋_GB2312" w:cs="Times New Roman"/>
                <w:color w:val="auto"/>
                <w:vertAlign w:val="subscript"/>
              </w:rPr>
              <w:t>2.5</w:t>
            </w:r>
            <w:r>
              <w:rPr>
                <w:rFonts w:hint="default" w:ascii="Times New Roman" w:hAnsi="Times New Roman" w:eastAsia="仿宋_GB2312" w:cs="Times New Roman"/>
                <w:color w:val="auto"/>
              </w:rPr>
              <w:t>、CO、O</w:t>
            </w:r>
            <w:r>
              <w:rPr>
                <w:rFonts w:hint="default" w:ascii="Times New Roman" w:hAnsi="Times New Roman" w:eastAsia="仿宋_GB2312" w:cs="Times New Roman"/>
                <w:color w:val="auto"/>
                <w:vertAlign w:val="subscript"/>
              </w:rPr>
              <w:t>3</w:t>
            </w:r>
            <w:r>
              <w:rPr>
                <w:rFonts w:hint="eastAsia" w:cs="Times New Roman"/>
                <w:color w:val="auto"/>
                <w:vertAlign w:val="baseline"/>
                <w:lang w:val="en-US" w:eastAsia="zh-CN"/>
              </w:rPr>
              <w:t>执行《环境空气质量标准》（GB3095-2012）中二级标准，具体数值见表3.3-1；2026年3月1日至2030年12月31日，区域</w:t>
            </w:r>
            <w:r>
              <w:rPr>
                <w:rFonts w:hint="default" w:ascii="Times New Roman" w:hAnsi="Times New Roman" w:eastAsia="仿宋_GB2312" w:cs="Times New Roman"/>
                <w:color w:val="auto"/>
              </w:rPr>
              <w:t>SO</w:t>
            </w:r>
            <w:r>
              <w:rPr>
                <w:rFonts w:hint="default" w:ascii="Times New Roman" w:hAnsi="Times New Roman" w:eastAsia="仿宋_GB2312" w:cs="Times New Roman"/>
                <w:color w:val="auto"/>
                <w:vertAlign w:val="subscript"/>
              </w:rPr>
              <w:t>2</w:t>
            </w:r>
            <w:r>
              <w:rPr>
                <w:rFonts w:hint="default" w:ascii="Times New Roman" w:hAnsi="Times New Roman" w:eastAsia="仿宋_GB2312" w:cs="Times New Roman"/>
                <w:color w:val="auto"/>
              </w:rPr>
              <w:t>、NO</w:t>
            </w:r>
            <w:r>
              <w:rPr>
                <w:rFonts w:hint="default" w:ascii="Times New Roman" w:hAnsi="Times New Roman" w:eastAsia="仿宋_GB2312" w:cs="Times New Roman"/>
                <w:color w:val="auto"/>
                <w:vertAlign w:val="subscript"/>
              </w:rPr>
              <w:t>2</w:t>
            </w:r>
            <w:r>
              <w:rPr>
                <w:rFonts w:hint="default" w:ascii="Times New Roman" w:hAnsi="Times New Roman" w:eastAsia="仿宋_GB2312" w:cs="Times New Roman"/>
                <w:color w:val="auto"/>
              </w:rPr>
              <w:t>、PM</w:t>
            </w:r>
            <w:r>
              <w:rPr>
                <w:rFonts w:hint="default" w:ascii="Times New Roman" w:hAnsi="Times New Roman" w:eastAsia="仿宋_GB2312" w:cs="Times New Roman"/>
                <w:color w:val="auto"/>
                <w:vertAlign w:val="subscript"/>
              </w:rPr>
              <w:t>10</w:t>
            </w:r>
            <w:r>
              <w:rPr>
                <w:rFonts w:hint="default" w:ascii="Times New Roman" w:hAnsi="Times New Roman" w:eastAsia="仿宋_GB2312" w:cs="Times New Roman"/>
                <w:color w:val="auto"/>
              </w:rPr>
              <w:t>、PM</w:t>
            </w:r>
            <w:r>
              <w:rPr>
                <w:rFonts w:hint="default" w:ascii="Times New Roman" w:hAnsi="Times New Roman" w:eastAsia="仿宋_GB2312" w:cs="Times New Roman"/>
                <w:color w:val="auto"/>
                <w:vertAlign w:val="subscript"/>
              </w:rPr>
              <w:t>2.5</w:t>
            </w:r>
            <w:r>
              <w:rPr>
                <w:rFonts w:hint="default" w:ascii="Times New Roman" w:hAnsi="Times New Roman" w:eastAsia="仿宋_GB2312" w:cs="Times New Roman"/>
                <w:color w:val="auto"/>
              </w:rPr>
              <w:t>、CO、O</w:t>
            </w:r>
            <w:r>
              <w:rPr>
                <w:rFonts w:hint="default" w:ascii="Times New Roman" w:hAnsi="Times New Roman" w:eastAsia="仿宋_GB2312" w:cs="Times New Roman"/>
                <w:color w:val="auto"/>
                <w:vertAlign w:val="subscript"/>
              </w:rPr>
              <w:t>3</w:t>
            </w:r>
            <w:r>
              <w:rPr>
                <w:rFonts w:hint="eastAsia" w:cs="Times New Roman"/>
                <w:color w:val="auto"/>
                <w:vertAlign w:val="baseline"/>
                <w:lang w:val="en-US" w:eastAsia="zh-CN"/>
              </w:rPr>
              <w:t>执行《环境空气质量标准》（GB3095-2026）中表1二级过渡阶段浓度限值，2031年1月1日起，执行二级浓度限值；</w:t>
            </w:r>
            <w:r>
              <w:rPr>
                <w:rFonts w:hint="default" w:ascii="Times New Roman" w:hAnsi="Times New Roman" w:eastAsia="仿宋_GB2312" w:cs="Times New Roman"/>
                <w:color w:val="auto"/>
              </w:rPr>
              <w:t>非甲烷总烃一次值参照执行《大气污染物综合排放标准详解》</w:t>
            </w:r>
            <w:r>
              <w:rPr>
                <w:rFonts w:hint="eastAsia" w:cs="Times New Roman"/>
                <w:color w:val="auto"/>
                <w:lang w:eastAsia="zh-CN"/>
              </w:rPr>
              <w:t>，</w:t>
            </w:r>
            <w:r>
              <w:rPr>
                <w:rFonts w:hint="eastAsia" w:cs="Times New Roman"/>
                <w:color w:val="auto"/>
                <w:vertAlign w:val="baseline"/>
                <w:lang w:val="en-US" w:eastAsia="zh-CN"/>
              </w:rPr>
              <w:t>具体数值见表3.3-2</w:t>
            </w:r>
            <w:r>
              <w:rPr>
                <w:rFonts w:hint="default" w:ascii="Times New Roman" w:hAnsi="Times New Roman" w:eastAsia="仿宋_GB2312" w:cs="Times New Roman"/>
                <w:color w:val="auto"/>
              </w:rPr>
              <w:t>。</w:t>
            </w:r>
          </w:p>
          <w:p w14:paraId="45D75F76">
            <w:pPr>
              <w:pStyle w:val="29"/>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表3</w:t>
            </w:r>
            <w:r>
              <w:rPr>
                <w:rFonts w:hint="eastAsia" w:eastAsia="仿宋_GB2312" w:cs="Times New Roman"/>
                <w:color w:val="auto"/>
                <w:sz w:val="21"/>
                <w:szCs w:val="21"/>
                <w:lang w:val="en-US" w:eastAsia="zh-CN"/>
              </w:rPr>
              <w:t>.3</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1</w:t>
            </w:r>
            <w:r>
              <w:rPr>
                <w:rFonts w:hint="default" w:ascii="Times New Roman" w:hAnsi="Times New Roman" w:eastAsia="仿宋_GB2312" w:cs="Times New Roman"/>
                <w:color w:val="auto"/>
                <w:sz w:val="21"/>
                <w:szCs w:val="21"/>
              </w:rPr>
              <w:t xml:space="preserve">  环境空气质量标准表（</w:t>
            </w:r>
            <w:r>
              <w:rPr>
                <w:rFonts w:hint="eastAsia" w:eastAsia="仿宋_GB2312" w:cs="Times New Roman"/>
                <w:color w:val="auto"/>
                <w:sz w:val="21"/>
                <w:szCs w:val="21"/>
                <w:lang w:val="en-US" w:eastAsia="zh-CN"/>
              </w:rPr>
              <w:t>1</w:t>
            </w:r>
            <w:r>
              <w:rPr>
                <w:rFonts w:hint="default" w:ascii="Times New Roman" w:hAnsi="Times New Roman" w:eastAsia="仿宋_GB2312" w:cs="Times New Roman"/>
                <w:color w:val="auto"/>
                <w:sz w:val="21"/>
                <w:szCs w:val="21"/>
              </w:rPr>
              <w:t>）</w:t>
            </w:r>
          </w:p>
          <w:tbl>
            <w:tblPr>
              <w:tblStyle w:val="14"/>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30"/>
              <w:gridCol w:w="1764"/>
              <w:gridCol w:w="865"/>
              <w:gridCol w:w="834"/>
              <w:gridCol w:w="3015"/>
            </w:tblGrid>
            <w:tr w14:paraId="7695665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tcBorders>
                    <w:tl2br w:val="nil"/>
                    <w:tr2bl w:val="nil"/>
                  </w:tcBorders>
                  <w:noWrap w:val="0"/>
                  <w:vAlign w:val="center"/>
                </w:tcPr>
                <w:p w14:paraId="6AD60B71">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评价因子</w:t>
                  </w:r>
                </w:p>
              </w:tc>
              <w:tc>
                <w:tcPr>
                  <w:tcW w:w="1764" w:type="dxa"/>
                  <w:tcBorders>
                    <w:tl2br w:val="nil"/>
                    <w:tr2bl w:val="nil"/>
                  </w:tcBorders>
                  <w:noWrap w:val="0"/>
                  <w:vAlign w:val="center"/>
                </w:tcPr>
                <w:p w14:paraId="585378A9">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平均时段</w:t>
                  </w:r>
                </w:p>
              </w:tc>
              <w:tc>
                <w:tcPr>
                  <w:tcW w:w="865" w:type="dxa"/>
                  <w:tcBorders>
                    <w:tl2br w:val="nil"/>
                    <w:tr2bl w:val="nil"/>
                  </w:tcBorders>
                  <w:noWrap w:val="0"/>
                  <w:vAlign w:val="center"/>
                </w:tcPr>
                <w:p w14:paraId="58426591">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标准值</w:t>
                  </w:r>
                </w:p>
              </w:tc>
              <w:tc>
                <w:tcPr>
                  <w:tcW w:w="834" w:type="dxa"/>
                  <w:tcBorders>
                    <w:tl2br w:val="nil"/>
                    <w:tr2bl w:val="nil"/>
                  </w:tcBorders>
                  <w:noWrap w:val="0"/>
                  <w:vAlign w:val="center"/>
                </w:tcPr>
                <w:p w14:paraId="59E477D8">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单位</w:t>
                  </w:r>
                </w:p>
              </w:tc>
              <w:tc>
                <w:tcPr>
                  <w:tcW w:w="3015" w:type="dxa"/>
                  <w:tcBorders>
                    <w:tl2br w:val="nil"/>
                    <w:tr2bl w:val="nil"/>
                  </w:tcBorders>
                  <w:noWrap w:val="0"/>
                  <w:vAlign w:val="center"/>
                </w:tcPr>
                <w:p w14:paraId="61225B8F">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标准来源</w:t>
                  </w:r>
                </w:p>
              </w:tc>
            </w:tr>
            <w:tr w14:paraId="128F04A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restart"/>
                  <w:tcBorders>
                    <w:tl2br w:val="nil"/>
                    <w:tr2bl w:val="nil"/>
                  </w:tcBorders>
                  <w:noWrap w:val="0"/>
                  <w:vAlign w:val="center"/>
                </w:tcPr>
                <w:p w14:paraId="25DF56BA">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SO</w:t>
                  </w:r>
                  <w:r>
                    <w:rPr>
                      <w:rFonts w:hint="default" w:ascii="Times New Roman" w:hAnsi="Times New Roman" w:eastAsia="仿宋_GB2312" w:cs="Times New Roman"/>
                      <w:color w:val="auto"/>
                      <w:sz w:val="18"/>
                      <w:szCs w:val="18"/>
                      <w:vertAlign w:val="subscript"/>
                    </w:rPr>
                    <w:t>2</w:t>
                  </w:r>
                </w:p>
              </w:tc>
              <w:tc>
                <w:tcPr>
                  <w:tcW w:w="1764" w:type="dxa"/>
                  <w:tcBorders>
                    <w:tl2br w:val="nil"/>
                    <w:tr2bl w:val="nil"/>
                  </w:tcBorders>
                  <w:noWrap w:val="0"/>
                  <w:vAlign w:val="center"/>
                </w:tcPr>
                <w:p w14:paraId="5A4F7DAA">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w:t>
                  </w:r>
                </w:p>
              </w:tc>
              <w:tc>
                <w:tcPr>
                  <w:tcW w:w="865" w:type="dxa"/>
                  <w:tcBorders>
                    <w:tl2br w:val="nil"/>
                    <w:tr2bl w:val="nil"/>
                  </w:tcBorders>
                  <w:noWrap w:val="0"/>
                  <w:vAlign w:val="center"/>
                </w:tcPr>
                <w:p w14:paraId="2964E438">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60</w:t>
                  </w:r>
                </w:p>
              </w:tc>
              <w:tc>
                <w:tcPr>
                  <w:tcW w:w="834" w:type="dxa"/>
                  <w:vMerge w:val="restart"/>
                  <w:tcBorders>
                    <w:tl2br w:val="nil"/>
                    <w:tr2bl w:val="nil"/>
                  </w:tcBorders>
                  <w:noWrap w:val="0"/>
                  <w:vAlign w:val="center"/>
                </w:tcPr>
                <w:p w14:paraId="7E61762D">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μg/m</w:t>
                  </w:r>
                  <w:r>
                    <w:rPr>
                      <w:rFonts w:hint="default" w:ascii="Times New Roman" w:hAnsi="Times New Roman" w:eastAsia="仿宋_GB2312" w:cs="Times New Roman"/>
                      <w:color w:val="auto"/>
                      <w:sz w:val="18"/>
                      <w:szCs w:val="18"/>
                      <w:vertAlign w:val="superscript"/>
                    </w:rPr>
                    <w:t>3</w:t>
                  </w:r>
                </w:p>
              </w:tc>
              <w:tc>
                <w:tcPr>
                  <w:tcW w:w="3015" w:type="dxa"/>
                  <w:vMerge w:val="restart"/>
                  <w:tcBorders>
                    <w:tl2br w:val="nil"/>
                    <w:tr2bl w:val="nil"/>
                  </w:tcBorders>
                  <w:noWrap w:val="0"/>
                  <w:vAlign w:val="center"/>
                </w:tcPr>
                <w:p w14:paraId="31DD4071">
                  <w:pPr>
                    <w:pStyle w:val="30"/>
                    <w:rPr>
                      <w:rFonts w:hint="eastAsia"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《环境空气质量标准》（GB3095-20</w:t>
                  </w:r>
                  <w:r>
                    <w:rPr>
                      <w:rFonts w:hint="eastAsia" w:eastAsia="仿宋_GB2312" w:cs="Times New Roman"/>
                      <w:color w:val="auto"/>
                      <w:sz w:val="18"/>
                      <w:szCs w:val="18"/>
                      <w:lang w:val="en-US" w:eastAsia="zh-CN"/>
                    </w:rPr>
                    <w:t>12</w:t>
                  </w:r>
                  <w:r>
                    <w:rPr>
                      <w:rFonts w:hint="default" w:ascii="Times New Roman" w:hAnsi="Times New Roman" w:eastAsia="仿宋_GB2312" w:cs="Times New Roman"/>
                      <w:color w:val="auto"/>
                      <w:sz w:val="18"/>
                      <w:szCs w:val="18"/>
                    </w:rPr>
                    <w:t>）</w:t>
                  </w:r>
                  <w:r>
                    <w:rPr>
                      <w:rFonts w:hint="eastAsia" w:eastAsia="仿宋_GB2312" w:cs="Times New Roman"/>
                      <w:color w:val="auto"/>
                      <w:sz w:val="18"/>
                      <w:szCs w:val="18"/>
                      <w:lang w:val="en-US" w:eastAsia="zh-CN"/>
                    </w:rPr>
                    <w:t>二级标准</w:t>
                  </w:r>
                </w:p>
              </w:tc>
            </w:tr>
            <w:tr w14:paraId="20DAADC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continue"/>
                  <w:tcBorders>
                    <w:tl2br w:val="nil"/>
                    <w:tr2bl w:val="nil"/>
                  </w:tcBorders>
                  <w:noWrap w:val="0"/>
                  <w:vAlign w:val="center"/>
                </w:tcPr>
                <w:p w14:paraId="6784F10D">
                  <w:pPr>
                    <w:pStyle w:val="30"/>
                    <w:rPr>
                      <w:rFonts w:hint="default" w:ascii="Times New Roman" w:hAnsi="Times New Roman" w:eastAsia="仿宋_GB2312" w:cs="Times New Roman"/>
                      <w:color w:val="auto"/>
                      <w:sz w:val="18"/>
                      <w:szCs w:val="18"/>
                    </w:rPr>
                  </w:pPr>
                </w:p>
              </w:tc>
              <w:tc>
                <w:tcPr>
                  <w:tcW w:w="1764" w:type="dxa"/>
                  <w:tcBorders>
                    <w:tl2br w:val="nil"/>
                    <w:tr2bl w:val="nil"/>
                  </w:tcBorders>
                  <w:noWrap w:val="0"/>
                  <w:vAlign w:val="center"/>
                </w:tcPr>
                <w:p w14:paraId="22BA1535">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65" w:type="dxa"/>
                  <w:tcBorders>
                    <w:tl2br w:val="nil"/>
                    <w:tr2bl w:val="nil"/>
                  </w:tcBorders>
                  <w:noWrap w:val="0"/>
                  <w:vAlign w:val="center"/>
                </w:tcPr>
                <w:p w14:paraId="06BF83BA">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150</w:t>
                  </w:r>
                </w:p>
              </w:tc>
              <w:tc>
                <w:tcPr>
                  <w:tcW w:w="834" w:type="dxa"/>
                  <w:vMerge w:val="continue"/>
                  <w:tcBorders>
                    <w:tl2br w:val="nil"/>
                    <w:tr2bl w:val="nil"/>
                  </w:tcBorders>
                  <w:noWrap w:val="0"/>
                  <w:vAlign w:val="center"/>
                </w:tcPr>
                <w:p w14:paraId="7CDCBC61">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465DA2B9">
                  <w:pPr>
                    <w:pStyle w:val="30"/>
                    <w:rPr>
                      <w:rFonts w:hint="default" w:ascii="Times New Roman" w:hAnsi="Times New Roman" w:eastAsia="仿宋_GB2312" w:cs="Times New Roman"/>
                      <w:color w:val="auto"/>
                      <w:sz w:val="18"/>
                      <w:szCs w:val="18"/>
                    </w:rPr>
                  </w:pPr>
                </w:p>
              </w:tc>
            </w:tr>
            <w:tr w14:paraId="005748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cantSplit/>
                <w:jc w:val="center"/>
              </w:trPr>
              <w:tc>
                <w:tcPr>
                  <w:tcW w:w="1030" w:type="dxa"/>
                  <w:vMerge w:val="continue"/>
                  <w:tcBorders>
                    <w:tl2br w:val="nil"/>
                    <w:tr2bl w:val="nil"/>
                  </w:tcBorders>
                  <w:noWrap w:val="0"/>
                  <w:vAlign w:val="center"/>
                </w:tcPr>
                <w:p w14:paraId="7462D77D">
                  <w:pPr>
                    <w:pStyle w:val="30"/>
                    <w:rPr>
                      <w:rFonts w:hint="default" w:ascii="Times New Roman" w:hAnsi="Times New Roman" w:eastAsia="仿宋_GB2312" w:cs="Times New Roman"/>
                      <w:color w:val="auto"/>
                      <w:sz w:val="18"/>
                      <w:szCs w:val="18"/>
                    </w:rPr>
                  </w:pPr>
                </w:p>
              </w:tc>
              <w:tc>
                <w:tcPr>
                  <w:tcW w:w="1764" w:type="dxa"/>
                  <w:tcBorders>
                    <w:tl2br w:val="nil"/>
                    <w:tr2bl w:val="nil"/>
                  </w:tcBorders>
                  <w:noWrap w:val="0"/>
                  <w:vAlign w:val="center"/>
                </w:tcPr>
                <w:p w14:paraId="3393995E">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1小时平均</w:t>
                  </w:r>
                </w:p>
              </w:tc>
              <w:tc>
                <w:tcPr>
                  <w:tcW w:w="865" w:type="dxa"/>
                  <w:tcBorders>
                    <w:tl2br w:val="nil"/>
                    <w:tr2bl w:val="nil"/>
                  </w:tcBorders>
                  <w:noWrap w:val="0"/>
                  <w:vAlign w:val="center"/>
                </w:tcPr>
                <w:p w14:paraId="5BA2F84D">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500</w:t>
                  </w:r>
                </w:p>
              </w:tc>
              <w:tc>
                <w:tcPr>
                  <w:tcW w:w="834" w:type="dxa"/>
                  <w:vMerge w:val="continue"/>
                  <w:tcBorders>
                    <w:tl2br w:val="nil"/>
                    <w:tr2bl w:val="nil"/>
                  </w:tcBorders>
                  <w:noWrap w:val="0"/>
                  <w:vAlign w:val="center"/>
                </w:tcPr>
                <w:p w14:paraId="26CB4B0B">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45785A9F">
                  <w:pPr>
                    <w:pStyle w:val="30"/>
                    <w:rPr>
                      <w:rFonts w:hint="default" w:ascii="Times New Roman" w:hAnsi="Times New Roman" w:eastAsia="仿宋_GB2312" w:cs="Times New Roman"/>
                      <w:color w:val="auto"/>
                      <w:sz w:val="18"/>
                      <w:szCs w:val="18"/>
                    </w:rPr>
                  </w:pPr>
                </w:p>
              </w:tc>
            </w:tr>
            <w:tr w14:paraId="616CE5E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restart"/>
                  <w:tcBorders>
                    <w:tl2br w:val="nil"/>
                    <w:tr2bl w:val="nil"/>
                  </w:tcBorders>
                  <w:noWrap w:val="0"/>
                  <w:vAlign w:val="center"/>
                </w:tcPr>
                <w:p w14:paraId="65B77A4D">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NO</w:t>
                  </w:r>
                  <w:r>
                    <w:rPr>
                      <w:rFonts w:hint="default" w:ascii="Times New Roman" w:hAnsi="Times New Roman" w:eastAsia="仿宋_GB2312" w:cs="Times New Roman"/>
                      <w:color w:val="auto"/>
                      <w:sz w:val="18"/>
                      <w:szCs w:val="18"/>
                      <w:vertAlign w:val="subscript"/>
                    </w:rPr>
                    <w:t>2</w:t>
                  </w:r>
                </w:p>
              </w:tc>
              <w:tc>
                <w:tcPr>
                  <w:tcW w:w="1764" w:type="dxa"/>
                  <w:tcBorders>
                    <w:tl2br w:val="nil"/>
                    <w:tr2bl w:val="nil"/>
                  </w:tcBorders>
                  <w:noWrap w:val="0"/>
                  <w:vAlign w:val="center"/>
                </w:tcPr>
                <w:p w14:paraId="0D849001">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w:t>
                  </w:r>
                </w:p>
              </w:tc>
              <w:tc>
                <w:tcPr>
                  <w:tcW w:w="865" w:type="dxa"/>
                  <w:tcBorders>
                    <w:tl2br w:val="nil"/>
                    <w:tr2bl w:val="nil"/>
                  </w:tcBorders>
                  <w:noWrap w:val="0"/>
                  <w:vAlign w:val="center"/>
                </w:tcPr>
                <w:p w14:paraId="00726576">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40</w:t>
                  </w:r>
                </w:p>
              </w:tc>
              <w:tc>
                <w:tcPr>
                  <w:tcW w:w="834" w:type="dxa"/>
                  <w:vMerge w:val="continue"/>
                  <w:tcBorders>
                    <w:tl2br w:val="nil"/>
                    <w:tr2bl w:val="nil"/>
                  </w:tcBorders>
                  <w:noWrap w:val="0"/>
                  <w:vAlign w:val="center"/>
                </w:tcPr>
                <w:p w14:paraId="01F18849">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2C3BD707">
                  <w:pPr>
                    <w:pStyle w:val="30"/>
                    <w:rPr>
                      <w:rFonts w:hint="default" w:ascii="Times New Roman" w:hAnsi="Times New Roman" w:eastAsia="仿宋_GB2312" w:cs="Times New Roman"/>
                      <w:color w:val="auto"/>
                      <w:sz w:val="18"/>
                      <w:szCs w:val="18"/>
                    </w:rPr>
                  </w:pPr>
                </w:p>
              </w:tc>
            </w:tr>
            <w:tr w14:paraId="4B9524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continue"/>
                  <w:tcBorders>
                    <w:tl2br w:val="nil"/>
                    <w:tr2bl w:val="nil"/>
                  </w:tcBorders>
                  <w:noWrap w:val="0"/>
                  <w:vAlign w:val="center"/>
                </w:tcPr>
                <w:p w14:paraId="40855A07">
                  <w:pPr>
                    <w:pStyle w:val="30"/>
                    <w:rPr>
                      <w:rFonts w:hint="default" w:ascii="Times New Roman" w:hAnsi="Times New Roman" w:eastAsia="仿宋_GB2312" w:cs="Times New Roman"/>
                      <w:color w:val="auto"/>
                      <w:sz w:val="18"/>
                      <w:szCs w:val="18"/>
                    </w:rPr>
                  </w:pPr>
                </w:p>
              </w:tc>
              <w:tc>
                <w:tcPr>
                  <w:tcW w:w="1764" w:type="dxa"/>
                  <w:tcBorders>
                    <w:tl2br w:val="nil"/>
                    <w:tr2bl w:val="nil"/>
                  </w:tcBorders>
                  <w:noWrap w:val="0"/>
                  <w:vAlign w:val="center"/>
                </w:tcPr>
                <w:p w14:paraId="62DD2074">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65" w:type="dxa"/>
                  <w:tcBorders>
                    <w:tl2br w:val="nil"/>
                    <w:tr2bl w:val="nil"/>
                  </w:tcBorders>
                  <w:noWrap w:val="0"/>
                  <w:vAlign w:val="center"/>
                </w:tcPr>
                <w:p w14:paraId="5C75DB64">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80</w:t>
                  </w:r>
                </w:p>
              </w:tc>
              <w:tc>
                <w:tcPr>
                  <w:tcW w:w="834" w:type="dxa"/>
                  <w:vMerge w:val="continue"/>
                  <w:tcBorders>
                    <w:tl2br w:val="nil"/>
                    <w:tr2bl w:val="nil"/>
                  </w:tcBorders>
                  <w:noWrap w:val="0"/>
                  <w:vAlign w:val="center"/>
                </w:tcPr>
                <w:p w14:paraId="2AEC3C56">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496185E2">
                  <w:pPr>
                    <w:pStyle w:val="30"/>
                    <w:rPr>
                      <w:rFonts w:hint="default" w:ascii="Times New Roman" w:hAnsi="Times New Roman" w:eastAsia="仿宋_GB2312" w:cs="Times New Roman"/>
                      <w:color w:val="auto"/>
                      <w:sz w:val="18"/>
                      <w:szCs w:val="18"/>
                    </w:rPr>
                  </w:pPr>
                </w:p>
              </w:tc>
            </w:tr>
            <w:tr w14:paraId="553C054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continue"/>
                  <w:tcBorders>
                    <w:tl2br w:val="nil"/>
                    <w:tr2bl w:val="nil"/>
                  </w:tcBorders>
                  <w:noWrap w:val="0"/>
                  <w:vAlign w:val="center"/>
                </w:tcPr>
                <w:p w14:paraId="39724F18">
                  <w:pPr>
                    <w:pStyle w:val="30"/>
                    <w:rPr>
                      <w:rFonts w:hint="default" w:ascii="Times New Roman" w:hAnsi="Times New Roman" w:eastAsia="仿宋_GB2312" w:cs="Times New Roman"/>
                      <w:color w:val="auto"/>
                      <w:sz w:val="18"/>
                      <w:szCs w:val="18"/>
                    </w:rPr>
                  </w:pPr>
                </w:p>
              </w:tc>
              <w:tc>
                <w:tcPr>
                  <w:tcW w:w="1764" w:type="dxa"/>
                  <w:tcBorders>
                    <w:tl2br w:val="nil"/>
                    <w:tr2bl w:val="nil"/>
                  </w:tcBorders>
                  <w:noWrap w:val="0"/>
                  <w:vAlign w:val="center"/>
                </w:tcPr>
                <w:p w14:paraId="2C674AFC">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1小时平均</w:t>
                  </w:r>
                </w:p>
              </w:tc>
              <w:tc>
                <w:tcPr>
                  <w:tcW w:w="865" w:type="dxa"/>
                  <w:tcBorders>
                    <w:tl2br w:val="nil"/>
                    <w:tr2bl w:val="nil"/>
                  </w:tcBorders>
                  <w:noWrap w:val="0"/>
                  <w:vAlign w:val="center"/>
                </w:tcPr>
                <w:p w14:paraId="7462C780">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200</w:t>
                  </w:r>
                </w:p>
              </w:tc>
              <w:tc>
                <w:tcPr>
                  <w:tcW w:w="834" w:type="dxa"/>
                  <w:vMerge w:val="continue"/>
                  <w:tcBorders>
                    <w:tl2br w:val="nil"/>
                    <w:tr2bl w:val="nil"/>
                  </w:tcBorders>
                  <w:noWrap w:val="0"/>
                  <w:vAlign w:val="center"/>
                </w:tcPr>
                <w:p w14:paraId="0D0F0D57">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45E4D2F8">
                  <w:pPr>
                    <w:pStyle w:val="30"/>
                    <w:rPr>
                      <w:rFonts w:hint="default" w:ascii="Times New Roman" w:hAnsi="Times New Roman" w:eastAsia="仿宋_GB2312" w:cs="Times New Roman"/>
                      <w:color w:val="auto"/>
                      <w:sz w:val="18"/>
                      <w:szCs w:val="18"/>
                    </w:rPr>
                  </w:pPr>
                </w:p>
              </w:tc>
            </w:tr>
            <w:tr w14:paraId="7A20778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restart"/>
                  <w:tcBorders>
                    <w:tl2br w:val="nil"/>
                    <w:tr2bl w:val="nil"/>
                  </w:tcBorders>
                  <w:noWrap w:val="0"/>
                  <w:vAlign w:val="center"/>
                </w:tcPr>
                <w:p w14:paraId="48948C89">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PM</w:t>
                  </w:r>
                  <w:r>
                    <w:rPr>
                      <w:rFonts w:hint="default" w:ascii="Times New Roman" w:hAnsi="Times New Roman" w:eastAsia="仿宋_GB2312" w:cs="Times New Roman"/>
                      <w:color w:val="auto"/>
                      <w:sz w:val="18"/>
                      <w:szCs w:val="18"/>
                      <w:vertAlign w:val="subscript"/>
                    </w:rPr>
                    <w:t>10</w:t>
                  </w:r>
                </w:p>
              </w:tc>
              <w:tc>
                <w:tcPr>
                  <w:tcW w:w="1764" w:type="dxa"/>
                  <w:tcBorders>
                    <w:tl2br w:val="nil"/>
                    <w:tr2bl w:val="nil"/>
                  </w:tcBorders>
                  <w:noWrap w:val="0"/>
                  <w:vAlign w:val="center"/>
                </w:tcPr>
                <w:p w14:paraId="057F1DED">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w:t>
                  </w:r>
                </w:p>
              </w:tc>
              <w:tc>
                <w:tcPr>
                  <w:tcW w:w="865" w:type="dxa"/>
                  <w:tcBorders>
                    <w:tl2br w:val="nil"/>
                    <w:tr2bl w:val="nil"/>
                  </w:tcBorders>
                  <w:noWrap w:val="0"/>
                  <w:vAlign w:val="center"/>
                </w:tcPr>
                <w:p w14:paraId="776B9B54">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70</w:t>
                  </w:r>
                </w:p>
              </w:tc>
              <w:tc>
                <w:tcPr>
                  <w:tcW w:w="834" w:type="dxa"/>
                  <w:vMerge w:val="continue"/>
                  <w:tcBorders>
                    <w:tl2br w:val="nil"/>
                    <w:tr2bl w:val="nil"/>
                  </w:tcBorders>
                  <w:noWrap w:val="0"/>
                  <w:vAlign w:val="center"/>
                </w:tcPr>
                <w:p w14:paraId="6B1CF86F">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0EC4EA8E">
                  <w:pPr>
                    <w:pStyle w:val="30"/>
                    <w:rPr>
                      <w:rFonts w:hint="default" w:ascii="Times New Roman" w:hAnsi="Times New Roman" w:eastAsia="仿宋_GB2312" w:cs="Times New Roman"/>
                      <w:color w:val="auto"/>
                      <w:sz w:val="18"/>
                      <w:szCs w:val="18"/>
                    </w:rPr>
                  </w:pPr>
                </w:p>
              </w:tc>
            </w:tr>
            <w:tr w14:paraId="359E43E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continue"/>
                  <w:tcBorders>
                    <w:tl2br w:val="nil"/>
                    <w:tr2bl w:val="nil"/>
                  </w:tcBorders>
                  <w:noWrap w:val="0"/>
                  <w:vAlign w:val="center"/>
                </w:tcPr>
                <w:p w14:paraId="4938A5B1">
                  <w:pPr>
                    <w:pStyle w:val="30"/>
                    <w:rPr>
                      <w:rFonts w:hint="default" w:ascii="Times New Roman" w:hAnsi="Times New Roman" w:eastAsia="仿宋_GB2312" w:cs="Times New Roman"/>
                      <w:color w:val="auto"/>
                      <w:sz w:val="18"/>
                      <w:szCs w:val="18"/>
                    </w:rPr>
                  </w:pPr>
                </w:p>
              </w:tc>
              <w:tc>
                <w:tcPr>
                  <w:tcW w:w="1764" w:type="dxa"/>
                  <w:tcBorders>
                    <w:tl2br w:val="nil"/>
                    <w:tr2bl w:val="nil"/>
                  </w:tcBorders>
                  <w:noWrap w:val="0"/>
                  <w:vAlign w:val="center"/>
                </w:tcPr>
                <w:p w14:paraId="60813EC6">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65" w:type="dxa"/>
                  <w:tcBorders>
                    <w:tl2br w:val="nil"/>
                    <w:tr2bl w:val="nil"/>
                  </w:tcBorders>
                  <w:noWrap w:val="0"/>
                  <w:vAlign w:val="center"/>
                </w:tcPr>
                <w:p w14:paraId="4048CE87">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150</w:t>
                  </w:r>
                </w:p>
              </w:tc>
              <w:tc>
                <w:tcPr>
                  <w:tcW w:w="834" w:type="dxa"/>
                  <w:vMerge w:val="continue"/>
                  <w:tcBorders>
                    <w:tl2br w:val="nil"/>
                    <w:tr2bl w:val="nil"/>
                  </w:tcBorders>
                  <w:noWrap w:val="0"/>
                  <w:vAlign w:val="center"/>
                </w:tcPr>
                <w:p w14:paraId="0BA2ED1B">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38B9D815">
                  <w:pPr>
                    <w:pStyle w:val="30"/>
                    <w:rPr>
                      <w:rFonts w:hint="default" w:ascii="Times New Roman" w:hAnsi="Times New Roman" w:eastAsia="仿宋_GB2312" w:cs="Times New Roman"/>
                      <w:color w:val="auto"/>
                      <w:sz w:val="18"/>
                      <w:szCs w:val="18"/>
                    </w:rPr>
                  </w:pPr>
                </w:p>
              </w:tc>
            </w:tr>
            <w:tr w14:paraId="29F0D16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restart"/>
                  <w:tcBorders>
                    <w:tl2br w:val="nil"/>
                    <w:tr2bl w:val="nil"/>
                  </w:tcBorders>
                  <w:noWrap w:val="0"/>
                  <w:vAlign w:val="center"/>
                </w:tcPr>
                <w:p w14:paraId="65507AC5">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PM</w:t>
                  </w:r>
                  <w:r>
                    <w:rPr>
                      <w:rFonts w:hint="default" w:ascii="Times New Roman" w:hAnsi="Times New Roman" w:eastAsia="仿宋_GB2312" w:cs="Times New Roman"/>
                      <w:color w:val="auto"/>
                      <w:sz w:val="18"/>
                      <w:szCs w:val="18"/>
                      <w:vertAlign w:val="subscript"/>
                    </w:rPr>
                    <w:t>2.5</w:t>
                  </w:r>
                </w:p>
              </w:tc>
              <w:tc>
                <w:tcPr>
                  <w:tcW w:w="1764" w:type="dxa"/>
                  <w:tcBorders>
                    <w:tl2br w:val="nil"/>
                    <w:tr2bl w:val="nil"/>
                  </w:tcBorders>
                  <w:noWrap w:val="0"/>
                  <w:vAlign w:val="center"/>
                </w:tcPr>
                <w:p w14:paraId="6A3C03FF">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w:t>
                  </w:r>
                </w:p>
              </w:tc>
              <w:tc>
                <w:tcPr>
                  <w:tcW w:w="865" w:type="dxa"/>
                  <w:tcBorders>
                    <w:tl2br w:val="nil"/>
                    <w:tr2bl w:val="nil"/>
                  </w:tcBorders>
                  <w:noWrap w:val="0"/>
                  <w:vAlign w:val="center"/>
                </w:tcPr>
                <w:p w14:paraId="275B586A">
                  <w:pPr>
                    <w:pStyle w:val="30"/>
                    <w:rPr>
                      <w:rFonts w:hint="eastAsia"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3</w:t>
                  </w:r>
                  <w:r>
                    <w:rPr>
                      <w:rFonts w:hint="eastAsia" w:eastAsia="仿宋_GB2312" w:cs="Times New Roman"/>
                      <w:color w:val="auto"/>
                      <w:sz w:val="18"/>
                      <w:szCs w:val="18"/>
                      <w:lang w:val="en-US" w:eastAsia="zh-CN"/>
                    </w:rPr>
                    <w:t>5</w:t>
                  </w:r>
                </w:p>
              </w:tc>
              <w:tc>
                <w:tcPr>
                  <w:tcW w:w="834" w:type="dxa"/>
                  <w:vMerge w:val="continue"/>
                  <w:tcBorders>
                    <w:tl2br w:val="nil"/>
                    <w:tr2bl w:val="nil"/>
                  </w:tcBorders>
                  <w:noWrap w:val="0"/>
                  <w:vAlign w:val="center"/>
                </w:tcPr>
                <w:p w14:paraId="39A96FC6">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6200E4E1">
                  <w:pPr>
                    <w:pStyle w:val="30"/>
                    <w:rPr>
                      <w:rFonts w:hint="default" w:ascii="Times New Roman" w:hAnsi="Times New Roman" w:eastAsia="仿宋_GB2312" w:cs="Times New Roman"/>
                      <w:color w:val="auto"/>
                      <w:sz w:val="18"/>
                      <w:szCs w:val="18"/>
                    </w:rPr>
                  </w:pPr>
                </w:p>
              </w:tc>
            </w:tr>
            <w:tr w14:paraId="619C2B1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continue"/>
                  <w:tcBorders>
                    <w:tl2br w:val="nil"/>
                    <w:tr2bl w:val="nil"/>
                  </w:tcBorders>
                  <w:noWrap w:val="0"/>
                  <w:vAlign w:val="center"/>
                </w:tcPr>
                <w:p w14:paraId="4CFAD351">
                  <w:pPr>
                    <w:pStyle w:val="30"/>
                    <w:rPr>
                      <w:rFonts w:hint="default" w:ascii="Times New Roman" w:hAnsi="Times New Roman" w:eastAsia="仿宋_GB2312" w:cs="Times New Roman"/>
                      <w:color w:val="auto"/>
                      <w:sz w:val="18"/>
                      <w:szCs w:val="18"/>
                    </w:rPr>
                  </w:pPr>
                </w:p>
              </w:tc>
              <w:tc>
                <w:tcPr>
                  <w:tcW w:w="1764" w:type="dxa"/>
                  <w:tcBorders>
                    <w:tl2br w:val="nil"/>
                    <w:tr2bl w:val="nil"/>
                  </w:tcBorders>
                  <w:noWrap w:val="0"/>
                  <w:vAlign w:val="center"/>
                </w:tcPr>
                <w:p w14:paraId="4BD90D50">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65" w:type="dxa"/>
                  <w:tcBorders>
                    <w:tl2br w:val="nil"/>
                    <w:tr2bl w:val="nil"/>
                  </w:tcBorders>
                  <w:noWrap w:val="0"/>
                  <w:vAlign w:val="center"/>
                </w:tcPr>
                <w:p w14:paraId="5505DE95">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75</w:t>
                  </w:r>
                </w:p>
              </w:tc>
              <w:tc>
                <w:tcPr>
                  <w:tcW w:w="834" w:type="dxa"/>
                  <w:vMerge w:val="continue"/>
                  <w:tcBorders>
                    <w:tl2br w:val="nil"/>
                    <w:tr2bl w:val="nil"/>
                  </w:tcBorders>
                  <w:noWrap w:val="0"/>
                  <w:vAlign w:val="center"/>
                </w:tcPr>
                <w:p w14:paraId="26E468E3">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4C5C6FDE">
                  <w:pPr>
                    <w:pStyle w:val="30"/>
                    <w:rPr>
                      <w:rFonts w:hint="default" w:ascii="Times New Roman" w:hAnsi="Times New Roman" w:eastAsia="仿宋_GB2312" w:cs="Times New Roman"/>
                      <w:color w:val="auto"/>
                      <w:sz w:val="18"/>
                      <w:szCs w:val="18"/>
                    </w:rPr>
                  </w:pPr>
                </w:p>
              </w:tc>
            </w:tr>
            <w:tr w14:paraId="40402AB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restart"/>
                  <w:tcBorders>
                    <w:tl2br w:val="nil"/>
                    <w:tr2bl w:val="nil"/>
                  </w:tcBorders>
                  <w:noWrap w:val="0"/>
                  <w:vAlign w:val="center"/>
                </w:tcPr>
                <w:p w14:paraId="4845E163">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O</w:t>
                  </w:r>
                  <w:r>
                    <w:rPr>
                      <w:rFonts w:hint="default" w:ascii="Times New Roman" w:hAnsi="Times New Roman" w:eastAsia="仿宋_GB2312" w:cs="Times New Roman"/>
                      <w:color w:val="auto"/>
                      <w:sz w:val="18"/>
                      <w:szCs w:val="18"/>
                      <w:vertAlign w:val="subscript"/>
                    </w:rPr>
                    <w:t>3</w:t>
                  </w:r>
                </w:p>
              </w:tc>
              <w:tc>
                <w:tcPr>
                  <w:tcW w:w="1764" w:type="dxa"/>
                  <w:tcBorders>
                    <w:tl2br w:val="nil"/>
                    <w:tr2bl w:val="nil"/>
                  </w:tcBorders>
                  <w:noWrap w:val="0"/>
                  <w:vAlign w:val="center"/>
                </w:tcPr>
                <w:p w14:paraId="4CDB3430">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日最大8小时平均</w:t>
                  </w:r>
                </w:p>
              </w:tc>
              <w:tc>
                <w:tcPr>
                  <w:tcW w:w="865" w:type="dxa"/>
                  <w:tcBorders>
                    <w:tl2br w:val="nil"/>
                    <w:tr2bl w:val="nil"/>
                  </w:tcBorders>
                  <w:noWrap w:val="0"/>
                  <w:vAlign w:val="center"/>
                </w:tcPr>
                <w:p w14:paraId="0010A157">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160</w:t>
                  </w:r>
                </w:p>
              </w:tc>
              <w:tc>
                <w:tcPr>
                  <w:tcW w:w="834" w:type="dxa"/>
                  <w:vMerge w:val="continue"/>
                  <w:tcBorders>
                    <w:tl2br w:val="nil"/>
                    <w:tr2bl w:val="nil"/>
                  </w:tcBorders>
                  <w:noWrap w:val="0"/>
                  <w:vAlign w:val="center"/>
                </w:tcPr>
                <w:p w14:paraId="2199ADC5">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7AC279BB">
                  <w:pPr>
                    <w:pStyle w:val="30"/>
                    <w:rPr>
                      <w:rFonts w:hint="default" w:ascii="Times New Roman" w:hAnsi="Times New Roman" w:eastAsia="仿宋_GB2312" w:cs="Times New Roman"/>
                      <w:color w:val="auto"/>
                      <w:sz w:val="18"/>
                      <w:szCs w:val="18"/>
                    </w:rPr>
                  </w:pPr>
                </w:p>
              </w:tc>
            </w:tr>
            <w:tr w14:paraId="66B7E7D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continue"/>
                  <w:tcBorders>
                    <w:tl2br w:val="nil"/>
                    <w:tr2bl w:val="nil"/>
                  </w:tcBorders>
                  <w:noWrap w:val="0"/>
                  <w:vAlign w:val="center"/>
                </w:tcPr>
                <w:p w14:paraId="7992F9E6">
                  <w:pPr>
                    <w:pStyle w:val="30"/>
                    <w:rPr>
                      <w:rFonts w:hint="default" w:ascii="Times New Roman" w:hAnsi="Times New Roman" w:eastAsia="仿宋_GB2312" w:cs="Times New Roman"/>
                      <w:color w:val="auto"/>
                      <w:sz w:val="18"/>
                      <w:szCs w:val="18"/>
                    </w:rPr>
                  </w:pPr>
                </w:p>
              </w:tc>
              <w:tc>
                <w:tcPr>
                  <w:tcW w:w="1764" w:type="dxa"/>
                  <w:tcBorders>
                    <w:tl2br w:val="nil"/>
                    <w:tr2bl w:val="nil"/>
                  </w:tcBorders>
                  <w:noWrap w:val="0"/>
                  <w:vAlign w:val="center"/>
                </w:tcPr>
                <w:p w14:paraId="12D0BD6B">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1小时平均</w:t>
                  </w:r>
                </w:p>
              </w:tc>
              <w:tc>
                <w:tcPr>
                  <w:tcW w:w="865" w:type="dxa"/>
                  <w:tcBorders>
                    <w:tl2br w:val="nil"/>
                    <w:tr2bl w:val="nil"/>
                  </w:tcBorders>
                  <w:noWrap w:val="0"/>
                  <w:vAlign w:val="center"/>
                </w:tcPr>
                <w:p w14:paraId="0256B181">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200</w:t>
                  </w:r>
                </w:p>
              </w:tc>
              <w:tc>
                <w:tcPr>
                  <w:tcW w:w="834" w:type="dxa"/>
                  <w:vMerge w:val="continue"/>
                  <w:tcBorders>
                    <w:tl2br w:val="nil"/>
                    <w:tr2bl w:val="nil"/>
                  </w:tcBorders>
                  <w:noWrap w:val="0"/>
                  <w:vAlign w:val="center"/>
                </w:tcPr>
                <w:p w14:paraId="25BEF6F1">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2D916DB4">
                  <w:pPr>
                    <w:pStyle w:val="30"/>
                    <w:rPr>
                      <w:rFonts w:hint="default" w:ascii="Times New Roman" w:hAnsi="Times New Roman" w:eastAsia="仿宋_GB2312" w:cs="Times New Roman"/>
                      <w:color w:val="auto"/>
                      <w:sz w:val="18"/>
                      <w:szCs w:val="18"/>
                    </w:rPr>
                  </w:pPr>
                </w:p>
              </w:tc>
            </w:tr>
            <w:tr w14:paraId="23256EB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restart"/>
                  <w:tcBorders>
                    <w:tl2br w:val="nil"/>
                    <w:tr2bl w:val="nil"/>
                  </w:tcBorders>
                  <w:noWrap w:val="0"/>
                  <w:vAlign w:val="center"/>
                </w:tcPr>
                <w:p w14:paraId="39D92446">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CO</w:t>
                  </w:r>
                </w:p>
              </w:tc>
              <w:tc>
                <w:tcPr>
                  <w:tcW w:w="1764" w:type="dxa"/>
                  <w:tcBorders>
                    <w:tl2br w:val="nil"/>
                    <w:tr2bl w:val="nil"/>
                  </w:tcBorders>
                  <w:noWrap w:val="0"/>
                  <w:vAlign w:val="center"/>
                </w:tcPr>
                <w:p w14:paraId="576B65F8">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65" w:type="dxa"/>
                  <w:tcBorders>
                    <w:tl2br w:val="nil"/>
                    <w:tr2bl w:val="nil"/>
                  </w:tcBorders>
                  <w:noWrap w:val="0"/>
                  <w:vAlign w:val="center"/>
                </w:tcPr>
                <w:p w14:paraId="58C73AE4">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834" w:type="dxa"/>
                  <w:vMerge w:val="restart"/>
                  <w:tcBorders>
                    <w:tl2br w:val="nil"/>
                    <w:tr2bl w:val="nil"/>
                  </w:tcBorders>
                  <w:noWrap w:val="0"/>
                  <w:vAlign w:val="center"/>
                </w:tcPr>
                <w:p w14:paraId="6AA54EE9">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mg/m</w:t>
                  </w:r>
                  <w:r>
                    <w:rPr>
                      <w:rFonts w:hint="default" w:ascii="Times New Roman" w:hAnsi="Times New Roman" w:eastAsia="仿宋_GB2312" w:cs="Times New Roman"/>
                      <w:color w:val="auto"/>
                      <w:sz w:val="18"/>
                      <w:szCs w:val="18"/>
                      <w:vertAlign w:val="superscript"/>
                    </w:rPr>
                    <w:t>3</w:t>
                  </w:r>
                </w:p>
              </w:tc>
              <w:tc>
                <w:tcPr>
                  <w:tcW w:w="3015" w:type="dxa"/>
                  <w:vMerge w:val="continue"/>
                  <w:tcBorders>
                    <w:tl2br w:val="nil"/>
                    <w:tr2bl w:val="nil"/>
                  </w:tcBorders>
                  <w:noWrap w:val="0"/>
                  <w:vAlign w:val="center"/>
                </w:tcPr>
                <w:p w14:paraId="37CD59B2">
                  <w:pPr>
                    <w:pStyle w:val="30"/>
                    <w:rPr>
                      <w:rFonts w:hint="default" w:ascii="Times New Roman" w:hAnsi="Times New Roman" w:eastAsia="仿宋_GB2312" w:cs="Times New Roman"/>
                      <w:color w:val="auto"/>
                      <w:sz w:val="18"/>
                      <w:szCs w:val="18"/>
                    </w:rPr>
                  </w:pPr>
                </w:p>
              </w:tc>
            </w:tr>
            <w:tr w14:paraId="55FAA1E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030" w:type="dxa"/>
                  <w:vMerge w:val="continue"/>
                  <w:tcBorders>
                    <w:tl2br w:val="nil"/>
                    <w:tr2bl w:val="nil"/>
                  </w:tcBorders>
                  <w:noWrap w:val="0"/>
                  <w:vAlign w:val="center"/>
                </w:tcPr>
                <w:p w14:paraId="323A62E9">
                  <w:pPr>
                    <w:pStyle w:val="30"/>
                    <w:rPr>
                      <w:rFonts w:hint="default" w:ascii="Times New Roman" w:hAnsi="Times New Roman" w:eastAsia="仿宋_GB2312" w:cs="Times New Roman"/>
                      <w:color w:val="auto"/>
                      <w:sz w:val="18"/>
                      <w:szCs w:val="18"/>
                    </w:rPr>
                  </w:pPr>
                </w:p>
              </w:tc>
              <w:tc>
                <w:tcPr>
                  <w:tcW w:w="1764" w:type="dxa"/>
                  <w:tcBorders>
                    <w:tl2br w:val="nil"/>
                    <w:tr2bl w:val="nil"/>
                  </w:tcBorders>
                  <w:noWrap w:val="0"/>
                  <w:vAlign w:val="center"/>
                </w:tcPr>
                <w:p w14:paraId="336BA18A">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1小时平均</w:t>
                  </w:r>
                </w:p>
              </w:tc>
              <w:tc>
                <w:tcPr>
                  <w:tcW w:w="865" w:type="dxa"/>
                  <w:tcBorders>
                    <w:tl2br w:val="nil"/>
                    <w:tr2bl w:val="nil"/>
                  </w:tcBorders>
                  <w:noWrap w:val="0"/>
                  <w:vAlign w:val="center"/>
                </w:tcPr>
                <w:p w14:paraId="032099FE">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834" w:type="dxa"/>
                  <w:vMerge w:val="continue"/>
                  <w:tcBorders>
                    <w:tl2br w:val="nil"/>
                    <w:tr2bl w:val="nil"/>
                  </w:tcBorders>
                  <w:noWrap w:val="0"/>
                  <w:vAlign w:val="center"/>
                </w:tcPr>
                <w:p w14:paraId="2D10D567">
                  <w:pPr>
                    <w:pStyle w:val="30"/>
                    <w:rPr>
                      <w:rFonts w:hint="default" w:ascii="Times New Roman" w:hAnsi="Times New Roman" w:eastAsia="仿宋_GB2312" w:cs="Times New Roman"/>
                      <w:color w:val="auto"/>
                      <w:sz w:val="18"/>
                      <w:szCs w:val="18"/>
                    </w:rPr>
                  </w:pPr>
                </w:p>
              </w:tc>
              <w:tc>
                <w:tcPr>
                  <w:tcW w:w="3015" w:type="dxa"/>
                  <w:vMerge w:val="continue"/>
                  <w:tcBorders>
                    <w:tl2br w:val="nil"/>
                    <w:tr2bl w:val="nil"/>
                  </w:tcBorders>
                  <w:noWrap w:val="0"/>
                  <w:vAlign w:val="center"/>
                </w:tcPr>
                <w:p w14:paraId="09D0D204">
                  <w:pPr>
                    <w:pStyle w:val="30"/>
                    <w:rPr>
                      <w:rFonts w:hint="default" w:ascii="Times New Roman" w:hAnsi="Times New Roman" w:eastAsia="仿宋_GB2312" w:cs="Times New Roman"/>
                      <w:color w:val="auto"/>
                      <w:sz w:val="18"/>
                      <w:szCs w:val="18"/>
                    </w:rPr>
                  </w:pPr>
                </w:p>
              </w:tc>
            </w:tr>
          </w:tbl>
          <w:p w14:paraId="1A391C8F">
            <w:pPr>
              <w:pStyle w:val="29"/>
              <w:rPr>
                <w:rFonts w:hint="default" w:ascii="Times New Roman" w:hAnsi="Times New Roman" w:eastAsia="仿宋_GB2312" w:cs="Times New Roman"/>
                <w:color w:val="auto"/>
                <w:sz w:val="24"/>
                <w:szCs w:val="24"/>
              </w:rPr>
            </w:pPr>
          </w:p>
          <w:p w14:paraId="15C1ACA3">
            <w:pPr>
              <w:pStyle w:val="29"/>
              <w:rPr>
                <w:rFonts w:hint="eastAsia"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表3</w:t>
            </w:r>
            <w:r>
              <w:rPr>
                <w:rFonts w:hint="eastAsia" w:eastAsia="仿宋_GB2312" w:cs="Times New Roman"/>
                <w:color w:val="auto"/>
                <w:sz w:val="21"/>
                <w:szCs w:val="21"/>
                <w:lang w:val="en-US" w:eastAsia="zh-CN"/>
              </w:rPr>
              <w:t>.3</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2</w:t>
            </w:r>
            <w:r>
              <w:rPr>
                <w:rFonts w:hint="default" w:ascii="Times New Roman" w:hAnsi="Times New Roman" w:eastAsia="仿宋_GB2312" w:cs="Times New Roman"/>
                <w:color w:val="auto"/>
                <w:sz w:val="21"/>
                <w:szCs w:val="21"/>
              </w:rPr>
              <w:t xml:space="preserve">  环境空气质量标准表</w:t>
            </w:r>
            <w:r>
              <w:rPr>
                <w:rFonts w:hint="eastAsia" w:eastAsia="仿宋_GB2312" w:cs="Times New Roman"/>
                <w:color w:val="auto"/>
                <w:sz w:val="21"/>
                <w:szCs w:val="21"/>
                <w:lang w:eastAsia="zh-CN"/>
              </w:rPr>
              <w:t>（</w:t>
            </w:r>
            <w:r>
              <w:rPr>
                <w:rFonts w:hint="eastAsia" w:eastAsia="仿宋_GB2312" w:cs="Times New Roman"/>
                <w:color w:val="auto"/>
                <w:sz w:val="21"/>
                <w:szCs w:val="21"/>
                <w:lang w:val="en-US" w:eastAsia="zh-CN"/>
              </w:rPr>
              <w:t>2</w:t>
            </w:r>
            <w:r>
              <w:rPr>
                <w:rFonts w:hint="eastAsia" w:eastAsia="仿宋_GB2312" w:cs="Times New Roman"/>
                <w:color w:val="auto"/>
                <w:sz w:val="21"/>
                <w:szCs w:val="21"/>
                <w:lang w:eastAsia="zh-CN"/>
              </w:rPr>
              <w:t>）</w:t>
            </w:r>
          </w:p>
          <w:tbl>
            <w:tblPr>
              <w:tblStyle w:val="14"/>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25"/>
              <w:gridCol w:w="1577"/>
              <w:gridCol w:w="856"/>
              <w:gridCol w:w="667"/>
              <w:gridCol w:w="775"/>
              <w:gridCol w:w="2705"/>
            </w:tblGrid>
            <w:tr w14:paraId="7FF529C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tcBorders>
                    <w:tl2br w:val="nil"/>
                    <w:tr2bl w:val="nil"/>
                  </w:tcBorders>
                  <w:noWrap w:val="0"/>
                  <w:vAlign w:val="center"/>
                </w:tcPr>
                <w:p w14:paraId="51648568">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评价因子</w:t>
                  </w:r>
                </w:p>
              </w:tc>
              <w:tc>
                <w:tcPr>
                  <w:tcW w:w="1577" w:type="dxa"/>
                  <w:tcBorders>
                    <w:tl2br w:val="nil"/>
                    <w:tr2bl w:val="nil"/>
                  </w:tcBorders>
                  <w:noWrap w:val="0"/>
                  <w:vAlign w:val="center"/>
                </w:tcPr>
                <w:p w14:paraId="43E614D7">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平均时段</w:t>
                  </w:r>
                </w:p>
              </w:tc>
              <w:tc>
                <w:tcPr>
                  <w:tcW w:w="856" w:type="dxa"/>
                  <w:tcBorders>
                    <w:tl2br w:val="nil"/>
                    <w:tr2bl w:val="nil"/>
                  </w:tcBorders>
                  <w:noWrap w:val="0"/>
                  <w:vAlign w:val="center"/>
                </w:tcPr>
                <w:p w14:paraId="04E2FFA5">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过渡阶段浓度限值</w:t>
                  </w:r>
                </w:p>
              </w:tc>
              <w:tc>
                <w:tcPr>
                  <w:tcW w:w="667" w:type="dxa"/>
                  <w:tcBorders>
                    <w:tl2br w:val="nil"/>
                    <w:tr2bl w:val="nil"/>
                  </w:tcBorders>
                  <w:noWrap w:val="0"/>
                  <w:vAlign w:val="center"/>
                </w:tcPr>
                <w:p w14:paraId="7E65A081">
                  <w:pPr>
                    <w:pStyle w:val="30"/>
                    <w:rPr>
                      <w:rFonts w:hint="eastAsia"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浓度限值</w:t>
                  </w:r>
                </w:p>
              </w:tc>
              <w:tc>
                <w:tcPr>
                  <w:tcW w:w="775" w:type="dxa"/>
                  <w:tcBorders>
                    <w:tl2br w:val="nil"/>
                    <w:tr2bl w:val="nil"/>
                  </w:tcBorders>
                  <w:noWrap w:val="0"/>
                  <w:vAlign w:val="center"/>
                </w:tcPr>
                <w:p w14:paraId="552CE4A4">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单位</w:t>
                  </w:r>
                </w:p>
              </w:tc>
              <w:tc>
                <w:tcPr>
                  <w:tcW w:w="2705" w:type="dxa"/>
                  <w:tcBorders>
                    <w:tl2br w:val="nil"/>
                    <w:tr2bl w:val="nil"/>
                  </w:tcBorders>
                  <w:noWrap w:val="0"/>
                  <w:vAlign w:val="center"/>
                </w:tcPr>
                <w:p w14:paraId="3C4FF898">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标准来源</w:t>
                  </w:r>
                </w:p>
              </w:tc>
            </w:tr>
            <w:tr w14:paraId="0A0AB0E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restart"/>
                  <w:tcBorders>
                    <w:tl2br w:val="nil"/>
                    <w:tr2bl w:val="nil"/>
                  </w:tcBorders>
                  <w:noWrap w:val="0"/>
                  <w:vAlign w:val="center"/>
                </w:tcPr>
                <w:p w14:paraId="799D2513">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SO</w:t>
                  </w:r>
                  <w:r>
                    <w:rPr>
                      <w:rFonts w:hint="default" w:ascii="Times New Roman" w:hAnsi="Times New Roman" w:eastAsia="仿宋_GB2312" w:cs="Times New Roman"/>
                      <w:color w:val="auto"/>
                      <w:sz w:val="18"/>
                      <w:szCs w:val="18"/>
                      <w:vertAlign w:val="subscript"/>
                    </w:rPr>
                    <w:t>2</w:t>
                  </w:r>
                </w:p>
              </w:tc>
              <w:tc>
                <w:tcPr>
                  <w:tcW w:w="1577" w:type="dxa"/>
                  <w:tcBorders>
                    <w:tl2br w:val="nil"/>
                    <w:tr2bl w:val="nil"/>
                  </w:tcBorders>
                  <w:noWrap w:val="0"/>
                  <w:vAlign w:val="center"/>
                </w:tcPr>
                <w:p w14:paraId="3BB1FCFC">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w:t>
                  </w:r>
                </w:p>
              </w:tc>
              <w:tc>
                <w:tcPr>
                  <w:tcW w:w="856" w:type="dxa"/>
                  <w:tcBorders>
                    <w:tl2br w:val="nil"/>
                    <w:tr2bl w:val="nil"/>
                  </w:tcBorders>
                  <w:noWrap w:val="0"/>
                  <w:vAlign w:val="center"/>
                </w:tcPr>
                <w:p w14:paraId="3EF199ED">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60</w:t>
                  </w:r>
                </w:p>
              </w:tc>
              <w:tc>
                <w:tcPr>
                  <w:tcW w:w="667" w:type="dxa"/>
                  <w:tcBorders>
                    <w:tl2br w:val="nil"/>
                    <w:tr2bl w:val="nil"/>
                  </w:tcBorders>
                  <w:noWrap w:val="0"/>
                  <w:vAlign w:val="center"/>
                </w:tcPr>
                <w:p w14:paraId="000DDBE7">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20</w:t>
                  </w:r>
                </w:p>
              </w:tc>
              <w:tc>
                <w:tcPr>
                  <w:tcW w:w="775" w:type="dxa"/>
                  <w:vMerge w:val="restart"/>
                  <w:tcBorders>
                    <w:tl2br w:val="nil"/>
                    <w:tr2bl w:val="nil"/>
                  </w:tcBorders>
                  <w:noWrap w:val="0"/>
                  <w:vAlign w:val="center"/>
                </w:tcPr>
                <w:p w14:paraId="1C778D1D">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μg/m</w:t>
                  </w:r>
                  <w:r>
                    <w:rPr>
                      <w:rFonts w:hint="default" w:ascii="Times New Roman" w:hAnsi="Times New Roman" w:eastAsia="仿宋_GB2312" w:cs="Times New Roman"/>
                      <w:color w:val="auto"/>
                      <w:sz w:val="18"/>
                      <w:szCs w:val="18"/>
                      <w:vertAlign w:val="superscript"/>
                    </w:rPr>
                    <w:t>3</w:t>
                  </w:r>
                </w:p>
              </w:tc>
              <w:tc>
                <w:tcPr>
                  <w:tcW w:w="2705" w:type="dxa"/>
                  <w:vMerge w:val="restart"/>
                  <w:tcBorders>
                    <w:tl2br w:val="nil"/>
                    <w:tr2bl w:val="nil"/>
                  </w:tcBorders>
                  <w:noWrap w:val="0"/>
                  <w:vAlign w:val="center"/>
                </w:tcPr>
                <w:p w14:paraId="6BC665F8">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《环境空气质量标准》（GB3095-20</w:t>
                  </w:r>
                  <w:r>
                    <w:rPr>
                      <w:rFonts w:hint="eastAsia" w:eastAsia="仿宋_GB2312" w:cs="Times New Roman"/>
                      <w:color w:val="auto"/>
                      <w:sz w:val="18"/>
                      <w:szCs w:val="18"/>
                      <w:lang w:val="en-US" w:eastAsia="zh-CN"/>
                    </w:rPr>
                    <w:t>26</w:t>
                  </w:r>
                  <w:r>
                    <w:rPr>
                      <w:rFonts w:hint="default" w:ascii="Times New Roman" w:hAnsi="Times New Roman" w:eastAsia="仿宋_GB2312" w:cs="Times New Roman"/>
                      <w:color w:val="auto"/>
                      <w:sz w:val="18"/>
                      <w:szCs w:val="18"/>
                    </w:rPr>
                    <w:t>）</w:t>
                  </w:r>
                </w:p>
              </w:tc>
            </w:tr>
            <w:tr w14:paraId="49413C1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continue"/>
                  <w:tcBorders>
                    <w:tl2br w:val="nil"/>
                    <w:tr2bl w:val="nil"/>
                  </w:tcBorders>
                  <w:noWrap w:val="0"/>
                  <w:vAlign w:val="center"/>
                </w:tcPr>
                <w:p w14:paraId="6533BE55">
                  <w:pPr>
                    <w:pStyle w:val="30"/>
                    <w:rPr>
                      <w:rFonts w:hint="default" w:ascii="Times New Roman" w:hAnsi="Times New Roman" w:eastAsia="仿宋_GB2312" w:cs="Times New Roman"/>
                      <w:color w:val="auto"/>
                      <w:sz w:val="18"/>
                      <w:szCs w:val="18"/>
                    </w:rPr>
                  </w:pPr>
                </w:p>
              </w:tc>
              <w:tc>
                <w:tcPr>
                  <w:tcW w:w="1577" w:type="dxa"/>
                  <w:tcBorders>
                    <w:tl2br w:val="nil"/>
                    <w:tr2bl w:val="nil"/>
                  </w:tcBorders>
                  <w:noWrap w:val="0"/>
                  <w:vAlign w:val="center"/>
                </w:tcPr>
                <w:p w14:paraId="00E1A461">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56" w:type="dxa"/>
                  <w:tcBorders>
                    <w:tl2br w:val="nil"/>
                    <w:tr2bl w:val="nil"/>
                  </w:tcBorders>
                  <w:noWrap w:val="0"/>
                  <w:vAlign w:val="center"/>
                </w:tcPr>
                <w:p w14:paraId="524920AE">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150</w:t>
                  </w:r>
                </w:p>
              </w:tc>
              <w:tc>
                <w:tcPr>
                  <w:tcW w:w="667" w:type="dxa"/>
                  <w:tcBorders>
                    <w:tl2br w:val="nil"/>
                    <w:tr2bl w:val="nil"/>
                  </w:tcBorders>
                  <w:noWrap w:val="0"/>
                  <w:vAlign w:val="center"/>
                </w:tcPr>
                <w:p w14:paraId="19C1D895">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50</w:t>
                  </w:r>
                </w:p>
              </w:tc>
              <w:tc>
                <w:tcPr>
                  <w:tcW w:w="775" w:type="dxa"/>
                  <w:vMerge w:val="continue"/>
                  <w:tcBorders>
                    <w:tl2br w:val="nil"/>
                    <w:tr2bl w:val="nil"/>
                  </w:tcBorders>
                  <w:noWrap w:val="0"/>
                  <w:vAlign w:val="center"/>
                </w:tcPr>
                <w:p w14:paraId="29226FB4">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7E4C1123">
                  <w:pPr>
                    <w:pStyle w:val="30"/>
                    <w:rPr>
                      <w:rFonts w:hint="default" w:ascii="Times New Roman" w:hAnsi="Times New Roman" w:eastAsia="仿宋_GB2312" w:cs="Times New Roman"/>
                      <w:color w:val="auto"/>
                      <w:sz w:val="18"/>
                      <w:szCs w:val="18"/>
                    </w:rPr>
                  </w:pPr>
                </w:p>
              </w:tc>
            </w:tr>
            <w:tr w14:paraId="2484079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continue"/>
                  <w:tcBorders>
                    <w:tl2br w:val="nil"/>
                    <w:tr2bl w:val="nil"/>
                  </w:tcBorders>
                  <w:noWrap w:val="0"/>
                  <w:vAlign w:val="center"/>
                </w:tcPr>
                <w:p w14:paraId="0E473A57">
                  <w:pPr>
                    <w:pStyle w:val="30"/>
                    <w:rPr>
                      <w:rFonts w:hint="default" w:ascii="Times New Roman" w:hAnsi="Times New Roman" w:eastAsia="仿宋_GB2312" w:cs="Times New Roman"/>
                      <w:color w:val="auto"/>
                      <w:sz w:val="18"/>
                      <w:szCs w:val="18"/>
                    </w:rPr>
                  </w:pPr>
                </w:p>
              </w:tc>
              <w:tc>
                <w:tcPr>
                  <w:tcW w:w="1577" w:type="dxa"/>
                  <w:tcBorders>
                    <w:tl2br w:val="nil"/>
                    <w:tr2bl w:val="nil"/>
                  </w:tcBorders>
                  <w:noWrap w:val="0"/>
                  <w:vAlign w:val="center"/>
                </w:tcPr>
                <w:p w14:paraId="76CD0626">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1小时平均</w:t>
                  </w:r>
                </w:p>
              </w:tc>
              <w:tc>
                <w:tcPr>
                  <w:tcW w:w="856" w:type="dxa"/>
                  <w:tcBorders>
                    <w:tl2br w:val="nil"/>
                    <w:tr2bl w:val="nil"/>
                  </w:tcBorders>
                  <w:noWrap w:val="0"/>
                  <w:vAlign w:val="center"/>
                </w:tcPr>
                <w:p w14:paraId="2C011310">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500</w:t>
                  </w:r>
                </w:p>
              </w:tc>
              <w:tc>
                <w:tcPr>
                  <w:tcW w:w="667" w:type="dxa"/>
                  <w:tcBorders>
                    <w:tl2br w:val="nil"/>
                    <w:tr2bl w:val="nil"/>
                  </w:tcBorders>
                  <w:noWrap w:val="0"/>
                  <w:vAlign w:val="center"/>
                </w:tcPr>
                <w:p w14:paraId="77F563BE">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150</w:t>
                  </w:r>
                </w:p>
              </w:tc>
              <w:tc>
                <w:tcPr>
                  <w:tcW w:w="775" w:type="dxa"/>
                  <w:vMerge w:val="continue"/>
                  <w:tcBorders>
                    <w:tl2br w:val="nil"/>
                    <w:tr2bl w:val="nil"/>
                  </w:tcBorders>
                  <w:noWrap w:val="0"/>
                  <w:vAlign w:val="center"/>
                </w:tcPr>
                <w:p w14:paraId="65768768">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33984CB8">
                  <w:pPr>
                    <w:pStyle w:val="30"/>
                    <w:rPr>
                      <w:rFonts w:hint="default" w:ascii="Times New Roman" w:hAnsi="Times New Roman" w:eastAsia="仿宋_GB2312" w:cs="Times New Roman"/>
                      <w:color w:val="auto"/>
                      <w:sz w:val="18"/>
                      <w:szCs w:val="18"/>
                    </w:rPr>
                  </w:pPr>
                </w:p>
              </w:tc>
            </w:tr>
            <w:tr w14:paraId="41EDD89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restart"/>
                  <w:tcBorders>
                    <w:tl2br w:val="nil"/>
                    <w:tr2bl w:val="nil"/>
                  </w:tcBorders>
                  <w:noWrap w:val="0"/>
                  <w:vAlign w:val="center"/>
                </w:tcPr>
                <w:p w14:paraId="5ADE4E1C">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NO</w:t>
                  </w:r>
                  <w:r>
                    <w:rPr>
                      <w:rFonts w:hint="default" w:ascii="Times New Roman" w:hAnsi="Times New Roman" w:eastAsia="仿宋_GB2312" w:cs="Times New Roman"/>
                      <w:color w:val="auto"/>
                      <w:sz w:val="18"/>
                      <w:szCs w:val="18"/>
                      <w:vertAlign w:val="subscript"/>
                    </w:rPr>
                    <w:t>2</w:t>
                  </w:r>
                </w:p>
              </w:tc>
              <w:tc>
                <w:tcPr>
                  <w:tcW w:w="1577" w:type="dxa"/>
                  <w:tcBorders>
                    <w:tl2br w:val="nil"/>
                    <w:tr2bl w:val="nil"/>
                  </w:tcBorders>
                  <w:noWrap w:val="0"/>
                  <w:vAlign w:val="center"/>
                </w:tcPr>
                <w:p w14:paraId="18230866">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w:t>
                  </w:r>
                </w:p>
              </w:tc>
              <w:tc>
                <w:tcPr>
                  <w:tcW w:w="856" w:type="dxa"/>
                  <w:tcBorders>
                    <w:tl2br w:val="nil"/>
                    <w:tr2bl w:val="nil"/>
                  </w:tcBorders>
                  <w:noWrap w:val="0"/>
                  <w:vAlign w:val="center"/>
                </w:tcPr>
                <w:p w14:paraId="36D9D1B8">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40</w:t>
                  </w:r>
                </w:p>
              </w:tc>
              <w:tc>
                <w:tcPr>
                  <w:tcW w:w="667" w:type="dxa"/>
                  <w:tcBorders>
                    <w:tl2br w:val="nil"/>
                    <w:tr2bl w:val="nil"/>
                  </w:tcBorders>
                  <w:noWrap w:val="0"/>
                  <w:vAlign w:val="center"/>
                </w:tcPr>
                <w:p w14:paraId="6B0E423B">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30</w:t>
                  </w:r>
                </w:p>
              </w:tc>
              <w:tc>
                <w:tcPr>
                  <w:tcW w:w="775" w:type="dxa"/>
                  <w:vMerge w:val="continue"/>
                  <w:tcBorders>
                    <w:tl2br w:val="nil"/>
                    <w:tr2bl w:val="nil"/>
                  </w:tcBorders>
                  <w:noWrap w:val="0"/>
                  <w:vAlign w:val="center"/>
                </w:tcPr>
                <w:p w14:paraId="3D057F94">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749AB1B1">
                  <w:pPr>
                    <w:pStyle w:val="30"/>
                    <w:rPr>
                      <w:rFonts w:hint="default" w:ascii="Times New Roman" w:hAnsi="Times New Roman" w:eastAsia="仿宋_GB2312" w:cs="Times New Roman"/>
                      <w:color w:val="auto"/>
                      <w:sz w:val="18"/>
                      <w:szCs w:val="18"/>
                    </w:rPr>
                  </w:pPr>
                </w:p>
              </w:tc>
            </w:tr>
            <w:tr w14:paraId="5CDFBE7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continue"/>
                  <w:tcBorders>
                    <w:tl2br w:val="nil"/>
                    <w:tr2bl w:val="nil"/>
                  </w:tcBorders>
                  <w:noWrap w:val="0"/>
                  <w:vAlign w:val="center"/>
                </w:tcPr>
                <w:p w14:paraId="4A631C4A">
                  <w:pPr>
                    <w:pStyle w:val="30"/>
                    <w:rPr>
                      <w:rFonts w:hint="default" w:ascii="Times New Roman" w:hAnsi="Times New Roman" w:eastAsia="仿宋_GB2312" w:cs="Times New Roman"/>
                      <w:color w:val="auto"/>
                      <w:sz w:val="18"/>
                      <w:szCs w:val="18"/>
                    </w:rPr>
                  </w:pPr>
                </w:p>
              </w:tc>
              <w:tc>
                <w:tcPr>
                  <w:tcW w:w="1577" w:type="dxa"/>
                  <w:tcBorders>
                    <w:tl2br w:val="nil"/>
                    <w:tr2bl w:val="nil"/>
                  </w:tcBorders>
                  <w:noWrap w:val="0"/>
                  <w:vAlign w:val="center"/>
                </w:tcPr>
                <w:p w14:paraId="20C68EE3">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56" w:type="dxa"/>
                  <w:tcBorders>
                    <w:tl2br w:val="nil"/>
                    <w:tr2bl w:val="nil"/>
                  </w:tcBorders>
                  <w:noWrap w:val="0"/>
                  <w:vAlign w:val="center"/>
                </w:tcPr>
                <w:p w14:paraId="27FA2D0D">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80</w:t>
                  </w:r>
                </w:p>
              </w:tc>
              <w:tc>
                <w:tcPr>
                  <w:tcW w:w="667" w:type="dxa"/>
                  <w:tcBorders>
                    <w:tl2br w:val="nil"/>
                    <w:tr2bl w:val="nil"/>
                  </w:tcBorders>
                  <w:noWrap w:val="0"/>
                  <w:vAlign w:val="center"/>
                </w:tcPr>
                <w:p w14:paraId="5E23977E">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50</w:t>
                  </w:r>
                </w:p>
              </w:tc>
              <w:tc>
                <w:tcPr>
                  <w:tcW w:w="775" w:type="dxa"/>
                  <w:vMerge w:val="continue"/>
                  <w:tcBorders>
                    <w:tl2br w:val="nil"/>
                    <w:tr2bl w:val="nil"/>
                  </w:tcBorders>
                  <w:noWrap w:val="0"/>
                  <w:vAlign w:val="center"/>
                </w:tcPr>
                <w:p w14:paraId="19F56D1E">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01DD373C">
                  <w:pPr>
                    <w:pStyle w:val="30"/>
                    <w:rPr>
                      <w:rFonts w:hint="default" w:ascii="Times New Roman" w:hAnsi="Times New Roman" w:eastAsia="仿宋_GB2312" w:cs="Times New Roman"/>
                      <w:color w:val="auto"/>
                      <w:sz w:val="18"/>
                      <w:szCs w:val="18"/>
                    </w:rPr>
                  </w:pPr>
                </w:p>
              </w:tc>
            </w:tr>
            <w:tr w14:paraId="7526DC3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continue"/>
                  <w:tcBorders>
                    <w:tl2br w:val="nil"/>
                    <w:tr2bl w:val="nil"/>
                  </w:tcBorders>
                  <w:noWrap w:val="0"/>
                  <w:vAlign w:val="center"/>
                </w:tcPr>
                <w:p w14:paraId="16CFB19C">
                  <w:pPr>
                    <w:pStyle w:val="30"/>
                    <w:rPr>
                      <w:rFonts w:hint="default" w:ascii="Times New Roman" w:hAnsi="Times New Roman" w:eastAsia="仿宋_GB2312" w:cs="Times New Roman"/>
                      <w:color w:val="auto"/>
                      <w:sz w:val="18"/>
                      <w:szCs w:val="18"/>
                    </w:rPr>
                  </w:pPr>
                </w:p>
              </w:tc>
              <w:tc>
                <w:tcPr>
                  <w:tcW w:w="1577" w:type="dxa"/>
                  <w:tcBorders>
                    <w:tl2br w:val="nil"/>
                    <w:tr2bl w:val="nil"/>
                  </w:tcBorders>
                  <w:noWrap w:val="0"/>
                  <w:vAlign w:val="center"/>
                </w:tcPr>
                <w:p w14:paraId="1C4FEB88">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1小时平均</w:t>
                  </w:r>
                </w:p>
              </w:tc>
              <w:tc>
                <w:tcPr>
                  <w:tcW w:w="856" w:type="dxa"/>
                  <w:tcBorders>
                    <w:tl2br w:val="nil"/>
                    <w:tr2bl w:val="nil"/>
                  </w:tcBorders>
                  <w:noWrap w:val="0"/>
                  <w:vAlign w:val="center"/>
                </w:tcPr>
                <w:p w14:paraId="5F4DD5AB">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200</w:t>
                  </w:r>
                </w:p>
              </w:tc>
              <w:tc>
                <w:tcPr>
                  <w:tcW w:w="667" w:type="dxa"/>
                  <w:tcBorders>
                    <w:tl2br w:val="nil"/>
                    <w:tr2bl w:val="nil"/>
                  </w:tcBorders>
                  <w:noWrap w:val="0"/>
                  <w:vAlign w:val="center"/>
                </w:tcPr>
                <w:p w14:paraId="757584B6">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200</w:t>
                  </w:r>
                </w:p>
              </w:tc>
              <w:tc>
                <w:tcPr>
                  <w:tcW w:w="775" w:type="dxa"/>
                  <w:vMerge w:val="continue"/>
                  <w:tcBorders>
                    <w:tl2br w:val="nil"/>
                    <w:tr2bl w:val="nil"/>
                  </w:tcBorders>
                  <w:noWrap w:val="0"/>
                  <w:vAlign w:val="center"/>
                </w:tcPr>
                <w:p w14:paraId="6ECED40A">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207D995E">
                  <w:pPr>
                    <w:pStyle w:val="30"/>
                    <w:rPr>
                      <w:rFonts w:hint="default" w:ascii="Times New Roman" w:hAnsi="Times New Roman" w:eastAsia="仿宋_GB2312" w:cs="Times New Roman"/>
                      <w:color w:val="auto"/>
                      <w:sz w:val="18"/>
                      <w:szCs w:val="18"/>
                    </w:rPr>
                  </w:pPr>
                </w:p>
              </w:tc>
            </w:tr>
            <w:tr w14:paraId="5901902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restart"/>
                  <w:tcBorders>
                    <w:tl2br w:val="nil"/>
                    <w:tr2bl w:val="nil"/>
                  </w:tcBorders>
                  <w:noWrap w:val="0"/>
                  <w:vAlign w:val="center"/>
                </w:tcPr>
                <w:p w14:paraId="33F443F5">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PM</w:t>
                  </w:r>
                  <w:r>
                    <w:rPr>
                      <w:rFonts w:hint="default" w:ascii="Times New Roman" w:hAnsi="Times New Roman" w:eastAsia="仿宋_GB2312" w:cs="Times New Roman"/>
                      <w:color w:val="auto"/>
                      <w:sz w:val="18"/>
                      <w:szCs w:val="18"/>
                      <w:vertAlign w:val="subscript"/>
                    </w:rPr>
                    <w:t>10</w:t>
                  </w:r>
                </w:p>
              </w:tc>
              <w:tc>
                <w:tcPr>
                  <w:tcW w:w="1577" w:type="dxa"/>
                  <w:tcBorders>
                    <w:tl2br w:val="nil"/>
                    <w:tr2bl w:val="nil"/>
                  </w:tcBorders>
                  <w:noWrap w:val="0"/>
                  <w:vAlign w:val="center"/>
                </w:tcPr>
                <w:p w14:paraId="242C8467">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w:t>
                  </w:r>
                </w:p>
              </w:tc>
              <w:tc>
                <w:tcPr>
                  <w:tcW w:w="856" w:type="dxa"/>
                  <w:tcBorders>
                    <w:tl2br w:val="nil"/>
                    <w:tr2bl w:val="nil"/>
                  </w:tcBorders>
                  <w:noWrap w:val="0"/>
                  <w:vAlign w:val="center"/>
                </w:tcPr>
                <w:p w14:paraId="28A07C1B">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60</w:t>
                  </w:r>
                </w:p>
              </w:tc>
              <w:tc>
                <w:tcPr>
                  <w:tcW w:w="667" w:type="dxa"/>
                  <w:tcBorders>
                    <w:tl2br w:val="nil"/>
                    <w:tr2bl w:val="nil"/>
                  </w:tcBorders>
                  <w:noWrap w:val="0"/>
                  <w:vAlign w:val="center"/>
                </w:tcPr>
                <w:p w14:paraId="48BF3915">
                  <w:pPr>
                    <w:pStyle w:val="30"/>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50</w:t>
                  </w:r>
                </w:p>
              </w:tc>
              <w:tc>
                <w:tcPr>
                  <w:tcW w:w="775" w:type="dxa"/>
                  <w:vMerge w:val="continue"/>
                  <w:tcBorders>
                    <w:tl2br w:val="nil"/>
                    <w:tr2bl w:val="nil"/>
                  </w:tcBorders>
                  <w:noWrap w:val="0"/>
                  <w:vAlign w:val="center"/>
                </w:tcPr>
                <w:p w14:paraId="5660263C">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7D09DEA1">
                  <w:pPr>
                    <w:pStyle w:val="30"/>
                    <w:rPr>
                      <w:rFonts w:hint="default" w:ascii="Times New Roman" w:hAnsi="Times New Roman" w:eastAsia="仿宋_GB2312" w:cs="Times New Roman"/>
                      <w:color w:val="auto"/>
                      <w:sz w:val="18"/>
                      <w:szCs w:val="18"/>
                    </w:rPr>
                  </w:pPr>
                </w:p>
              </w:tc>
            </w:tr>
            <w:tr w14:paraId="1AE34A6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continue"/>
                  <w:tcBorders>
                    <w:tl2br w:val="nil"/>
                    <w:tr2bl w:val="nil"/>
                  </w:tcBorders>
                  <w:noWrap w:val="0"/>
                  <w:vAlign w:val="center"/>
                </w:tcPr>
                <w:p w14:paraId="2C82BA2A">
                  <w:pPr>
                    <w:pStyle w:val="30"/>
                    <w:rPr>
                      <w:rFonts w:hint="default" w:ascii="Times New Roman" w:hAnsi="Times New Roman" w:eastAsia="仿宋_GB2312" w:cs="Times New Roman"/>
                      <w:color w:val="auto"/>
                      <w:sz w:val="18"/>
                      <w:szCs w:val="18"/>
                    </w:rPr>
                  </w:pPr>
                </w:p>
              </w:tc>
              <w:tc>
                <w:tcPr>
                  <w:tcW w:w="1577" w:type="dxa"/>
                  <w:tcBorders>
                    <w:tl2br w:val="nil"/>
                    <w:tr2bl w:val="nil"/>
                  </w:tcBorders>
                  <w:noWrap w:val="0"/>
                  <w:vAlign w:val="center"/>
                </w:tcPr>
                <w:p w14:paraId="7E509453">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56" w:type="dxa"/>
                  <w:tcBorders>
                    <w:tl2br w:val="nil"/>
                    <w:tr2bl w:val="nil"/>
                  </w:tcBorders>
                  <w:noWrap w:val="0"/>
                  <w:vAlign w:val="center"/>
                </w:tcPr>
                <w:p w14:paraId="49367515">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r>
                    <w:rPr>
                      <w:rFonts w:hint="eastAsia" w:eastAsia="仿宋_GB2312" w:cs="Times New Roman"/>
                      <w:color w:val="auto"/>
                      <w:sz w:val="18"/>
                      <w:szCs w:val="18"/>
                      <w:lang w:val="en-US" w:eastAsia="zh-CN"/>
                    </w:rPr>
                    <w:t>2</w:t>
                  </w:r>
                  <w:r>
                    <w:rPr>
                      <w:rFonts w:hint="default" w:ascii="Times New Roman" w:hAnsi="Times New Roman" w:eastAsia="仿宋_GB2312" w:cs="Times New Roman"/>
                      <w:color w:val="auto"/>
                      <w:sz w:val="18"/>
                      <w:szCs w:val="18"/>
                    </w:rPr>
                    <w:t>0</w:t>
                  </w:r>
                </w:p>
              </w:tc>
              <w:tc>
                <w:tcPr>
                  <w:tcW w:w="667" w:type="dxa"/>
                  <w:tcBorders>
                    <w:tl2br w:val="nil"/>
                    <w:tr2bl w:val="nil"/>
                  </w:tcBorders>
                  <w:noWrap w:val="0"/>
                  <w:vAlign w:val="center"/>
                </w:tcPr>
                <w:p w14:paraId="2A3EC30F">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100</w:t>
                  </w:r>
                </w:p>
              </w:tc>
              <w:tc>
                <w:tcPr>
                  <w:tcW w:w="775" w:type="dxa"/>
                  <w:vMerge w:val="continue"/>
                  <w:tcBorders>
                    <w:tl2br w:val="nil"/>
                    <w:tr2bl w:val="nil"/>
                  </w:tcBorders>
                  <w:noWrap w:val="0"/>
                  <w:vAlign w:val="center"/>
                </w:tcPr>
                <w:p w14:paraId="6AA964D7">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30DDBD5C">
                  <w:pPr>
                    <w:pStyle w:val="30"/>
                    <w:rPr>
                      <w:rFonts w:hint="default" w:ascii="Times New Roman" w:hAnsi="Times New Roman" w:eastAsia="仿宋_GB2312" w:cs="Times New Roman"/>
                      <w:color w:val="auto"/>
                      <w:sz w:val="18"/>
                      <w:szCs w:val="18"/>
                    </w:rPr>
                  </w:pPr>
                </w:p>
              </w:tc>
            </w:tr>
            <w:tr w14:paraId="57F4B60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restart"/>
                  <w:tcBorders>
                    <w:tl2br w:val="nil"/>
                    <w:tr2bl w:val="nil"/>
                  </w:tcBorders>
                  <w:noWrap w:val="0"/>
                  <w:vAlign w:val="center"/>
                </w:tcPr>
                <w:p w14:paraId="0A43D7D3">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PM</w:t>
                  </w:r>
                  <w:r>
                    <w:rPr>
                      <w:rFonts w:hint="default" w:ascii="Times New Roman" w:hAnsi="Times New Roman" w:eastAsia="仿宋_GB2312" w:cs="Times New Roman"/>
                      <w:color w:val="auto"/>
                      <w:sz w:val="18"/>
                      <w:szCs w:val="18"/>
                      <w:vertAlign w:val="subscript"/>
                    </w:rPr>
                    <w:t>2.5</w:t>
                  </w:r>
                </w:p>
              </w:tc>
              <w:tc>
                <w:tcPr>
                  <w:tcW w:w="1577" w:type="dxa"/>
                  <w:tcBorders>
                    <w:tl2br w:val="nil"/>
                    <w:tr2bl w:val="nil"/>
                  </w:tcBorders>
                  <w:noWrap w:val="0"/>
                  <w:vAlign w:val="center"/>
                </w:tcPr>
                <w:p w14:paraId="67832403">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w:t>
                  </w:r>
                </w:p>
              </w:tc>
              <w:tc>
                <w:tcPr>
                  <w:tcW w:w="856" w:type="dxa"/>
                  <w:tcBorders>
                    <w:tl2br w:val="nil"/>
                    <w:tr2bl w:val="nil"/>
                  </w:tcBorders>
                  <w:noWrap w:val="0"/>
                  <w:vAlign w:val="center"/>
                </w:tcPr>
                <w:p w14:paraId="0B385014">
                  <w:pPr>
                    <w:pStyle w:val="30"/>
                    <w:rPr>
                      <w:rFonts w:hint="eastAsia"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3</w:t>
                  </w:r>
                  <w:r>
                    <w:rPr>
                      <w:rFonts w:hint="eastAsia" w:eastAsia="仿宋_GB2312" w:cs="Times New Roman"/>
                      <w:color w:val="auto"/>
                      <w:sz w:val="18"/>
                      <w:szCs w:val="18"/>
                      <w:lang w:val="en-US" w:eastAsia="zh-CN"/>
                    </w:rPr>
                    <w:t>0</w:t>
                  </w:r>
                </w:p>
              </w:tc>
              <w:tc>
                <w:tcPr>
                  <w:tcW w:w="667" w:type="dxa"/>
                  <w:tcBorders>
                    <w:tl2br w:val="nil"/>
                    <w:tr2bl w:val="nil"/>
                  </w:tcBorders>
                  <w:noWrap w:val="0"/>
                  <w:vAlign w:val="center"/>
                </w:tcPr>
                <w:p w14:paraId="680BF507">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25</w:t>
                  </w:r>
                </w:p>
              </w:tc>
              <w:tc>
                <w:tcPr>
                  <w:tcW w:w="775" w:type="dxa"/>
                  <w:vMerge w:val="continue"/>
                  <w:tcBorders>
                    <w:tl2br w:val="nil"/>
                    <w:tr2bl w:val="nil"/>
                  </w:tcBorders>
                  <w:noWrap w:val="0"/>
                  <w:vAlign w:val="center"/>
                </w:tcPr>
                <w:p w14:paraId="71E78DA3">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17AA25D8">
                  <w:pPr>
                    <w:pStyle w:val="30"/>
                    <w:rPr>
                      <w:rFonts w:hint="default" w:ascii="Times New Roman" w:hAnsi="Times New Roman" w:eastAsia="仿宋_GB2312" w:cs="Times New Roman"/>
                      <w:color w:val="auto"/>
                      <w:sz w:val="18"/>
                      <w:szCs w:val="18"/>
                    </w:rPr>
                  </w:pPr>
                </w:p>
              </w:tc>
            </w:tr>
            <w:tr w14:paraId="49F8EDA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continue"/>
                  <w:tcBorders>
                    <w:tl2br w:val="nil"/>
                    <w:tr2bl w:val="nil"/>
                  </w:tcBorders>
                  <w:noWrap w:val="0"/>
                  <w:vAlign w:val="center"/>
                </w:tcPr>
                <w:p w14:paraId="6E6A8312">
                  <w:pPr>
                    <w:pStyle w:val="30"/>
                    <w:rPr>
                      <w:rFonts w:hint="default" w:ascii="Times New Roman" w:hAnsi="Times New Roman" w:eastAsia="仿宋_GB2312" w:cs="Times New Roman"/>
                      <w:color w:val="auto"/>
                      <w:sz w:val="18"/>
                      <w:szCs w:val="18"/>
                    </w:rPr>
                  </w:pPr>
                </w:p>
              </w:tc>
              <w:tc>
                <w:tcPr>
                  <w:tcW w:w="1577" w:type="dxa"/>
                  <w:tcBorders>
                    <w:tl2br w:val="nil"/>
                    <w:tr2bl w:val="nil"/>
                  </w:tcBorders>
                  <w:noWrap w:val="0"/>
                  <w:vAlign w:val="center"/>
                </w:tcPr>
                <w:p w14:paraId="382C7B27">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56" w:type="dxa"/>
                  <w:tcBorders>
                    <w:tl2br w:val="nil"/>
                    <w:tr2bl w:val="nil"/>
                  </w:tcBorders>
                  <w:noWrap w:val="0"/>
                  <w:vAlign w:val="center"/>
                </w:tcPr>
                <w:p w14:paraId="116611DC">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60</w:t>
                  </w:r>
                </w:p>
              </w:tc>
              <w:tc>
                <w:tcPr>
                  <w:tcW w:w="667" w:type="dxa"/>
                  <w:tcBorders>
                    <w:tl2br w:val="nil"/>
                    <w:tr2bl w:val="nil"/>
                  </w:tcBorders>
                  <w:noWrap w:val="0"/>
                  <w:vAlign w:val="center"/>
                </w:tcPr>
                <w:p w14:paraId="21E677F5">
                  <w:pPr>
                    <w:pStyle w:val="30"/>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50</w:t>
                  </w:r>
                </w:p>
              </w:tc>
              <w:tc>
                <w:tcPr>
                  <w:tcW w:w="775" w:type="dxa"/>
                  <w:vMerge w:val="continue"/>
                  <w:tcBorders>
                    <w:tl2br w:val="nil"/>
                    <w:tr2bl w:val="nil"/>
                  </w:tcBorders>
                  <w:noWrap w:val="0"/>
                  <w:vAlign w:val="center"/>
                </w:tcPr>
                <w:p w14:paraId="046970EF">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39D42A0E">
                  <w:pPr>
                    <w:pStyle w:val="30"/>
                    <w:rPr>
                      <w:rFonts w:hint="default" w:ascii="Times New Roman" w:hAnsi="Times New Roman" w:eastAsia="仿宋_GB2312" w:cs="Times New Roman"/>
                      <w:color w:val="auto"/>
                      <w:sz w:val="18"/>
                      <w:szCs w:val="18"/>
                    </w:rPr>
                  </w:pPr>
                </w:p>
              </w:tc>
            </w:tr>
            <w:tr w14:paraId="350997A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restart"/>
                  <w:tcBorders>
                    <w:tl2br w:val="nil"/>
                    <w:tr2bl w:val="nil"/>
                  </w:tcBorders>
                  <w:noWrap w:val="0"/>
                  <w:vAlign w:val="center"/>
                </w:tcPr>
                <w:p w14:paraId="693E1D4F">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O</w:t>
                  </w:r>
                  <w:r>
                    <w:rPr>
                      <w:rFonts w:hint="default" w:ascii="Times New Roman" w:hAnsi="Times New Roman" w:eastAsia="仿宋_GB2312" w:cs="Times New Roman"/>
                      <w:color w:val="auto"/>
                      <w:sz w:val="18"/>
                      <w:szCs w:val="18"/>
                      <w:vertAlign w:val="subscript"/>
                    </w:rPr>
                    <w:t>3</w:t>
                  </w:r>
                </w:p>
              </w:tc>
              <w:tc>
                <w:tcPr>
                  <w:tcW w:w="1577" w:type="dxa"/>
                  <w:tcBorders>
                    <w:tl2br w:val="nil"/>
                    <w:tr2bl w:val="nil"/>
                  </w:tcBorders>
                  <w:noWrap w:val="0"/>
                  <w:vAlign w:val="center"/>
                </w:tcPr>
                <w:p w14:paraId="27DB784F">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日最大8小时平均</w:t>
                  </w:r>
                </w:p>
              </w:tc>
              <w:tc>
                <w:tcPr>
                  <w:tcW w:w="856" w:type="dxa"/>
                  <w:tcBorders>
                    <w:tl2br w:val="nil"/>
                    <w:tr2bl w:val="nil"/>
                  </w:tcBorders>
                  <w:noWrap w:val="0"/>
                  <w:vAlign w:val="center"/>
                </w:tcPr>
                <w:p w14:paraId="2961042C">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160</w:t>
                  </w:r>
                </w:p>
              </w:tc>
              <w:tc>
                <w:tcPr>
                  <w:tcW w:w="667" w:type="dxa"/>
                  <w:tcBorders>
                    <w:tl2br w:val="nil"/>
                    <w:tr2bl w:val="nil"/>
                  </w:tcBorders>
                  <w:noWrap w:val="0"/>
                  <w:vAlign w:val="center"/>
                </w:tcPr>
                <w:p w14:paraId="3056E9AA">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160</w:t>
                  </w:r>
                </w:p>
              </w:tc>
              <w:tc>
                <w:tcPr>
                  <w:tcW w:w="775" w:type="dxa"/>
                  <w:vMerge w:val="continue"/>
                  <w:tcBorders>
                    <w:tl2br w:val="nil"/>
                    <w:tr2bl w:val="nil"/>
                  </w:tcBorders>
                  <w:noWrap w:val="0"/>
                  <w:vAlign w:val="center"/>
                </w:tcPr>
                <w:p w14:paraId="3B661CDC">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1E76B0D8">
                  <w:pPr>
                    <w:pStyle w:val="30"/>
                    <w:rPr>
                      <w:rFonts w:hint="default" w:ascii="Times New Roman" w:hAnsi="Times New Roman" w:eastAsia="仿宋_GB2312" w:cs="Times New Roman"/>
                      <w:color w:val="auto"/>
                      <w:sz w:val="18"/>
                      <w:szCs w:val="18"/>
                    </w:rPr>
                  </w:pPr>
                </w:p>
              </w:tc>
            </w:tr>
            <w:tr w14:paraId="554C36E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continue"/>
                  <w:tcBorders>
                    <w:tl2br w:val="nil"/>
                    <w:tr2bl w:val="nil"/>
                  </w:tcBorders>
                  <w:noWrap w:val="0"/>
                  <w:vAlign w:val="center"/>
                </w:tcPr>
                <w:p w14:paraId="13C35B5D">
                  <w:pPr>
                    <w:pStyle w:val="30"/>
                    <w:rPr>
                      <w:rFonts w:hint="default" w:ascii="Times New Roman" w:hAnsi="Times New Roman" w:eastAsia="仿宋_GB2312" w:cs="Times New Roman"/>
                      <w:color w:val="auto"/>
                      <w:sz w:val="18"/>
                      <w:szCs w:val="18"/>
                    </w:rPr>
                  </w:pPr>
                </w:p>
              </w:tc>
              <w:tc>
                <w:tcPr>
                  <w:tcW w:w="1577" w:type="dxa"/>
                  <w:tcBorders>
                    <w:tl2br w:val="nil"/>
                    <w:tr2bl w:val="nil"/>
                  </w:tcBorders>
                  <w:noWrap w:val="0"/>
                  <w:vAlign w:val="center"/>
                </w:tcPr>
                <w:p w14:paraId="460AAD9B">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1小时平均</w:t>
                  </w:r>
                </w:p>
              </w:tc>
              <w:tc>
                <w:tcPr>
                  <w:tcW w:w="856" w:type="dxa"/>
                  <w:tcBorders>
                    <w:tl2br w:val="nil"/>
                    <w:tr2bl w:val="nil"/>
                  </w:tcBorders>
                  <w:noWrap w:val="0"/>
                  <w:vAlign w:val="center"/>
                </w:tcPr>
                <w:p w14:paraId="20C78754">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200</w:t>
                  </w:r>
                </w:p>
              </w:tc>
              <w:tc>
                <w:tcPr>
                  <w:tcW w:w="667" w:type="dxa"/>
                  <w:tcBorders>
                    <w:tl2br w:val="nil"/>
                    <w:tr2bl w:val="nil"/>
                  </w:tcBorders>
                  <w:noWrap w:val="0"/>
                  <w:vAlign w:val="center"/>
                </w:tcPr>
                <w:p w14:paraId="560B0715">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200</w:t>
                  </w:r>
                </w:p>
              </w:tc>
              <w:tc>
                <w:tcPr>
                  <w:tcW w:w="775" w:type="dxa"/>
                  <w:vMerge w:val="continue"/>
                  <w:tcBorders>
                    <w:tl2br w:val="nil"/>
                    <w:tr2bl w:val="nil"/>
                  </w:tcBorders>
                  <w:noWrap w:val="0"/>
                  <w:vAlign w:val="center"/>
                </w:tcPr>
                <w:p w14:paraId="597B2A1B">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549CCA45">
                  <w:pPr>
                    <w:pStyle w:val="30"/>
                    <w:rPr>
                      <w:rFonts w:hint="default" w:ascii="Times New Roman" w:hAnsi="Times New Roman" w:eastAsia="仿宋_GB2312" w:cs="Times New Roman"/>
                      <w:color w:val="auto"/>
                      <w:sz w:val="18"/>
                      <w:szCs w:val="18"/>
                    </w:rPr>
                  </w:pPr>
                </w:p>
              </w:tc>
            </w:tr>
            <w:tr w14:paraId="7F35264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restart"/>
                  <w:tcBorders>
                    <w:tl2br w:val="nil"/>
                    <w:tr2bl w:val="nil"/>
                  </w:tcBorders>
                  <w:noWrap w:val="0"/>
                  <w:vAlign w:val="center"/>
                </w:tcPr>
                <w:p w14:paraId="01F46BF1">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CO</w:t>
                  </w:r>
                </w:p>
              </w:tc>
              <w:tc>
                <w:tcPr>
                  <w:tcW w:w="1577" w:type="dxa"/>
                  <w:tcBorders>
                    <w:tl2br w:val="nil"/>
                    <w:tr2bl w:val="nil"/>
                  </w:tcBorders>
                  <w:noWrap w:val="0"/>
                  <w:vAlign w:val="center"/>
                </w:tcPr>
                <w:p w14:paraId="69E5AEEA">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24小时平均</w:t>
                  </w:r>
                </w:p>
              </w:tc>
              <w:tc>
                <w:tcPr>
                  <w:tcW w:w="856" w:type="dxa"/>
                  <w:tcBorders>
                    <w:tl2br w:val="nil"/>
                    <w:tr2bl w:val="nil"/>
                  </w:tcBorders>
                  <w:noWrap w:val="0"/>
                  <w:vAlign w:val="center"/>
                </w:tcPr>
                <w:p w14:paraId="4439D3BD">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667" w:type="dxa"/>
                  <w:tcBorders>
                    <w:tl2br w:val="nil"/>
                    <w:tr2bl w:val="nil"/>
                  </w:tcBorders>
                  <w:noWrap w:val="0"/>
                  <w:vAlign w:val="center"/>
                </w:tcPr>
                <w:p w14:paraId="10E77D5A">
                  <w:pPr>
                    <w:pStyle w:val="30"/>
                    <w:rPr>
                      <w:rFonts w:hint="eastAsia"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4</w:t>
                  </w:r>
                </w:p>
              </w:tc>
              <w:tc>
                <w:tcPr>
                  <w:tcW w:w="775" w:type="dxa"/>
                  <w:vMerge w:val="restart"/>
                  <w:tcBorders>
                    <w:tl2br w:val="nil"/>
                    <w:tr2bl w:val="nil"/>
                  </w:tcBorders>
                  <w:noWrap w:val="0"/>
                  <w:vAlign w:val="center"/>
                </w:tcPr>
                <w:p w14:paraId="3AB79612">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mg/m</w:t>
                  </w:r>
                  <w:r>
                    <w:rPr>
                      <w:rFonts w:hint="default" w:ascii="Times New Roman" w:hAnsi="Times New Roman" w:eastAsia="仿宋_GB2312" w:cs="Times New Roman"/>
                      <w:color w:val="auto"/>
                      <w:sz w:val="18"/>
                      <w:szCs w:val="18"/>
                      <w:vertAlign w:val="superscript"/>
                    </w:rPr>
                    <w:t>3</w:t>
                  </w:r>
                </w:p>
              </w:tc>
              <w:tc>
                <w:tcPr>
                  <w:tcW w:w="2705" w:type="dxa"/>
                  <w:vMerge w:val="continue"/>
                  <w:tcBorders>
                    <w:tl2br w:val="nil"/>
                    <w:tr2bl w:val="nil"/>
                  </w:tcBorders>
                  <w:noWrap w:val="0"/>
                  <w:vAlign w:val="center"/>
                </w:tcPr>
                <w:p w14:paraId="75E2CE72">
                  <w:pPr>
                    <w:pStyle w:val="30"/>
                    <w:rPr>
                      <w:rFonts w:hint="default" w:ascii="Times New Roman" w:hAnsi="Times New Roman" w:eastAsia="仿宋_GB2312" w:cs="Times New Roman"/>
                      <w:color w:val="auto"/>
                      <w:sz w:val="18"/>
                      <w:szCs w:val="18"/>
                    </w:rPr>
                  </w:pPr>
                </w:p>
              </w:tc>
            </w:tr>
            <w:tr w14:paraId="142001B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continue"/>
                  <w:tcBorders>
                    <w:tl2br w:val="nil"/>
                    <w:tr2bl w:val="nil"/>
                  </w:tcBorders>
                  <w:noWrap w:val="0"/>
                  <w:vAlign w:val="center"/>
                </w:tcPr>
                <w:p w14:paraId="1686CE4C">
                  <w:pPr>
                    <w:pStyle w:val="30"/>
                    <w:rPr>
                      <w:rFonts w:hint="default" w:ascii="Times New Roman" w:hAnsi="Times New Roman" w:eastAsia="仿宋_GB2312" w:cs="Times New Roman"/>
                      <w:color w:val="auto"/>
                      <w:sz w:val="18"/>
                      <w:szCs w:val="18"/>
                    </w:rPr>
                  </w:pPr>
                </w:p>
              </w:tc>
              <w:tc>
                <w:tcPr>
                  <w:tcW w:w="1577" w:type="dxa"/>
                  <w:tcBorders>
                    <w:tl2br w:val="nil"/>
                    <w:tr2bl w:val="nil"/>
                  </w:tcBorders>
                  <w:noWrap w:val="0"/>
                  <w:vAlign w:val="center"/>
                </w:tcPr>
                <w:p w14:paraId="0AA41658">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1小时平均</w:t>
                  </w:r>
                </w:p>
              </w:tc>
              <w:tc>
                <w:tcPr>
                  <w:tcW w:w="856" w:type="dxa"/>
                  <w:tcBorders>
                    <w:tl2br w:val="nil"/>
                    <w:tr2bl w:val="nil"/>
                  </w:tcBorders>
                  <w:noWrap w:val="0"/>
                  <w:vAlign w:val="center"/>
                </w:tcPr>
                <w:p w14:paraId="2718F2F2">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667" w:type="dxa"/>
                  <w:tcBorders>
                    <w:tl2br w:val="nil"/>
                    <w:tr2bl w:val="nil"/>
                  </w:tcBorders>
                  <w:noWrap w:val="0"/>
                  <w:vAlign w:val="center"/>
                </w:tcPr>
                <w:p w14:paraId="427354D9">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10</w:t>
                  </w:r>
                </w:p>
              </w:tc>
              <w:tc>
                <w:tcPr>
                  <w:tcW w:w="775" w:type="dxa"/>
                  <w:vMerge w:val="continue"/>
                  <w:tcBorders>
                    <w:tl2br w:val="nil"/>
                    <w:tr2bl w:val="nil"/>
                  </w:tcBorders>
                  <w:noWrap w:val="0"/>
                  <w:vAlign w:val="center"/>
                </w:tcPr>
                <w:p w14:paraId="0C51DEB8">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3BA86B89">
                  <w:pPr>
                    <w:pStyle w:val="30"/>
                    <w:rPr>
                      <w:rFonts w:hint="default" w:ascii="Times New Roman" w:hAnsi="Times New Roman" w:eastAsia="仿宋_GB2312" w:cs="Times New Roman"/>
                      <w:color w:val="auto"/>
                      <w:sz w:val="18"/>
                      <w:szCs w:val="18"/>
                    </w:rPr>
                  </w:pPr>
                </w:p>
              </w:tc>
            </w:tr>
            <w:tr w14:paraId="2116CB0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restart"/>
                  <w:tcBorders>
                    <w:tl2br w:val="nil"/>
                    <w:tr2bl w:val="nil"/>
                  </w:tcBorders>
                  <w:noWrap w:val="0"/>
                  <w:vAlign w:val="center"/>
                </w:tcPr>
                <w:p w14:paraId="0946E47E">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非甲烷总烃</w:t>
                  </w:r>
                </w:p>
              </w:tc>
              <w:tc>
                <w:tcPr>
                  <w:tcW w:w="1577" w:type="dxa"/>
                  <w:tcBorders>
                    <w:tl2br w:val="nil"/>
                    <w:tr2bl w:val="nil"/>
                  </w:tcBorders>
                  <w:noWrap w:val="0"/>
                  <w:vAlign w:val="center"/>
                </w:tcPr>
                <w:p w14:paraId="1ED749A0">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1小时平均</w:t>
                  </w:r>
                </w:p>
              </w:tc>
              <w:tc>
                <w:tcPr>
                  <w:tcW w:w="856" w:type="dxa"/>
                  <w:tcBorders>
                    <w:tl2br w:val="nil"/>
                    <w:tr2bl w:val="nil"/>
                  </w:tcBorders>
                  <w:noWrap w:val="0"/>
                  <w:vAlign w:val="center"/>
                </w:tcPr>
                <w:p w14:paraId="29BE6D7B">
                  <w:pPr>
                    <w:pStyle w:val="30"/>
                    <w:rPr>
                      <w:rFonts w:hint="eastAsia"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667" w:type="dxa"/>
                  <w:tcBorders>
                    <w:tl2br w:val="nil"/>
                    <w:tr2bl w:val="nil"/>
                  </w:tcBorders>
                  <w:shd w:val="clear" w:color="auto" w:fill="auto"/>
                  <w:noWrap w:val="0"/>
                  <w:vAlign w:val="center"/>
                </w:tcPr>
                <w:p w14:paraId="3D6DFE84">
                  <w:pPr>
                    <w:pStyle w:val="3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2.0</w:t>
                  </w:r>
                </w:p>
              </w:tc>
              <w:tc>
                <w:tcPr>
                  <w:tcW w:w="775" w:type="dxa"/>
                  <w:vMerge w:val="restart"/>
                  <w:tcBorders>
                    <w:tl2br w:val="nil"/>
                    <w:tr2bl w:val="nil"/>
                  </w:tcBorders>
                  <w:noWrap w:val="0"/>
                  <w:vAlign w:val="center"/>
                </w:tcPr>
                <w:p w14:paraId="21597B06">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mg/m</w:t>
                  </w:r>
                  <w:r>
                    <w:rPr>
                      <w:rFonts w:hint="default" w:ascii="Times New Roman" w:hAnsi="Times New Roman" w:eastAsia="仿宋_GB2312" w:cs="Times New Roman"/>
                      <w:color w:val="auto"/>
                      <w:sz w:val="18"/>
                      <w:szCs w:val="18"/>
                      <w:vertAlign w:val="superscript"/>
                    </w:rPr>
                    <w:t>3</w:t>
                  </w:r>
                </w:p>
              </w:tc>
              <w:tc>
                <w:tcPr>
                  <w:tcW w:w="2705" w:type="dxa"/>
                  <w:vMerge w:val="restart"/>
                  <w:tcBorders>
                    <w:tl2br w:val="nil"/>
                    <w:tr2bl w:val="nil"/>
                  </w:tcBorders>
                  <w:noWrap w:val="0"/>
                  <w:vAlign w:val="center"/>
                </w:tcPr>
                <w:p w14:paraId="1B5AE180">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参照《大气污染物综合排放标准详解》</w:t>
                  </w:r>
                </w:p>
              </w:tc>
            </w:tr>
            <w:tr w14:paraId="2D91DF5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25" w:type="dxa"/>
                  <w:vMerge w:val="continue"/>
                  <w:tcBorders>
                    <w:tl2br w:val="nil"/>
                    <w:tr2bl w:val="nil"/>
                  </w:tcBorders>
                  <w:noWrap w:val="0"/>
                  <w:vAlign w:val="center"/>
                </w:tcPr>
                <w:p w14:paraId="29422DD8">
                  <w:pPr>
                    <w:pStyle w:val="30"/>
                    <w:rPr>
                      <w:rFonts w:hint="default" w:ascii="Times New Roman" w:hAnsi="Times New Roman" w:eastAsia="仿宋_GB2312" w:cs="Times New Roman"/>
                      <w:color w:val="auto"/>
                      <w:sz w:val="18"/>
                      <w:szCs w:val="18"/>
                    </w:rPr>
                  </w:pPr>
                  <w:bookmarkStart w:id="7" w:name="_Toc404958942"/>
                </w:p>
              </w:tc>
              <w:tc>
                <w:tcPr>
                  <w:tcW w:w="1577" w:type="dxa"/>
                  <w:tcBorders>
                    <w:tl2br w:val="nil"/>
                    <w:tr2bl w:val="nil"/>
                  </w:tcBorders>
                  <w:noWrap w:val="0"/>
                  <w:vAlign w:val="center"/>
                </w:tcPr>
                <w:p w14:paraId="1B8D491B">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24小时平均</w:t>
                  </w:r>
                </w:p>
              </w:tc>
              <w:tc>
                <w:tcPr>
                  <w:tcW w:w="856" w:type="dxa"/>
                  <w:tcBorders>
                    <w:tl2br w:val="nil"/>
                    <w:tr2bl w:val="nil"/>
                  </w:tcBorders>
                  <w:noWrap w:val="0"/>
                  <w:vAlign w:val="center"/>
                </w:tcPr>
                <w:p w14:paraId="4757A618">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667" w:type="dxa"/>
                  <w:tcBorders>
                    <w:tl2br w:val="nil"/>
                    <w:tr2bl w:val="nil"/>
                  </w:tcBorders>
                  <w:shd w:val="clear" w:color="auto" w:fill="auto"/>
                  <w:noWrap w:val="0"/>
                  <w:vAlign w:val="center"/>
                </w:tcPr>
                <w:p w14:paraId="3AC09228">
                  <w:pPr>
                    <w:pStyle w:val="30"/>
                    <w:rPr>
                      <w:rFonts w:hint="eastAsia" w:ascii="Times New Roman" w:hAnsi="Times New Roman" w:eastAsia="仿宋_GB2312" w:cs="Times New Roman"/>
                      <w:color w:val="auto"/>
                      <w:kern w:val="2"/>
                      <w:sz w:val="18"/>
                      <w:szCs w:val="18"/>
                      <w:lang w:val="en-US" w:eastAsia="zh-CN" w:bidi="ar-SA"/>
                    </w:rPr>
                  </w:pPr>
                  <w:r>
                    <w:rPr>
                      <w:rFonts w:hint="eastAsia" w:eastAsia="仿宋_GB2312" w:cs="Times New Roman"/>
                      <w:color w:val="auto"/>
                      <w:sz w:val="18"/>
                      <w:szCs w:val="18"/>
                      <w:lang w:val="en-US" w:eastAsia="zh-CN"/>
                    </w:rPr>
                    <w:t>150</w:t>
                  </w:r>
                </w:p>
              </w:tc>
              <w:tc>
                <w:tcPr>
                  <w:tcW w:w="775" w:type="dxa"/>
                  <w:vMerge w:val="continue"/>
                  <w:tcBorders>
                    <w:tl2br w:val="nil"/>
                    <w:tr2bl w:val="nil"/>
                  </w:tcBorders>
                  <w:noWrap w:val="0"/>
                  <w:vAlign w:val="center"/>
                </w:tcPr>
                <w:p w14:paraId="344152EC">
                  <w:pPr>
                    <w:pStyle w:val="30"/>
                    <w:rPr>
                      <w:rFonts w:hint="default" w:ascii="Times New Roman" w:hAnsi="Times New Roman" w:eastAsia="仿宋_GB2312" w:cs="Times New Roman"/>
                      <w:color w:val="auto"/>
                      <w:sz w:val="18"/>
                      <w:szCs w:val="18"/>
                    </w:rPr>
                  </w:pPr>
                </w:p>
              </w:tc>
              <w:tc>
                <w:tcPr>
                  <w:tcW w:w="2705" w:type="dxa"/>
                  <w:vMerge w:val="continue"/>
                  <w:tcBorders>
                    <w:tl2br w:val="nil"/>
                    <w:tr2bl w:val="nil"/>
                  </w:tcBorders>
                  <w:noWrap w:val="0"/>
                  <w:vAlign w:val="center"/>
                </w:tcPr>
                <w:p w14:paraId="7220875D">
                  <w:pPr>
                    <w:pStyle w:val="30"/>
                    <w:rPr>
                      <w:rFonts w:hint="default" w:ascii="Times New Roman" w:hAnsi="Times New Roman" w:eastAsia="仿宋_GB2312" w:cs="Times New Roman"/>
                      <w:color w:val="auto"/>
                      <w:sz w:val="18"/>
                      <w:szCs w:val="18"/>
                    </w:rPr>
                  </w:pPr>
                </w:p>
              </w:tc>
            </w:tr>
          </w:tbl>
          <w:p w14:paraId="7D348148">
            <w:pPr>
              <w:pStyle w:val="32"/>
              <w:ind w:firstLine="482"/>
              <w:rPr>
                <w:rFonts w:hint="eastAsia" w:cs="Times New Roman"/>
                <w:b/>
                <w:bCs/>
                <w:color w:val="auto"/>
                <w:lang w:val="en-US" w:eastAsia="zh-CN"/>
              </w:rPr>
            </w:pPr>
          </w:p>
          <w:p w14:paraId="44DB68D6">
            <w:pPr>
              <w:pStyle w:val="32"/>
              <w:ind w:firstLine="482"/>
              <w:rPr>
                <w:rFonts w:hint="default" w:ascii="Times New Roman" w:hAnsi="Times New Roman" w:eastAsia="仿宋_GB2312" w:cs="Times New Roman"/>
                <w:b/>
                <w:bCs/>
                <w:color w:val="auto"/>
              </w:rPr>
            </w:pPr>
            <w:r>
              <w:rPr>
                <w:rFonts w:hint="eastAsia" w:cs="Times New Roman"/>
                <w:b/>
                <w:bCs/>
                <w:color w:val="auto"/>
                <w:lang w:val="en-US" w:eastAsia="zh-CN"/>
              </w:rPr>
              <w:t xml:space="preserve">3.3.1.2 </w:t>
            </w:r>
            <w:r>
              <w:rPr>
                <w:rFonts w:hint="default" w:ascii="Times New Roman" w:hAnsi="Times New Roman" w:eastAsia="仿宋_GB2312" w:cs="Times New Roman"/>
                <w:b/>
                <w:bCs/>
                <w:color w:val="auto"/>
              </w:rPr>
              <w:t>地表水环境质量标准</w:t>
            </w:r>
            <w:bookmarkEnd w:id="7"/>
          </w:p>
          <w:p w14:paraId="5FB3FB20">
            <w:pPr>
              <w:ind w:firstLine="480"/>
              <w:rPr>
                <w:rFonts w:hint="default" w:ascii="Times New Roman" w:hAnsi="Times New Roman" w:eastAsia="仿宋_GB2312" w:cs="Times New Roman"/>
                <w:color w:val="auto"/>
              </w:rPr>
            </w:pPr>
            <w:r>
              <w:rPr>
                <w:rFonts w:hint="eastAsia" w:cs="Times New Roman"/>
                <w:color w:val="auto"/>
                <w:lang w:val="en-US" w:eastAsia="zh-CN"/>
              </w:rPr>
              <w:t>孟沟、运粮沟、浍河水质</w:t>
            </w:r>
            <w:r>
              <w:rPr>
                <w:rFonts w:hint="default" w:ascii="Times New Roman" w:hAnsi="Times New Roman" w:eastAsia="仿宋_GB2312" w:cs="Times New Roman"/>
                <w:color w:val="auto"/>
              </w:rPr>
              <w:t>执行《地表水环境质量标准》（GB3838-2002）Ⅳ类标准。</w:t>
            </w:r>
          </w:p>
          <w:p w14:paraId="07FB3DD3">
            <w:pPr>
              <w:pStyle w:val="29"/>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表</w:t>
            </w:r>
            <w:r>
              <w:rPr>
                <w:rFonts w:hint="eastAsia" w:eastAsia="仿宋_GB2312" w:cs="Times New Roman"/>
                <w:color w:val="auto"/>
                <w:sz w:val="21"/>
                <w:szCs w:val="21"/>
                <w:lang w:val="en-US" w:eastAsia="zh-CN"/>
              </w:rPr>
              <w:t xml:space="preserve">3.3-3  </w:t>
            </w:r>
            <w:r>
              <w:rPr>
                <w:rFonts w:hint="default" w:ascii="Times New Roman" w:hAnsi="Times New Roman" w:eastAsia="仿宋_GB2312" w:cs="Times New Roman"/>
                <w:color w:val="auto"/>
                <w:sz w:val="21"/>
                <w:szCs w:val="21"/>
              </w:rPr>
              <w:t>地表水环境质量标准表  单位：mg/L</w:t>
            </w:r>
            <w:r>
              <w:rPr>
                <w:rFonts w:hint="eastAsia" w:ascii="Times New Roman" w:hAnsi="Times New Roman" w:eastAsia="仿宋_GB2312" w:cs="Times New Roman"/>
                <w:color w:val="auto"/>
                <w:sz w:val="21"/>
                <w:szCs w:val="21"/>
                <w:lang w:eastAsia="zh-CN"/>
              </w:rPr>
              <w:t>（</w:t>
            </w:r>
            <w:r>
              <w:rPr>
                <w:rFonts w:hint="eastAsia" w:ascii="Times New Roman" w:hAnsi="Times New Roman" w:eastAsia="仿宋_GB2312" w:cs="Times New Roman"/>
                <w:color w:val="auto"/>
                <w:sz w:val="21"/>
                <w:szCs w:val="21"/>
                <w:lang w:val="en-US" w:eastAsia="zh-CN"/>
              </w:rPr>
              <w:t>pH除外</w:t>
            </w:r>
            <w:r>
              <w:rPr>
                <w:rFonts w:hint="eastAsia" w:ascii="Times New Roman" w:hAnsi="Times New Roman" w:eastAsia="仿宋_GB2312" w:cs="Times New Roman"/>
                <w:color w:val="auto"/>
                <w:sz w:val="21"/>
                <w:szCs w:val="21"/>
                <w:lang w:eastAsia="zh-CN"/>
              </w:rPr>
              <w:t>）</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2511"/>
              <w:gridCol w:w="2764"/>
            </w:tblGrid>
            <w:tr w14:paraId="74DD7E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87" w:type="pct"/>
                  <w:tcBorders>
                    <w:tl2br w:val="nil"/>
                    <w:tr2bl w:val="nil"/>
                  </w:tcBorders>
                  <w:noWrap w:val="0"/>
                  <w:vAlign w:val="center"/>
                </w:tcPr>
                <w:p w14:paraId="3D1E8889">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项目</w:t>
                  </w:r>
                </w:p>
              </w:tc>
              <w:tc>
                <w:tcPr>
                  <w:tcW w:w="1672" w:type="pct"/>
                  <w:tcBorders>
                    <w:tl2br w:val="nil"/>
                    <w:tr2bl w:val="nil"/>
                  </w:tcBorders>
                  <w:noWrap w:val="0"/>
                  <w:vAlign w:val="center"/>
                </w:tcPr>
                <w:p w14:paraId="096B2F5A">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Ⅳ类</w:t>
                  </w:r>
                </w:p>
              </w:tc>
              <w:tc>
                <w:tcPr>
                  <w:tcW w:w="1840" w:type="pct"/>
                  <w:tcBorders>
                    <w:tl2br w:val="nil"/>
                    <w:tr2bl w:val="nil"/>
                  </w:tcBorders>
                  <w:noWrap w:val="0"/>
                  <w:vAlign w:val="center"/>
                </w:tcPr>
                <w:p w14:paraId="026F132E">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标准来源</w:t>
                  </w:r>
                </w:p>
              </w:tc>
            </w:tr>
            <w:tr w14:paraId="1AD829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7" w:type="pct"/>
                  <w:tcBorders>
                    <w:tl2br w:val="nil"/>
                    <w:tr2bl w:val="nil"/>
                  </w:tcBorders>
                  <w:noWrap w:val="0"/>
                  <w:vAlign w:val="center"/>
                </w:tcPr>
                <w:p w14:paraId="0147958B">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pH</w:t>
                  </w:r>
                </w:p>
              </w:tc>
              <w:tc>
                <w:tcPr>
                  <w:tcW w:w="1672" w:type="pct"/>
                  <w:tcBorders>
                    <w:tl2br w:val="nil"/>
                    <w:tr2bl w:val="nil"/>
                  </w:tcBorders>
                  <w:noWrap w:val="0"/>
                  <w:vAlign w:val="center"/>
                </w:tcPr>
                <w:p w14:paraId="7C850098">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6~9</w:t>
                  </w:r>
                </w:p>
              </w:tc>
              <w:tc>
                <w:tcPr>
                  <w:tcW w:w="1840" w:type="pct"/>
                  <w:vMerge w:val="restart"/>
                  <w:tcBorders>
                    <w:tl2br w:val="nil"/>
                    <w:tr2bl w:val="nil"/>
                  </w:tcBorders>
                  <w:noWrap w:val="0"/>
                  <w:vAlign w:val="center"/>
                </w:tcPr>
                <w:p w14:paraId="014489FC">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《地表水环境质量标准》（GB3838-2002）</w:t>
                  </w:r>
                </w:p>
              </w:tc>
            </w:tr>
            <w:tr w14:paraId="0774AB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7" w:type="pct"/>
                  <w:tcBorders>
                    <w:tl2br w:val="nil"/>
                    <w:tr2bl w:val="nil"/>
                  </w:tcBorders>
                  <w:noWrap w:val="0"/>
                  <w:vAlign w:val="center"/>
                </w:tcPr>
                <w:p w14:paraId="3824B942">
                  <w:pPr>
                    <w:pStyle w:val="30"/>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COD</w:t>
                  </w:r>
                </w:p>
              </w:tc>
              <w:tc>
                <w:tcPr>
                  <w:tcW w:w="1672" w:type="pct"/>
                  <w:tcBorders>
                    <w:tl2br w:val="nil"/>
                    <w:tr2bl w:val="nil"/>
                  </w:tcBorders>
                  <w:noWrap w:val="0"/>
                  <w:vAlign w:val="center"/>
                </w:tcPr>
                <w:p w14:paraId="67762CD2">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≤30</w:t>
                  </w:r>
                </w:p>
              </w:tc>
              <w:tc>
                <w:tcPr>
                  <w:tcW w:w="1840" w:type="pct"/>
                  <w:vMerge w:val="continue"/>
                  <w:tcBorders>
                    <w:tl2br w:val="nil"/>
                    <w:tr2bl w:val="nil"/>
                  </w:tcBorders>
                  <w:noWrap w:val="0"/>
                  <w:vAlign w:val="center"/>
                </w:tcPr>
                <w:p w14:paraId="728777C6">
                  <w:pPr>
                    <w:pStyle w:val="30"/>
                    <w:rPr>
                      <w:rFonts w:hint="default" w:ascii="Times New Roman" w:hAnsi="Times New Roman" w:eastAsia="仿宋_GB2312" w:cs="Times New Roman"/>
                      <w:color w:val="auto"/>
                      <w:sz w:val="18"/>
                      <w:szCs w:val="18"/>
                    </w:rPr>
                  </w:pPr>
                </w:p>
              </w:tc>
            </w:tr>
            <w:tr w14:paraId="41434B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7" w:type="pct"/>
                  <w:tcBorders>
                    <w:tl2br w:val="nil"/>
                    <w:tr2bl w:val="nil"/>
                  </w:tcBorders>
                  <w:noWrap w:val="0"/>
                  <w:vAlign w:val="center"/>
                </w:tcPr>
                <w:p w14:paraId="149DA113">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BOD</w:t>
                  </w:r>
                  <w:r>
                    <w:rPr>
                      <w:rFonts w:hint="eastAsia" w:ascii="Times New Roman" w:hAnsi="Times New Roman" w:eastAsia="仿宋_GB2312" w:cs="Times New Roman"/>
                      <w:color w:val="auto"/>
                      <w:sz w:val="18"/>
                      <w:szCs w:val="18"/>
                      <w:vertAlign w:val="subscript"/>
                      <w:lang w:val="en-US" w:eastAsia="zh-CN"/>
                    </w:rPr>
                    <w:t>5</w:t>
                  </w:r>
                </w:p>
              </w:tc>
              <w:tc>
                <w:tcPr>
                  <w:tcW w:w="1672" w:type="pct"/>
                  <w:tcBorders>
                    <w:tl2br w:val="nil"/>
                    <w:tr2bl w:val="nil"/>
                  </w:tcBorders>
                  <w:noWrap w:val="0"/>
                  <w:vAlign w:val="center"/>
                </w:tcPr>
                <w:p w14:paraId="602A7558">
                  <w:pPr>
                    <w:pStyle w:val="30"/>
                    <w:rPr>
                      <w:rFonts w:hint="default" w:ascii="Times New Roman" w:hAnsi="Times New Roman" w:eastAsia="仿宋_GB2312" w:cs="Times New Roman"/>
                      <w:color w:val="auto"/>
                      <w:sz w:val="18"/>
                      <w:szCs w:val="18"/>
                    </w:rPr>
                  </w:pPr>
                  <w:r>
                    <w:rPr>
                      <w:rFonts w:hint="eastAsia" w:ascii="Times New Roman" w:hAnsi="Times New Roman" w:eastAsia="仿宋_GB2312" w:cs="Times New Roman"/>
                      <w:color w:val="auto"/>
                      <w:sz w:val="18"/>
                      <w:szCs w:val="18"/>
                      <w:lang w:val="en-US" w:eastAsia="zh-CN"/>
                    </w:rPr>
                    <w:t>≤6</w:t>
                  </w:r>
                </w:p>
              </w:tc>
              <w:tc>
                <w:tcPr>
                  <w:tcW w:w="1840" w:type="pct"/>
                  <w:vMerge w:val="continue"/>
                  <w:tcBorders>
                    <w:tl2br w:val="nil"/>
                    <w:tr2bl w:val="nil"/>
                  </w:tcBorders>
                  <w:noWrap w:val="0"/>
                  <w:vAlign w:val="center"/>
                </w:tcPr>
                <w:p w14:paraId="202DA847">
                  <w:pPr>
                    <w:pStyle w:val="30"/>
                    <w:rPr>
                      <w:rFonts w:hint="default" w:ascii="Times New Roman" w:hAnsi="Times New Roman" w:eastAsia="仿宋_GB2312" w:cs="Times New Roman"/>
                      <w:color w:val="auto"/>
                      <w:sz w:val="18"/>
                      <w:szCs w:val="18"/>
                    </w:rPr>
                  </w:pPr>
                </w:p>
              </w:tc>
            </w:tr>
            <w:tr w14:paraId="38A764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7" w:type="pct"/>
                  <w:tcBorders>
                    <w:tl2br w:val="nil"/>
                    <w:tr2bl w:val="nil"/>
                  </w:tcBorders>
                  <w:noWrap w:val="0"/>
                  <w:vAlign w:val="center"/>
                </w:tcPr>
                <w:p w14:paraId="7700B983">
                  <w:pPr>
                    <w:pStyle w:val="30"/>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氨氮</w:t>
                  </w:r>
                </w:p>
              </w:tc>
              <w:tc>
                <w:tcPr>
                  <w:tcW w:w="1672" w:type="pct"/>
                  <w:tcBorders>
                    <w:tl2br w:val="nil"/>
                    <w:tr2bl w:val="nil"/>
                  </w:tcBorders>
                  <w:noWrap w:val="0"/>
                  <w:vAlign w:val="center"/>
                </w:tcPr>
                <w:p w14:paraId="5D628DA8">
                  <w:pPr>
                    <w:pStyle w:val="30"/>
                    <w:rPr>
                      <w:rFonts w:hint="default" w:ascii="Times New Roman" w:hAnsi="Times New Roman" w:eastAsia="仿宋_GB2312" w:cs="Times New Roman"/>
                      <w:color w:val="auto"/>
                      <w:sz w:val="18"/>
                      <w:szCs w:val="18"/>
                      <w:lang w:val="en-US"/>
                    </w:rPr>
                  </w:pPr>
                  <w:r>
                    <w:rPr>
                      <w:rFonts w:hint="eastAsia" w:ascii="Times New Roman" w:hAnsi="Times New Roman" w:eastAsia="仿宋_GB2312" w:cs="Times New Roman"/>
                      <w:color w:val="auto"/>
                      <w:sz w:val="18"/>
                      <w:szCs w:val="18"/>
                      <w:lang w:val="en-US" w:eastAsia="zh-CN"/>
                    </w:rPr>
                    <w:t>≤1.5</w:t>
                  </w:r>
                </w:p>
              </w:tc>
              <w:tc>
                <w:tcPr>
                  <w:tcW w:w="1840" w:type="pct"/>
                  <w:vMerge w:val="continue"/>
                  <w:tcBorders>
                    <w:tl2br w:val="nil"/>
                    <w:tr2bl w:val="nil"/>
                  </w:tcBorders>
                  <w:noWrap w:val="0"/>
                  <w:vAlign w:val="center"/>
                </w:tcPr>
                <w:p w14:paraId="1FF8D920">
                  <w:pPr>
                    <w:pStyle w:val="30"/>
                    <w:rPr>
                      <w:rFonts w:hint="default" w:ascii="Times New Roman" w:hAnsi="Times New Roman" w:eastAsia="仿宋_GB2312" w:cs="Times New Roman"/>
                      <w:color w:val="auto"/>
                      <w:sz w:val="18"/>
                      <w:szCs w:val="18"/>
                    </w:rPr>
                  </w:pPr>
                </w:p>
              </w:tc>
            </w:tr>
            <w:tr w14:paraId="490401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7" w:type="pct"/>
                  <w:tcBorders>
                    <w:tl2br w:val="nil"/>
                    <w:tr2bl w:val="nil"/>
                  </w:tcBorders>
                  <w:noWrap w:val="0"/>
                  <w:vAlign w:val="center"/>
                </w:tcPr>
                <w:p w14:paraId="29709CBC">
                  <w:pPr>
                    <w:pStyle w:val="30"/>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总磷</w:t>
                  </w:r>
                </w:p>
              </w:tc>
              <w:tc>
                <w:tcPr>
                  <w:tcW w:w="1672" w:type="pct"/>
                  <w:tcBorders>
                    <w:tl2br w:val="nil"/>
                    <w:tr2bl w:val="nil"/>
                  </w:tcBorders>
                  <w:noWrap w:val="0"/>
                  <w:vAlign w:val="center"/>
                </w:tcPr>
                <w:p w14:paraId="479ED504">
                  <w:pPr>
                    <w:pStyle w:val="30"/>
                    <w:rPr>
                      <w:rFonts w:hint="default" w:ascii="Times New Roman" w:hAnsi="Times New Roman" w:eastAsia="仿宋_GB2312" w:cs="Times New Roman"/>
                      <w:color w:val="auto"/>
                      <w:sz w:val="18"/>
                      <w:szCs w:val="18"/>
                      <w:lang w:val="en-US"/>
                    </w:rPr>
                  </w:pPr>
                  <w:r>
                    <w:rPr>
                      <w:rFonts w:hint="eastAsia" w:ascii="Times New Roman" w:hAnsi="Times New Roman" w:eastAsia="仿宋_GB2312" w:cs="Times New Roman"/>
                      <w:color w:val="auto"/>
                      <w:sz w:val="18"/>
                      <w:szCs w:val="18"/>
                      <w:lang w:val="en-US" w:eastAsia="zh-CN"/>
                    </w:rPr>
                    <w:t>≤0.3</w:t>
                  </w:r>
                </w:p>
              </w:tc>
              <w:tc>
                <w:tcPr>
                  <w:tcW w:w="1840" w:type="pct"/>
                  <w:vMerge w:val="continue"/>
                  <w:tcBorders>
                    <w:tl2br w:val="nil"/>
                    <w:tr2bl w:val="nil"/>
                  </w:tcBorders>
                  <w:noWrap w:val="0"/>
                  <w:vAlign w:val="center"/>
                </w:tcPr>
                <w:p w14:paraId="61D9B7BC">
                  <w:pPr>
                    <w:pStyle w:val="30"/>
                    <w:rPr>
                      <w:rFonts w:hint="default" w:ascii="Times New Roman" w:hAnsi="Times New Roman" w:eastAsia="仿宋_GB2312" w:cs="Times New Roman"/>
                      <w:color w:val="auto"/>
                      <w:sz w:val="18"/>
                      <w:szCs w:val="18"/>
                    </w:rPr>
                  </w:pPr>
                </w:p>
              </w:tc>
            </w:tr>
          </w:tbl>
          <w:p w14:paraId="2C886B80">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2"/>
              <w:textAlignment w:val="auto"/>
              <w:rPr>
                <w:rFonts w:hint="default" w:ascii="Times New Roman" w:hAnsi="Times New Roman" w:eastAsia="仿宋_GB2312" w:cs="Times New Roman"/>
                <w:b/>
                <w:bCs/>
                <w:color w:val="auto"/>
              </w:rPr>
            </w:pPr>
            <w:bookmarkStart w:id="8" w:name="_Toc404958944"/>
            <w:r>
              <w:rPr>
                <w:rFonts w:hint="eastAsia" w:cs="Times New Roman"/>
                <w:b/>
                <w:bCs/>
                <w:color w:val="auto"/>
                <w:lang w:val="en-US" w:eastAsia="zh-CN"/>
              </w:rPr>
              <w:t xml:space="preserve">3.3.1.3 </w:t>
            </w:r>
            <w:r>
              <w:rPr>
                <w:rFonts w:hint="default" w:ascii="Times New Roman" w:hAnsi="Times New Roman" w:eastAsia="仿宋_GB2312" w:cs="Times New Roman"/>
                <w:b/>
                <w:bCs/>
                <w:color w:val="auto"/>
              </w:rPr>
              <w:t>声环境质量标准</w:t>
            </w:r>
            <w:bookmarkEnd w:id="8"/>
          </w:p>
          <w:p w14:paraId="0F33F44F">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本项目所在区域声环境执行《声环境质量标准》（GB3096-2008）中3类标准。具体标准值见下表。</w:t>
            </w:r>
          </w:p>
          <w:p w14:paraId="34113BD9">
            <w:pPr>
              <w:pStyle w:val="29"/>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表</w:t>
            </w:r>
            <w:r>
              <w:rPr>
                <w:rFonts w:hint="eastAsia" w:eastAsia="仿宋_GB2312" w:cs="Times New Roman"/>
                <w:color w:val="auto"/>
                <w:sz w:val="21"/>
                <w:szCs w:val="21"/>
                <w:lang w:val="en-US" w:eastAsia="zh-CN"/>
              </w:rPr>
              <w:t>3.3-4</w:t>
            </w:r>
            <w:r>
              <w:rPr>
                <w:rFonts w:hint="default" w:ascii="Times New Roman" w:hAnsi="Times New Roman" w:eastAsia="仿宋_GB2312" w:cs="Times New Roman"/>
                <w:color w:val="auto"/>
                <w:sz w:val="21"/>
                <w:szCs w:val="21"/>
              </w:rPr>
              <w:t xml:space="preserve"> 声环境质量标准表  单位：dB（A）</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34"/>
              <w:gridCol w:w="2081"/>
              <w:gridCol w:w="2297"/>
              <w:gridCol w:w="2296"/>
            </w:tblGrid>
            <w:tr w14:paraId="21F92B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95" w:type="dxa"/>
                  <w:tcBorders>
                    <w:tl2br w:val="nil"/>
                    <w:tr2bl w:val="nil"/>
                  </w:tcBorders>
                  <w:noWrap w:val="0"/>
                  <w:vAlign w:val="center"/>
                </w:tcPr>
                <w:p w14:paraId="6BE660B7">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类别</w:t>
                  </w:r>
                </w:p>
              </w:tc>
              <w:tc>
                <w:tcPr>
                  <w:tcW w:w="2550" w:type="dxa"/>
                  <w:tcBorders>
                    <w:tl2br w:val="nil"/>
                    <w:tr2bl w:val="nil"/>
                  </w:tcBorders>
                  <w:noWrap w:val="0"/>
                  <w:vAlign w:val="center"/>
                </w:tcPr>
                <w:p w14:paraId="1CC394C1">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适用区域</w:t>
                  </w:r>
                </w:p>
              </w:tc>
              <w:tc>
                <w:tcPr>
                  <w:tcW w:w="2820" w:type="dxa"/>
                  <w:tcBorders>
                    <w:tl2br w:val="nil"/>
                    <w:tr2bl w:val="nil"/>
                  </w:tcBorders>
                  <w:noWrap w:val="0"/>
                  <w:vAlign w:val="center"/>
                </w:tcPr>
                <w:p w14:paraId="115626EF">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昼间</w:t>
                  </w:r>
                </w:p>
              </w:tc>
              <w:tc>
                <w:tcPr>
                  <w:tcW w:w="2820" w:type="dxa"/>
                  <w:tcBorders>
                    <w:tl2br w:val="nil"/>
                    <w:tr2bl w:val="nil"/>
                  </w:tcBorders>
                  <w:noWrap w:val="0"/>
                  <w:vAlign w:val="center"/>
                </w:tcPr>
                <w:p w14:paraId="6104C7CF">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夜间</w:t>
                  </w:r>
                </w:p>
              </w:tc>
            </w:tr>
            <w:tr w14:paraId="128F37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95" w:type="dxa"/>
                  <w:tcBorders>
                    <w:tl2br w:val="nil"/>
                    <w:tr2bl w:val="nil"/>
                  </w:tcBorders>
                  <w:noWrap w:val="0"/>
                  <w:vAlign w:val="center"/>
                </w:tcPr>
                <w:p w14:paraId="705DE43F">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3类</w:t>
                  </w:r>
                </w:p>
              </w:tc>
              <w:tc>
                <w:tcPr>
                  <w:tcW w:w="2550" w:type="dxa"/>
                  <w:tcBorders>
                    <w:tl2br w:val="nil"/>
                    <w:tr2bl w:val="nil"/>
                  </w:tcBorders>
                  <w:noWrap w:val="0"/>
                  <w:vAlign w:val="center"/>
                </w:tcPr>
                <w:p w14:paraId="248F6B79">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工业区</w:t>
                  </w:r>
                </w:p>
              </w:tc>
              <w:tc>
                <w:tcPr>
                  <w:tcW w:w="2820" w:type="dxa"/>
                  <w:tcBorders>
                    <w:tl2br w:val="nil"/>
                    <w:tr2bl w:val="nil"/>
                  </w:tcBorders>
                  <w:noWrap w:val="0"/>
                  <w:vAlign w:val="center"/>
                </w:tcPr>
                <w:p w14:paraId="3AA16870">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65</w:t>
                  </w:r>
                </w:p>
              </w:tc>
              <w:tc>
                <w:tcPr>
                  <w:tcW w:w="2820" w:type="dxa"/>
                  <w:tcBorders>
                    <w:tl2br w:val="nil"/>
                    <w:tr2bl w:val="nil"/>
                  </w:tcBorders>
                  <w:noWrap w:val="0"/>
                  <w:vAlign w:val="center"/>
                </w:tcPr>
                <w:p w14:paraId="75FCD8E5">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55</w:t>
                  </w:r>
                </w:p>
              </w:tc>
            </w:tr>
          </w:tbl>
          <w:p w14:paraId="38BBDB70">
            <w:pPr>
              <w:pStyle w:val="29"/>
              <w:spacing w:line="240" w:lineRule="auto"/>
              <w:jc w:val="both"/>
              <w:rPr>
                <w:rFonts w:hint="default" w:ascii="Times New Roman" w:hAnsi="Times New Roman" w:eastAsia="仿宋_GB2312" w:cs="Times New Roman"/>
                <w:b w:val="0"/>
                <w:color w:val="auto"/>
                <w:sz w:val="18"/>
                <w:szCs w:val="18"/>
              </w:rPr>
            </w:pPr>
          </w:p>
          <w:p w14:paraId="64BE3836">
            <w:pPr>
              <w:pStyle w:val="32"/>
              <w:ind w:firstLine="482"/>
              <w:rPr>
                <w:rFonts w:hint="default" w:ascii="Times New Roman" w:hAnsi="Times New Roman" w:eastAsia="仿宋_GB2312" w:cs="Times New Roman"/>
                <w:b/>
                <w:bCs/>
                <w:color w:val="auto"/>
              </w:rPr>
            </w:pPr>
            <w:r>
              <w:rPr>
                <w:rFonts w:hint="eastAsia" w:cs="Times New Roman"/>
                <w:b/>
                <w:bCs/>
                <w:color w:val="auto"/>
                <w:lang w:val="en-US" w:eastAsia="zh-CN"/>
              </w:rPr>
              <w:t xml:space="preserve">3.3.2 </w:t>
            </w:r>
            <w:r>
              <w:rPr>
                <w:rFonts w:hint="default" w:ascii="Times New Roman" w:hAnsi="Times New Roman" w:eastAsia="仿宋_GB2312" w:cs="Times New Roman"/>
                <w:b/>
                <w:bCs/>
                <w:color w:val="auto"/>
              </w:rPr>
              <w:t>污染物排放标准</w:t>
            </w:r>
          </w:p>
          <w:p w14:paraId="440CE7BD">
            <w:pPr>
              <w:pStyle w:val="32"/>
              <w:ind w:firstLine="482"/>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3.3.2.1 废气</w:t>
            </w:r>
          </w:p>
          <w:p w14:paraId="16477323">
            <w:pPr>
              <w:pStyle w:val="32"/>
              <w:ind w:firstLine="482"/>
              <w:rPr>
                <w:rFonts w:hint="default" w:ascii="Times New Roman" w:hAnsi="Times New Roman" w:eastAsia="仿宋_GB2312" w:cs="Times New Roman"/>
                <w:b w:val="0"/>
                <w:bCs w:val="0"/>
                <w:color w:val="auto"/>
              </w:rPr>
            </w:pPr>
            <w:r>
              <w:rPr>
                <w:rFonts w:hint="eastAsia" w:cs="Times New Roman"/>
                <w:b w:val="0"/>
                <w:bCs w:val="0"/>
                <w:color w:val="auto"/>
                <w:lang w:val="en-US" w:eastAsia="zh-CN"/>
              </w:rPr>
              <w:t>本项目废气涉及</w:t>
            </w:r>
            <w:r>
              <w:rPr>
                <w:rFonts w:hint="default" w:ascii="Times New Roman" w:hAnsi="Times New Roman" w:eastAsia="仿宋_GB2312" w:cs="Times New Roman"/>
                <w:b w:val="0"/>
                <w:bCs w:val="0"/>
                <w:color w:val="auto"/>
              </w:rPr>
              <w:t>施工扬尘、焊接烟尘和</w:t>
            </w:r>
            <w:r>
              <w:rPr>
                <w:rFonts w:hint="eastAsia" w:cs="Times New Roman"/>
                <w:b w:val="0"/>
                <w:bCs w:val="0"/>
                <w:color w:val="auto"/>
                <w:lang w:val="en-US" w:eastAsia="zh-CN"/>
              </w:rPr>
              <w:t>补漆</w:t>
            </w:r>
            <w:r>
              <w:rPr>
                <w:rFonts w:hint="default" w:ascii="Times New Roman" w:hAnsi="Times New Roman" w:eastAsia="仿宋_GB2312" w:cs="Times New Roman"/>
                <w:b w:val="0"/>
                <w:bCs w:val="0"/>
                <w:color w:val="auto"/>
              </w:rPr>
              <w:t>有机废气挥发性有机物</w:t>
            </w:r>
            <w:r>
              <w:rPr>
                <w:rFonts w:hint="eastAsia" w:cs="Times New Roman"/>
                <w:b w:val="0"/>
                <w:bCs w:val="0"/>
                <w:color w:val="auto"/>
                <w:lang w:eastAsia="zh-CN"/>
              </w:rPr>
              <w:t>（</w:t>
            </w:r>
            <w:r>
              <w:rPr>
                <w:rFonts w:hint="default" w:ascii="Times New Roman" w:hAnsi="Times New Roman" w:eastAsia="仿宋_GB2312" w:cs="Times New Roman"/>
                <w:b w:val="0"/>
                <w:bCs w:val="0"/>
                <w:color w:val="auto"/>
              </w:rPr>
              <w:t>以NMHC计</w:t>
            </w:r>
            <w:r>
              <w:rPr>
                <w:rFonts w:hint="eastAsia" w:cs="Times New Roman"/>
                <w:b w:val="0"/>
                <w:bCs w:val="0"/>
                <w:color w:val="auto"/>
                <w:lang w:eastAsia="zh-CN"/>
              </w:rPr>
              <w:t>）</w:t>
            </w:r>
            <w:r>
              <w:rPr>
                <w:rFonts w:hint="default" w:ascii="Times New Roman" w:hAnsi="Times New Roman" w:eastAsia="仿宋_GB2312" w:cs="Times New Roman"/>
                <w:b w:val="0"/>
                <w:bCs w:val="0"/>
                <w:color w:val="auto"/>
              </w:rPr>
              <w:t>，项目管道沿线用地空旷，施工废气不会于施工场地周边聚集，故本项目不再对施工废气进行定量分析。本项目运营期无废气产生。</w:t>
            </w:r>
          </w:p>
          <w:p w14:paraId="6864C7DC">
            <w:pPr>
              <w:pStyle w:val="32"/>
              <w:ind w:firstLine="482"/>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rPr>
              <w:t>综上，本项目大气污染物排放标准详见下表。</w:t>
            </w:r>
          </w:p>
          <w:p w14:paraId="58B024FC">
            <w:pPr>
              <w:pStyle w:val="29"/>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表3</w:t>
            </w:r>
            <w:r>
              <w:rPr>
                <w:rFonts w:hint="eastAsia" w:eastAsia="仿宋_GB2312" w:cs="Times New Roman"/>
                <w:color w:val="auto"/>
                <w:sz w:val="21"/>
                <w:szCs w:val="21"/>
                <w:lang w:val="en-US" w:eastAsia="zh-CN"/>
              </w:rPr>
              <w:t xml:space="preserve">.3-5  </w:t>
            </w:r>
            <w:r>
              <w:rPr>
                <w:rFonts w:hint="eastAsia" w:ascii="Times New Roman" w:hAnsi="Times New Roman" w:eastAsia="仿宋_GB2312" w:cs="Times New Roman"/>
                <w:color w:val="auto"/>
                <w:sz w:val="21"/>
                <w:szCs w:val="21"/>
                <w:lang w:val="en-US" w:eastAsia="zh-CN"/>
              </w:rPr>
              <w:t>大气污染物排放标准</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3"/>
              <w:gridCol w:w="813"/>
              <w:gridCol w:w="973"/>
              <w:gridCol w:w="1414"/>
              <w:gridCol w:w="1333"/>
              <w:gridCol w:w="2479"/>
            </w:tblGrid>
            <w:tr w14:paraId="3B7AB3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93" w:type="dxa"/>
                  <w:vMerge w:val="restart"/>
                  <w:tcBorders>
                    <w:tl2br w:val="nil"/>
                    <w:tr2bl w:val="nil"/>
                  </w:tcBorders>
                  <w:noWrap w:val="0"/>
                  <w:vAlign w:val="center"/>
                </w:tcPr>
                <w:p w14:paraId="271296FB">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工期</w:t>
                  </w:r>
                </w:p>
              </w:tc>
              <w:tc>
                <w:tcPr>
                  <w:tcW w:w="813" w:type="dxa"/>
                  <w:vMerge w:val="restart"/>
                  <w:tcBorders>
                    <w:tl2br w:val="nil"/>
                    <w:tr2bl w:val="nil"/>
                  </w:tcBorders>
                  <w:noWrap w:val="0"/>
                  <w:vAlign w:val="center"/>
                </w:tcPr>
                <w:p w14:paraId="07E7FA42">
                  <w:pPr>
                    <w:pStyle w:val="30"/>
                    <w:rPr>
                      <w:rFonts w:hint="eastAsia"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污染物名称</w:t>
                  </w:r>
                </w:p>
              </w:tc>
              <w:tc>
                <w:tcPr>
                  <w:tcW w:w="2387" w:type="dxa"/>
                  <w:gridSpan w:val="2"/>
                  <w:tcBorders>
                    <w:tl2br w:val="nil"/>
                    <w:tr2bl w:val="nil"/>
                  </w:tcBorders>
                  <w:noWrap w:val="0"/>
                  <w:vAlign w:val="center"/>
                </w:tcPr>
                <w:p w14:paraId="0B5F8E04">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无组织排放监控浓度限值</w:t>
                  </w:r>
                </w:p>
              </w:tc>
              <w:tc>
                <w:tcPr>
                  <w:tcW w:w="1333" w:type="dxa"/>
                  <w:vMerge w:val="restart"/>
                  <w:tcBorders>
                    <w:tl2br w:val="nil"/>
                    <w:tr2bl w:val="nil"/>
                  </w:tcBorders>
                  <w:noWrap w:val="0"/>
                  <w:vAlign w:val="center"/>
                </w:tcPr>
                <w:p w14:paraId="2C52E95F">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达标判定依据</w:t>
                  </w:r>
                </w:p>
              </w:tc>
              <w:tc>
                <w:tcPr>
                  <w:tcW w:w="2479" w:type="dxa"/>
                  <w:vMerge w:val="restart"/>
                  <w:tcBorders>
                    <w:tl2br w:val="nil"/>
                    <w:tr2bl w:val="nil"/>
                  </w:tcBorders>
                  <w:noWrap w:val="0"/>
                  <w:vAlign w:val="center"/>
                </w:tcPr>
                <w:p w14:paraId="47A6F223">
                  <w:pPr>
                    <w:pStyle w:val="30"/>
                    <w:rPr>
                      <w:rFonts w:hint="eastAsia"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标准来源</w:t>
                  </w:r>
                </w:p>
              </w:tc>
            </w:tr>
            <w:tr w14:paraId="35B254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93" w:type="dxa"/>
                  <w:vMerge w:val="continue"/>
                  <w:tcBorders>
                    <w:tl2br w:val="nil"/>
                    <w:tr2bl w:val="nil"/>
                  </w:tcBorders>
                  <w:noWrap w:val="0"/>
                  <w:vAlign w:val="center"/>
                </w:tcPr>
                <w:p w14:paraId="5BE11DE0">
                  <w:pPr>
                    <w:pStyle w:val="30"/>
                    <w:rPr>
                      <w:rFonts w:hint="eastAsia" w:ascii="Times New Roman" w:hAnsi="Times New Roman" w:eastAsia="仿宋_GB2312" w:cs="Times New Roman"/>
                      <w:color w:val="auto"/>
                      <w:sz w:val="18"/>
                      <w:szCs w:val="18"/>
                      <w:lang w:val="en-US" w:eastAsia="zh-CN"/>
                    </w:rPr>
                  </w:pPr>
                </w:p>
              </w:tc>
              <w:tc>
                <w:tcPr>
                  <w:tcW w:w="813" w:type="dxa"/>
                  <w:vMerge w:val="continue"/>
                  <w:tcBorders>
                    <w:tl2br w:val="nil"/>
                    <w:tr2bl w:val="nil"/>
                  </w:tcBorders>
                  <w:noWrap w:val="0"/>
                  <w:vAlign w:val="center"/>
                </w:tcPr>
                <w:p w14:paraId="062125FA">
                  <w:pPr>
                    <w:pStyle w:val="30"/>
                    <w:rPr>
                      <w:rFonts w:hint="eastAsia" w:ascii="Times New Roman" w:hAnsi="Times New Roman" w:eastAsia="仿宋_GB2312" w:cs="Times New Roman"/>
                      <w:color w:val="auto"/>
                      <w:sz w:val="18"/>
                      <w:szCs w:val="18"/>
                      <w:lang w:val="en-US" w:eastAsia="zh-CN"/>
                    </w:rPr>
                  </w:pPr>
                </w:p>
              </w:tc>
              <w:tc>
                <w:tcPr>
                  <w:tcW w:w="973" w:type="dxa"/>
                  <w:tcBorders>
                    <w:tl2br w:val="nil"/>
                    <w:tr2bl w:val="nil"/>
                  </w:tcBorders>
                  <w:noWrap w:val="0"/>
                  <w:vAlign w:val="center"/>
                </w:tcPr>
                <w:p w14:paraId="756190CD">
                  <w:pPr>
                    <w:pStyle w:val="30"/>
                    <w:rPr>
                      <w:rFonts w:hint="eastAsia"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监控点</w:t>
                  </w:r>
                </w:p>
              </w:tc>
              <w:tc>
                <w:tcPr>
                  <w:tcW w:w="1414" w:type="dxa"/>
                  <w:tcBorders>
                    <w:tl2br w:val="nil"/>
                    <w:tr2bl w:val="nil"/>
                  </w:tcBorders>
                  <w:noWrap w:val="0"/>
                  <w:vAlign w:val="center"/>
                </w:tcPr>
                <w:p w14:paraId="2D34CFB5">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浓度mg/m</w:t>
                  </w:r>
                  <w:r>
                    <w:rPr>
                      <w:rFonts w:hint="eastAsia" w:ascii="Times New Roman" w:hAnsi="Times New Roman" w:eastAsia="仿宋_GB2312" w:cs="Times New Roman"/>
                      <w:b/>
                      <w:bCs/>
                      <w:color w:val="auto"/>
                      <w:sz w:val="18"/>
                      <w:szCs w:val="18"/>
                      <w:vertAlign w:val="superscript"/>
                      <w:lang w:val="en-US" w:eastAsia="zh-CN"/>
                    </w:rPr>
                    <w:t>3</w:t>
                  </w:r>
                </w:p>
              </w:tc>
              <w:tc>
                <w:tcPr>
                  <w:tcW w:w="1333" w:type="dxa"/>
                  <w:vMerge w:val="continue"/>
                  <w:tcBorders>
                    <w:tl2br w:val="nil"/>
                    <w:tr2bl w:val="nil"/>
                  </w:tcBorders>
                  <w:noWrap w:val="0"/>
                  <w:vAlign w:val="center"/>
                </w:tcPr>
                <w:p w14:paraId="4F97B9B0">
                  <w:pPr>
                    <w:pStyle w:val="30"/>
                    <w:rPr>
                      <w:rFonts w:hint="eastAsia" w:ascii="Times New Roman" w:hAnsi="Times New Roman" w:eastAsia="仿宋_GB2312" w:cs="Times New Roman"/>
                      <w:b/>
                      <w:bCs/>
                      <w:color w:val="auto"/>
                      <w:sz w:val="18"/>
                      <w:szCs w:val="18"/>
                      <w:lang w:val="en-US" w:eastAsia="zh-CN"/>
                    </w:rPr>
                  </w:pPr>
                </w:p>
              </w:tc>
              <w:tc>
                <w:tcPr>
                  <w:tcW w:w="2479" w:type="dxa"/>
                  <w:vMerge w:val="continue"/>
                  <w:tcBorders>
                    <w:tl2br w:val="nil"/>
                    <w:tr2bl w:val="nil"/>
                  </w:tcBorders>
                  <w:noWrap w:val="0"/>
                  <w:vAlign w:val="center"/>
                </w:tcPr>
                <w:p w14:paraId="0341D20A">
                  <w:pPr>
                    <w:pStyle w:val="30"/>
                    <w:rPr>
                      <w:rFonts w:hint="default" w:ascii="Times New Roman" w:hAnsi="Times New Roman" w:eastAsia="仿宋_GB2312" w:cs="Times New Roman"/>
                      <w:color w:val="auto"/>
                      <w:sz w:val="18"/>
                      <w:szCs w:val="18"/>
                    </w:rPr>
                  </w:pPr>
                </w:p>
              </w:tc>
            </w:tr>
            <w:tr w14:paraId="117A25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493" w:type="dxa"/>
                  <w:vMerge w:val="restart"/>
                  <w:tcBorders>
                    <w:tl2br w:val="nil"/>
                    <w:tr2bl w:val="nil"/>
                  </w:tcBorders>
                  <w:noWrap w:val="0"/>
                  <w:vAlign w:val="center"/>
                </w:tcPr>
                <w:p w14:paraId="258E0943">
                  <w:pPr>
                    <w:pStyle w:val="30"/>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施工期</w:t>
                  </w:r>
                </w:p>
              </w:tc>
              <w:tc>
                <w:tcPr>
                  <w:tcW w:w="813" w:type="dxa"/>
                  <w:tcBorders>
                    <w:tl2br w:val="nil"/>
                    <w:tr2bl w:val="nil"/>
                  </w:tcBorders>
                  <w:noWrap w:val="0"/>
                  <w:vAlign w:val="center"/>
                </w:tcPr>
                <w:p w14:paraId="22409B3A">
                  <w:pPr>
                    <w:pStyle w:val="30"/>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NMHC</w:t>
                  </w:r>
                </w:p>
              </w:tc>
              <w:tc>
                <w:tcPr>
                  <w:tcW w:w="973" w:type="dxa"/>
                  <w:tcBorders>
                    <w:tl2br w:val="nil"/>
                    <w:tr2bl w:val="nil"/>
                  </w:tcBorders>
                  <w:noWrap w:val="0"/>
                  <w:vAlign w:val="center"/>
                </w:tcPr>
                <w:p w14:paraId="2F3BF0F8">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边界外浓度最高点</w:t>
                  </w:r>
                </w:p>
              </w:tc>
              <w:tc>
                <w:tcPr>
                  <w:tcW w:w="1414" w:type="dxa"/>
                  <w:tcBorders>
                    <w:tl2br w:val="nil"/>
                    <w:tr2bl w:val="nil"/>
                  </w:tcBorders>
                  <w:noWrap w:val="0"/>
                  <w:vAlign w:val="center"/>
                </w:tcPr>
                <w:p w14:paraId="6FC10B34">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4.0</w:t>
                  </w:r>
                </w:p>
              </w:tc>
              <w:tc>
                <w:tcPr>
                  <w:tcW w:w="1333" w:type="dxa"/>
                  <w:tcBorders>
                    <w:tl2br w:val="nil"/>
                    <w:tr2bl w:val="nil"/>
                  </w:tcBorders>
                  <w:noWrap w:val="0"/>
                  <w:vAlign w:val="center"/>
                </w:tcPr>
                <w:p w14:paraId="62C02A7B">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2479" w:type="dxa"/>
                  <w:tcBorders>
                    <w:tl2br w:val="nil"/>
                    <w:tr2bl w:val="nil"/>
                  </w:tcBorders>
                  <w:noWrap w:val="0"/>
                  <w:vAlign w:val="center"/>
                </w:tcPr>
                <w:p w14:paraId="6B6D4004">
                  <w:pPr>
                    <w:pStyle w:val="30"/>
                    <w:rPr>
                      <w:rFonts w:hint="eastAsia" w:ascii="Times New Roman" w:hAnsi="Times New Roman" w:eastAsia="仿宋_GB2312" w:cs="Times New Roman"/>
                      <w:color w:val="auto"/>
                      <w:sz w:val="18"/>
                      <w:szCs w:val="18"/>
                      <w:lang w:eastAsia="zh-CN"/>
                    </w:rPr>
                  </w:pPr>
                  <w:r>
                    <w:rPr>
                      <w:rFonts w:hint="eastAsia" w:eastAsia="仿宋_GB2312"/>
                      <w:color w:val="auto"/>
                      <w:sz w:val="18"/>
                      <w:szCs w:val="18"/>
                    </w:rPr>
                    <w:t>《大气污染物综合排放标准》（GB16297-1996）</w:t>
                  </w:r>
                </w:p>
              </w:tc>
            </w:tr>
            <w:tr w14:paraId="4AC6F9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493" w:type="dxa"/>
                  <w:vMerge w:val="continue"/>
                  <w:tcBorders>
                    <w:tl2br w:val="nil"/>
                    <w:tr2bl w:val="nil"/>
                  </w:tcBorders>
                  <w:noWrap w:val="0"/>
                  <w:vAlign w:val="center"/>
                </w:tcPr>
                <w:p w14:paraId="4AD48FD0">
                  <w:pPr>
                    <w:pStyle w:val="30"/>
                    <w:rPr>
                      <w:rFonts w:hint="eastAsia" w:ascii="Times New Roman" w:hAnsi="Times New Roman" w:eastAsia="仿宋_GB2312" w:cs="Times New Roman"/>
                      <w:color w:val="auto"/>
                      <w:sz w:val="18"/>
                      <w:szCs w:val="18"/>
                      <w:lang w:val="en-US" w:eastAsia="zh-CN"/>
                    </w:rPr>
                  </w:pPr>
                </w:p>
              </w:tc>
              <w:tc>
                <w:tcPr>
                  <w:tcW w:w="813" w:type="dxa"/>
                  <w:vMerge w:val="restart"/>
                  <w:tcBorders>
                    <w:tl2br w:val="nil"/>
                    <w:tr2bl w:val="nil"/>
                  </w:tcBorders>
                  <w:noWrap w:val="0"/>
                  <w:vAlign w:val="center"/>
                </w:tcPr>
                <w:p w14:paraId="0E63AD22">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TSP</w:t>
                  </w:r>
                </w:p>
              </w:tc>
              <w:tc>
                <w:tcPr>
                  <w:tcW w:w="973" w:type="dxa"/>
                  <w:vMerge w:val="restart"/>
                  <w:tcBorders>
                    <w:tl2br w:val="nil"/>
                    <w:tr2bl w:val="nil"/>
                  </w:tcBorders>
                  <w:noWrap w:val="0"/>
                  <w:vAlign w:val="center"/>
                </w:tcPr>
                <w:p w14:paraId="47F1A584">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1414" w:type="dxa"/>
                  <w:tcBorders>
                    <w:tl2br w:val="nil"/>
                    <w:tr2bl w:val="nil"/>
                  </w:tcBorders>
                  <w:noWrap w:val="0"/>
                  <w:vAlign w:val="center"/>
                </w:tcPr>
                <w:p w14:paraId="668BD3D3">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1.0</w:t>
                  </w:r>
                </w:p>
              </w:tc>
              <w:tc>
                <w:tcPr>
                  <w:tcW w:w="1333" w:type="dxa"/>
                  <w:tcBorders>
                    <w:tl2br w:val="nil"/>
                    <w:tr2bl w:val="nil"/>
                  </w:tcBorders>
                  <w:noWrap w:val="0"/>
                  <w:vAlign w:val="center"/>
                </w:tcPr>
                <w:p w14:paraId="07814392">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超标次数≤1次/日</w:t>
                  </w:r>
                </w:p>
              </w:tc>
              <w:tc>
                <w:tcPr>
                  <w:tcW w:w="2479" w:type="dxa"/>
                  <w:vMerge w:val="restart"/>
                  <w:tcBorders>
                    <w:tl2br w:val="nil"/>
                    <w:tr2bl w:val="nil"/>
                  </w:tcBorders>
                  <w:noWrap w:val="0"/>
                  <w:vAlign w:val="center"/>
                </w:tcPr>
                <w:p w14:paraId="70EA23B0">
                  <w:pPr>
                    <w:pStyle w:val="30"/>
                    <w:rPr>
                      <w:rFonts w:hint="eastAsia" w:ascii="Times New Roman" w:hAnsi="Times New Roman" w:eastAsia="仿宋_GB2312" w:cs="Times New Roman"/>
                      <w:color w:val="auto"/>
                      <w:sz w:val="18"/>
                      <w:szCs w:val="18"/>
                      <w:lang w:eastAsia="zh-CN"/>
                    </w:rPr>
                  </w:pPr>
                  <w:r>
                    <w:rPr>
                      <w:rFonts w:hint="eastAsia" w:ascii="Times New Roman" w:hAnsi="Times New Roman" w:eastAsia="仿宋_GB2312" w:cs="Times New Roman"/>
                      <w:color w:val="auto"/>
                      <w:sz w:val="18"/>
                      <w:szCs w:val="18"/>
                      <w:lang w:eastAsia="zh-CN"/>
                    </w:rPr>
                    <w:t>《</w:t>
                  </w:r>
                  <w:r>
                    <w:rPr>
                      <w:rFonts w:hint="eastAsia" w:eastAsia="仿宋_GB2312" w:cs="Times New Roman"/>
                      <w:color w:val="auto"/>
                      <w:sz w:val="18"/>
                      <w:szCs w:val="18"/>
                      <w:lang w:val="en-US" w:eastAsia="zh-CN"/>
                    </w:rPr>
                    <w:t>施工场地颗粒物排放标准</w:t>
                  </w:r>
                  <w:r>
                    <w:rPr>
                      <w:rFonts w:hint="eastAsia" w:ascii="Times New Roman" w:hAnsi="Times New Roman" w:eastAsia="仿宋_GB2312" w:cs="Times New Roman"/>
                      <w:color w:val="auto"/>
                      <w:sz w:val="18"/>
                      <w:szCs w:val="18"/>
                      <w:lang w:eastAsia="zh-CN"/>
                    </w:rPr>
                    <w:t>》（</w:t>
                  </w:r>
                  <w:r>
                    <w:rPr>
                      <w:rFonts w:hint="eastAsia" w:eastAsia="仿宋_GB2312" w:cs="Times New Roman"/>
                      <w:color w:val="auto"/>
                      <w:sz w:val="18"/>
                      <w:szCs w:val="18"/>
                      <w:lang w:val="en-US" w:eastAsia="zh-CN"/>
                    </w:rPr>
                    <w:t>DB34/4811-2024</w:t>
                  </w:r>
                  <w:r>
                    <w:rPr>
                      <w:rFonts w:hint="eastAsia" w:ascii="Times New Roman" w:hAnsi="Times New Roman" w:eastAsia="仿宋_GB2312" w:cs="Times New Roman"/>
                      <w:color w:val="auto"/>
                      <w:sz w:val="18"/>
                      <w:szCs w:val="18"/>
                      <w:lang w:eastAsia="zh-CN"/>
                    </w:rPr>
                    <w:t>）</w:t>
                  </w:r>
                </w:p>
              </w:tc>
            </w:tr>
            <w:tr w14:paraId="0E72F9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93" w:type="dxa"/>
                  <w:vMerge w:val="continue"/>
                  <w:tcBorders>
                    <w:tl2br w:val="nil"/>
                    <w:tr2bl w:val="nil"/>
                  </w:tcBorders>
                  <w:noWrap w:val="0"/>
                  <w:vAlign w:val="center"/>
                </w:tcPr>
                <w:p w14:paraId="0013C40D">
                  <w:pPr>
                    <w:pStyle w:val="30"/>
                    <w:rPr>
                      <w:rFonts w:hint="eastAsia" w:ascii="Times New Roman" w:hAnsi="Times New Roman" w:eastAsia="仿宋_GB2312" w:cs="Times New Roman"/>
                      <w:color w:val="auto"/>
                      <w:sz w:val="18"/>
                      <w:szCs w:val="18"/>
                      <w:lang w:val="en-US" w:eastAsia="zh-CN"/>
                    </w:rPr>
                  </w:pPr>
                </w:p>
              </w:tc>
              <w:tc>
                <w:tcPr>
                  <w:tcW w:w="813" w:type="dxa"/>
                  <w:vMerge w:val="continue"/>
                  <w:tcBorders>
                    <w:tl2br w:val="nil"/>
                    <w:tr2bl w:val="nil"/>
                  </w:tcBorders>
                  <w:noWrap w:val="0"/>
                  <w:vAlign w:val="center"/>
                </w:tcPr>
                <w:p w14:paraId="29DCF227">
                  <w:pPr>
                    <w:pStyle w:val="30"/>
                    <w:rPr>
                      <w:rFonts w:hint="eastAsia" w:eastAsia="仿宋_GB2312" w:cs="Times New Roman"/>
                      <w:color w:val="auto"/>
                      <w:sz w:val="18"/>
                      <w:szCs w:val="18"/>
                      <w:lang w:val="en-US" w:eastAsia="zh-CN"/>
                    </w:rPr>
                  </w:pPr>
                </w:p>
              </w:tc>
              <w:tc>
                <w:tcPr>
                  <w:tcW w:w="973" w:type="dxa"/>
                  <w:vMerge w:val="continue"/>
                  <w:tcBorders>
                    <w:tl2br w:val="nil"/>
                    <w:tr2bl w:val="nil"/>
                  </w:tcBorders>
                  <w:noWrap w:val="0"/>
                  <w:vAlign w:val="center"/>
                </w:tcPr>
                <w:p w14:paraId="61B3ED9A">
                  <w:pPr>
                    <w:pStyle w:val="30"/>
                    <w:rPr>
                      <w:rFonts w:hint="eastAsia" w:ascii="Times New Roman" w:hAnsi="Times New Roman" w:eastAsia="仿宋_GB2312" w:cs="Times New Roman"/>
                      <w:color w:val="auto"/>
                      <w:sz w:val="18"/>
                      <w:szCs w:val="18"/>
                      <w:lang w:val="en-US" w:eastAsia="zh-CN"/>
                    </w:rPr>
                  </w:pPr>
                </w:p>
              </w:tc>
              <w:tc>
                <w:tcPr>
                  <w:tcW w:w="1414" w:type="dxa"/>
                  <w:tcBorders>
                    <w:tl2br w:val="nil"/>
                    <w:tr2bl w:val="nil"/>
                  </w:tcBorders>
                  <w:noWrap w:val="0"/>
                  <w:vAlign w:val="center"/>
                </w:tcPr>
                <w:p w14:paraId="1B0DEC29">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0.5</w:t>
                  </w:r>
                </w:p>
              </w:tc>
              <w:tc>
                <w:tcPr>
                  <w:tcW w:w="1333" w:type="dxa"/>
                  <w:tcBorders>
                    <w:tl2br w:val="nil"/>
                    <w:tr2bl w:val="nil"/>
                  </w:tcBorders>
                  <w:noWrap w:val="0"/>
                  <w:vAlign w:val="center"/>
                </w:tcPr>
                <w:p w14:paraId="6867FF0D">
                  <w:pPr>
                    <w:pStyle w:val="30"/>
                    <w:rPr>
                      <w:rFonts w:hint="eastAsia"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超标次数≤6次/日</w:t>
                  </w:r>
                </w:p>
              </w:tc>
              <w:tc>
                <w:tcPr>
                  <w:tcW w:w="2479" w:type="dxa"/>
                  <w:vMerge w:val="continue"/>
                  <w:tcBorders>
                    <w:tl2br w:val="nil"/>
                    <w:tr2bl w:val="nil"/>
                  </w:tcBorders>
                  <w:noWrap w:val="0"/>
                  <w:vAlign w:val="center"/>
                </w:tcPr>
                <w:p w14:paraId="1B4FE412">
                  <w:pPr>
                    <w:pStyle w:val="30"/>
                    <w:rPr>
                      <w:rFonts w:hint="eastAsia" w:ascii="Times New Roman" w:hAnsi="Times New Roman" w:eastAsia="仿宋_GB2312" w:cs="Times New Roman"/>
                      <w:color w:val="auto"/>
                      <w:sz w:val="18"/>
                      <w:szCs w:val="18"/>
                      <w:lang w:eastAsia="zh-CN"/>
                    </w:rPr>
                  </w:pPr>
                </w:p>
              </w:tc>
            </w:tr>
          </w:tbl>
          <w:p w14:paraId="3AB37207">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2"/>
              <w:textAlignment w:val="auto"/>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3.3.2.2 废水</w:t>
            </w:r>
          </w:p>
          <w:p w14:paraId="62936B72">
            <w:pPr>
              <w:pStyle w:val="32"/>
              <w:ind w:firstLine="482"/>
              <w:rPr>
                <w:rFonts w:hint="default" w:ascii="Times New Roman" w:hAnsi="Times New Roman" w:eastAsia="仿宋_GB2312" w:cs="Times New Roman"/>
                <w:b w:val="0"/>
                <w:bCs w:val="0"/>
                <w:color w:val="FF0000"/>
                <w:lang w:val="en-US" w:eastAsia="zh-CN"/>
              </w:rPr>
            </w:pPr>
            <w:r>
              <w:rPr>
                <w:rFonts w:hint="default" w:ascii="Times New Roman" w:hAnsi="Times New Roman" w:eastAsia="仿宋_GB2312" w:cs="Times New Roman"/>
                <w:b w:val="0"/>
                <w:bCs w:val="0"/>
                <w:color w:val="auto"/>
              </w:rPr>
              <w:t>项目施工期生活污水依托</w:t>
            </w:r>
            <w:r>
              <w:rPr>
                <w:rFonts w:hint="eastAsia" w:cs="Times New Roman"/>
                <w:b w:val="0"/>
                <w:bCs w:val="0"/>
                <w:color w:val="auto"/>
                <w:lang w:val="en-US" w:eastAsia="zh-CN"/>
              </w:rPr>
              <w:t>润土公司</w:t>
            </w:r>
            <w:r>
              <w:rPr>
                <w:rFonts w:hint="default" w:ascii="Times New Roman" w:hAnsi="Times New Roman" w:eastAsia="仿宋_GB2312" w:cs="Times New Roman"/>
                <w:b w:val="0"/>
                <w:bCs w:val="0"/>
                <w:color w:val="auto"/>
              </w:rPr>
              <w:t>厂区内化粪池，产生的生活污水经预处理设施处理后接入园区污水管网，不外排到地表水体。</w:t>
            </w:r>
            <w:r>
              <w:rPr>
                <w:rFonts w:hint="eastAsia" w:cs="Times New Roman"/>
                <w:b w:val="0"/>
                <w:bCs w:val="0"/>
                <w:color w:val="auto"/>
                <w:lang w:val="en-US" w:eastAsia="zh-CN"/>
              </w:rPr>
              <w:t>施工期产生的清管和试压废水排入润土公司厂区废水收集池，纳入园区污水管网，经园区处理后全部回用于园区，不外排到地表水体。</w:t>
            </w:r>
          </w:p>
          <w:p w14:paraId="257AA598">
            <w:pPr>
              <w:pStyle w:val="32"/>
              <w:ind w:firstLine="482"/>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rPr>
              <w:t>本项目不新增劳动定员，在</w:t>
            </w:r>
            <w:r>
              <w:rPr>
                <w:rFonts w:hint="eastAsia" w:cs="Times New Roman"/>
                <w:b w:val="0"/>
                <w:bCs w:val="0"/>
                <w:color w:val="auto"/>
                <w:lang w:val="en-US" w:eastAsia="zh-CN"/>
              </w:rPr>
              <w:t>润土</w:t>
            </w:r>
            <w:r>
              <w:rPr>
                <w:rFonts w:hint="default" w:ascii="Times New Roman" w:hAnsi="Times New Roman" w:eastAsia="仿宋_GB2312" w:cs="Times New Roman"/>
                <w:b w:val="0"/>
                <w:bCs w:val="0"/>
                <w:color w:val="auto"/>
              </w:rPr>
              <w:t>公司现有员工中调配，本项目不新增生活污水。另外本项目</w:t>
            </w:r>
            <w:r>
              <w:rPr>
                <w:rFonts w:hint="eastAsia" w:cs="Times New Roman"/>
                <w:b w:val="0"/>
                <w:bCs w:val="0"/>
                <w:color w:val="auto"/>
                <w:lang w:val="en-US" w:eastAsia="zh-CN"/>
              </w:rPr>
              <w:t>氢气</w:t>
            </w:r>
            <w:r>
              <w:rPr>
                <w:rFonts w:hint="default" w:ascii="Times New Roman" w:hAnsi="Times New Roman" w:eastAsia="仿宋_GB2312" w:cs="Times New Roman"/>
                <w:b w:val="0"/>
                <w:bCs w:val="0"/>
                <w:color w:val="auto"/>
              </w:rPr>
              <w:t>管道专管专用，不需要进行日常清管作业，因此，本项目在运营期不产生清洗废水。</w:t>
            </w:r>
          </w:p>
          <w:p w14:paraId="32987C47">
            <w:pPr>
              <w:pStyle w:val="29"/>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表3</w:t>
            </w:r>
            <w:r>
              <w:rPr>
                <w:rFonts w:hint="eastAsia" w:eastAsia="仿宋_GB2312" w:cs="Times New Roman"/>
                <w:color w:val="auto"/>
                <w:sz w:val="21"/>
                <w:szCs w:val="21"/>
                <w:lang w:val="en-US" w:eastAsia="zh-CN"/>
              </w:rPr>
              <w:t>.3-6</w:t>
            </w:r>
            <w:r>
              <w:rPr>
                <w:rFonts w:hint="default" w:ascii="Times New Roman" w:hAnsi="Times New Roman" w:eastAsia="仿宋_GB2312" w:cs="Times New Roman"/>
                <w:color w:val="auto"/>
                <w:sz w:val="21"/>
                <w:szCs w:val="21"/>
              </w:rPr>
              <w:t xml:space="preserve">  </w:t>
            </w:r>
            <w:r>
              <w:rPr>
                <w:rFonts w:hint="eastAsia" w:ascii="Times New Roman" w:hAnsi="Times New Roman" w:eastAsia="仿宋_GB2312" w:cs="Times New Roman"/>
                <w:color w:val="auto"/>
                <w:sz w:val="21"/>
                <w:szCs w:val="21"/>
                <w:lang w:val="en-US" w:eastAsia="zh-CN"/>
              </w:rPr>
              <w:t>废水排放标准 单位：mg/L，pH无量纲</w:t>
            </w:r>
          </w:p>
          <w:tbl>
            <w:tblPr>
              <w:tblStyle w:val="14"/>
              <w:tblW w:w="484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3"/>
              <w:gridCol w:w="1187"/>
              <w:gridCol w:w="1520"/>
              <w:gridCol w:w="2395"/>
              <w:gridCol w:w="1360"/>
            </w:tblGrid>
            <w:tr w14:paraId="640D24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14" w:type="dxa"/>
                  <w:vMerge w:val="restart"/>
                  <w:tcBorders>
                    <w:tl2br w:val="nil"/>
                    <w:tr2bl w:val="nil"/>
                  </w:tcBorders>
                  <w:noWrap w:val="0"/>
                  <w:vAlign w:val="center"/>
                </w:tcPr>
                <w:p w14:paraId="5705E951">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序号</w:t>
                  </w:r>
                </w:p>
              </w:tc>
              <w:tc>
                <w:tcPr>
                  <w:tcW w:w="1187" w:type="dxa"/>
                  <w:vMerge w:val="restart"/>
                  <w:tcBorders>
                    <w:tl2br w:val="nil"/>
                    <w:tr2bl w:val="nil"/>
                  </w:tcBorders>
                  <w:noWrap w:val="0"/>
                  <w:vAlign w:val="center"/>
                </w:tcPr>
                <w:p w14:paraId="335E2B1C">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排放口编号</w:t>
                  </w:r>
                </w:p>
              </w:tc>
              <w:tc>
                <w:tcPr>
                  <w:tcW w:w="1520" w:type="dxa"/>
                  <w:vMerge w:val="restart"/>
                  <w:tcBorders>
                    <w:tl2br w:val="nil"/>
                    <w:tr2bl w:val="nil"/>
                  </w:tcBorders>
                  <w:noWrap w:val="0"/>
                  <w:vAlign w:val="center"/>
                </w:tcPr>
                <w:p w14:paraId="47D6DDF4">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污染物种类</w:t>
                  </w:r>
                </w:p>
              </w:tc>
              <w:tc>
                <w:tcPr>
                  <w:tcW w:w="3755" w:type="dxa"/>
                  <w:gridSpan w:val="2"/>
                  <w:tcBorders>
                    <w:tl2br w:val="nil"/>
                    <w:tr2bl w:val="nil"/>
                  </w:tcBorders>
                  <w:noWrap w:val="0"/>
                  <w:vAlign w:val="center"/>
                </w:tcPr>
                <w:p w14:paraId="5417CEFE">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国家或地方污染物排放标准及其他按规定商定的排放协议</w:t>
                  </w:r>
                </w:p>
              </w:tc>
            </w:tr>
            <w:tr w14:paraId="21B882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14" w:type="dxa"/>
                  <w:vMerge w:val="continue"/>
                  <w:tcBorders>
                    <w:tl2br w:val="nil"/>
                    <w:tr2bl w:val="nil"/>
                  </w:tcBorders>
                  <w:noWrap w:val="0"/>
                  <w:vAlign w:val="center"/>
                </w:tcPr>
                <w:p w14:paraId="59E71904">
                  <w:pPr>
                    <w:pStyle w:val="30"/>
                    <w:rPr>
                      <w:rFonts w:hint="eastAsia" w:ascii="Times New Roman" w:hAnsi="Times New Roman" w:eastAsia="仿宋_GB2312" w:cs="Times New Roman"/>
                      <w:color w:val="auto"/>
                      <w:sz w:val="18"/>
                      <w:szCs w:val="18"/>
                      <w:lang w:val="en-US" w:eastAsia="zh-CN"/>
                    </w:rPr>
                  </w:pPr>
                </w:p>
              </w:tc>
              <w:tc>
                <w:tcPr>
                  <w:tcW w:w="1187" w:type="dxa"/>
                  <w:vMerge w:val="continue"/>
                  <w:tcBorders>
                    <w:tl2br w:val="nil"/>
                    <w:tr2bl w:val="nil"/>
                  </w:tcBorders>
                  <w:noWrap w:val="0"/>
                  <w:vAlign w:val="center"/>
                </w:tcPr>
                <w:p w14:paraId="01328860">
                  <w:pPr>
                    <w:pStyle w:val="30"/>
                    <w:rPr>
                      <w:rFonts w:hint="eastAsia" w:ascii="Times New Roman" w:hAnsi="Times New Roman" w:eastAsia="仿宋_GB2312" w:cs="Times New Roman"/>
                      <w:color w:val="auto"/>
                      <w:sz w:val="18"/>
                      <w:szCs w:val="18"/>
                      <w:lang w:val="en-US" w:eastAsia="zh-CN"/>
                    </w:rPr>
                  </w:pPr>
                </w:p>
              </w:tc>
              <w:tc>
                <w:tcPr>
                  <w:tcW w:w="1520" w:type="dxa"/>
                  <w:vMerge w:val="continue"/>
                  <w:tcBorders>
                    <w:tl2br w:val="nil"/>
                    <w:tr2bl w:val="nil"/>
                  </w:tcBorders>
                  <w:noWrap w:val="0"/>
                  <w:vAlign w:val="center"/>
                </w:tcPr>
                <w:p w14:paraId="6E442D52">
                  <w:pPr>
                    <w:pStyle w:val="30"/>
                    <w:rPr>
                      <w:rFonts w:hint="eastAsia" w:ascii="Times New Roman" w:hAnsi="Times New Roman" w:eastAsia="仿宋_GB2312" w:cs="Times New Roman"/>
                      <w:color w:val="auto"/>
                      <w:sz w:val="18"/>
                      <w:szCs w:val="18"/>
                      <w:lang w:val="en-US" w:eastAsia="zh-CN"/>
                    </w:rPr>
                  </w:pPr>
                </w:p>
              </w:tc>
              <w:tc>
                <w:tcPr>
                  <w:tcW w:w="2395" w:type="dxa"/>
                  <w:tcBorders>
                    <w:tl2br w:val="nil"/>
                    <w:tr2bl w:val="nil"/>
                  </w:tcBorders>
                  <w:noWrap w:val="0"/>
                  <w:vAlign w:val="center"/>
                </w:tcPr>
                <w:p w14:paraId="3B52C4C1">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名称</w:t>
                  </w:r>
                </w:p>
              </w:tc>
              <w:tc>
                <w:tcPr>
                  <w:tcW w:w="1360" w:type="dxa"/>
                  <w:tcBorders>
                    <w:tl2br w:val="nil"/>
                    <w:tr2bl w:val="nil"/>
                  </w:tcBorders>
                  <w:noWrap w:val="0"/>
                  <w:vAlign w:val="center"/>
                </w:tcPr>
                <w:p w14:paraId="381978F5">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标准浓度限值</w:t>
                  </w:r>
                </w:p>
              </w:tc>
            </w:tr>
            <w:tr w14:paraId="55757D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14" w:type="dxa"/>
                  <w:tcBorders>
                    <w:tl2br w:val="nil"/>
                    <w:tr2bl w:val="nil"/>
                  </w:tcBorders>
                  <w:noWrap w:val="0"/>
                  <w:vAlign w:val="center"/>
                </w:tcPr>
                <w:p w14:paraId="0DE3C45F">
                  <w:pPr>
                    <w:pStyle w:val="30"/>
                    <w:numPr>
                      <w:ilvl w:val="0"/>
                      <w:numId w:val="3"/>
                    </w:numPr>
                    <w:ind w:left="425" w:leftChars="0" w:hanging="425" w:firstLineChars="0"/>
                    <w:rPr>
                      <w:rFonts w:hint="default" w:ascii="Times New Roman" w:hAnsi="Times New Roman" w:eastAsia="仿宋_GB2312" w:cs="Times New Roman"/>
                      <w:color w:val="auto"/>
                      <w:sz w:val="18"/>
                      <w:szCs w:val="18"/>
                      <w:lang w:val="en-US" w:eastAsia="zh-CN"/>
                    </w:rPr>
                  </w:pPr>
                </w:p>
              </w:tc>
              <w:tc>
                <w:tcPr>
                  <w:tcW w:w="1187" w:type="dxa"/>
                  <w:vMerge w:val="restart"/>
                  <w:tcBorders>
                    <w:tl2br w:val="nil"/>
                    <w:tr2bl w:val="nil"/>
                  </w:tcBorders>
                  <w:noWrap w:val="0"/>
                  <w:vAlign w:val="center"/>
                </w:tcPr>
                <w:p w14:paraId="1A4C9E4F">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DW001</w:t>
                  </w:r>
                </w:p>
              </w:tc>
              <w:tc>
                <w:tcPr>
                  <w:tcW w:w="1520" w:type="dxa"/>
                  <w:tcBorders>
                    <w:tl2br w:val="nil"/>
                    <w:tr2bl w:val="nil"/>
                  </w:tcBorders>
                  <w:noWrap w:val="0"/>
                  <w:vAlign w:val="center"/>
                </w:tcPr>
                <w:p w14:paraId="70B94FAB">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pH</w:t>
                  </w:r>
                </w:p>
              </w:tc>
              <w:tc>
                <w:tcPr>
                  <w:tcW w:w="2395" w:type="dxa"/>
                  <w:vMerge w:val="restart"/>
                  <w:tcBorders>
                    <w:tl2br w:val="nil"/>
                    <w:tr2bl w:val="nil"/>
                  </w:tcBorders>
                  <w:noWrap w:val="0"/>
                  <w:vAlign w:val="center"/>
                </w:tcPr>
                <w:p w14:paraId="02B2F941">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安徽（淮北）新型煤化工合成材料基地污水处理厂接管标准</w:t>
                  </w:r>
                </w:p>
              </w:tc>
              <w:tc>
                <w:tcPr>
                  <w:tcW w:w="1360" w:type="dxa"/>
                  <w:tcBorders>
                    <w:tl2br w:val="nil"/>
                    <w:tr2bl w:val="nil"/>
                  </w:tcBorders>
                  <w:noWrap w:val="0"/>
                  <w:vAlign w:val="center"/>
                </w:tcPr>
                <w:p w14:paraId="05EC26F9">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6~9</w:t>
                  </w:r>
                </w:p>
              </w:tc>
            </w:tr>
            <w:tr w14:paraId="348D67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14" w:type="dxa"/>
                  <w:tcBorders>
                    <w:tl2br w:val="nil"/>
                    <w:tr2bl w:val="nil"/>
                  </w:tcBorders>
                  <w:noWrap w:val="0"/>
                  <w:vAlign w:val="center"/>
                </w:tcPr>
                <w:p w14:paraId="10E1EA71">
                  <w:pPr>
                    <w:pStyle w:val="30"/>
                    <w:numPr>
                      <w:ilvl w:val="0"/>
                      <w:numId w:val="3"/>
                    </w:numPr>
                    <w:ind w:left="425" w:leftChars="0" w:hanging="425" w:firstLineChars="0"/>
                    <w:rPr>
                      <w:rFonts w:hint="default" w:ascii="Times New Roman" w:hAnsi="Times New Roman" w:eastAsia="仿宋_GB2312" w:cs="Times New Roman"/>
                      <w:color w:val="auto"/>
                      <w:sz w:val="18"/>
                      <w:szCs w:val="18"/>
                    </w:rPr>
                  </w:pPr>
                </w:p>
              </w:tc>
              <w:tc>
                <w:tcPr>
                  <w:tcW w:w="1187" w:type="dxa"/>
                  <w:vMerge w:val="continue"/>
                  <w:tcBorders>
                    <w:tl2br w:val="nil"/>
                    <w:tr2bl w:val="nil"/>
                  </w:tcBorders>
                  <w:noWrap w:val="0"/>
                  <w:vAlign w:val="center"/>
                </w:tcPr>
                <w:p w14:paraId="73423E33">
                  <w:pPr>
                    <w:pStyle w:val="30"/>
                    <w:rPr>
                      <w:rFonts w:hint="eastAsia" w:ascii="Times New Roman" w:hAnsi="Times New Roman" w:eastAsia="仿宋_GB2312" w:cs="Times New Roman"/>
                      <w:color w:val="auto"/>
                      <w:sz w:val="18"/>
                      <w:szCs w:val="18"/>
                      <w:lang w:val="en-US" w:eastAsia="zh-CN"/>
                    </w:rPr>
                  </w:pPr>
                </w:p>
              </w:tc>
              <w:tc>
                <w:tcPr>
                  <w:tcW w:w="1520" w:type="dxa"/>
                  <w:tcBorders>
                    <w:tl2br w:val="nil"/>
                    <w:tr2bl w:val="nil"/>
                  </w:tcBorders>
                  <w:noWrap w:val="0"/>
                  <w:vAlign w:val="center"/>
                </w:tcPr>
                <w:p w14:paraId="04C13300">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COD</w:t>
                  </w:r>
                </w:p>
              </w:tc>
              <w:tc>
                <w:tcPr>
                  <w:tcW w:w="2395" w:type="dxa"/>
                  <w:vMerge w:val="continue"/>
                  <w:tcBorders>
                    <w:tl2br w:val="nil"/>
                    <w:tr2bl w:val="nil"/>
                  </w:tcBorders>
                  <w:noWrap w:val="0"/>
                  <w:vAlign w:val="center"/>
                </w:tcPr>
                <w:p w14:paraId="22126EC2">
                  <w:pPr>
                    <w:pStyle w:val="30"/>
                    <w:rPr>
                      <w:rFonts w:hint="default" w:ascii="Times New Roman" w:hAnsi="Times New Roman" w:eastAsia="仿宋_GB2312" w:cs="Times New Roman"/>
                      <w:color w:val="auto"/>
                      <w:sz w:val="18"/>
                      <w:szCs w:val="18"/>
                    </w:rPr>
                  </w:pPr>
                </w:p>
              </w:tc>
              <w:tc>
                <w:tcPr>
                  <w:tcW w:w="1360" w:type="dxa"/>
                  <w:tcBorders>
                    <w:tl2br w:val="nil"/>
                    <w:tr2bl w:val="nil"/>
                  </w:tcBorders>
                  <w:noWrap w:val="0"/>
                  <w:vAlign w:val="center"/>
                </w:tcPr>
                <w:p w14:paraId="237E0B0C">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500</w:t>
                  </w:r>
                </w:p>
              </w:tc>
            </w:tr>
            <w:tr w14:paraId="4AC224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14" w:type="dxa"/>
                  <w:tcBorders>
                    <w:tl2br w:val="nil"/>
                    <w:tr2bl w:val="nil"/>
                  </w:tcBorders>
                  <w:noWrap w:val="0"/>
                  <w:vAlign w:val="center"/>
                </w:tcPr>
                <w:p w14:paraId="7E80FF6F">
                  <w:pPr>
                    <w:pStyle w:val="30"/>
                    <w:numPr>
                      <w:ilvl w:val="0"/>
                      <w:numId w:val="3"/>
                    </w:numPr>
                    <w:ind w:left="425" w:leftChars="0" w:hanging="425" w:firstLineChars="0"/>
                    <w:rPr>
                      <w:rFonts w:hint="default" w:ascii="Times New Roman" w:hAnsi="Times New Roman" w:eastAsia="仿宋_GB2312" w:cs="Times New Roman"/>
                      <w:color w:val="auto"/>
                      <w:sz w:val="18"/>
                      <w:szCs w:val="18"/>
                    </w:rPr>
                  </w:pPr>
                </w:p>
              </w:tc>
              <w:tc>
                <w:tcPr>
                  <w:tcW w:w="1187" w:type="dxa"/>
                  <w:vMerge w:val="continue"/>
                  <w:tcBorders>
                    <w:tl2br w:val="nil"/>
                    <w:tr2bl w:val="nil"/>
                  </w:tcBorders>
                  <w:noWrap w:val="0"/>
                  <w:vAlign w:val="center"/>
                </w:tcPr>
                <w:p w14:paraId="72E09EFD">
                  <w:pPr>
                    <w:pStyle w:val="30"/>
                    <w:rPr>
                      <w:rFonts w:hint="eastAsia" w:ascii="Times New Roman" w:hAnsi="Times New Roman" w:eastAsia="仿宋_GB2312" w:cs="Times New Roman"/>
                      <w:color w:val="auto"/>
                      <w:sz w:val="18"/>
                      <w:szCs w:val="18"/>
                      <w:lang w:val="en-US" w:eastAsia="zh-CN"/>
                    </w:rPr>
                  </w:pPr>
                </w:p>
              </w:tc>
              <w:tc>
                <w:tcPr>
                  <w:tcW w:w="1520" w:type="dxa"/>
                  <w:tcBorders>
                    <w:tl2br w:val="nil"/>
                    <w:tr2bl w:val="nil"/>
                  </w:tcBorders>
                  <w:noWrap w:val="0"/>
                  <w:vAlign w:val="center"/>
                </w:tcPr>
                <w:p w14:paraId="7520C32A">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SS</w:t>
                  </w:r>
                </w:p>
              </w:tc>
              <w:tc>
                <w:tcPr>
                  <w:tcW w:w="2395" w:type="dxa"/>
                  <w:vMerge w:val="continue"/>
                  <w:tcBorders>
                    <w:tl2br w:val="nil"/>
                    <w:tr2bl w:val="nil"/>
                  </w:tcBorders>
                  <w:noWrap w:val="0"/>
                  <w:vAlign w:val="center"/>
                </w:tcPr>
                <w:p w14:paraId="3B016113">
                  <w:pPr>
                    <w:pStyle w:val="30"/>
                    <w:rPr>
                      <w:rFonts w:hint="default" w:ascii="Times New Roman" w:hAnsi="Times New Roman" w:eastAsia="仿宋_GB2312" w:cs="Times New Roman"/>
                      <w:color w:val="auto"/>
                      <w:sz w:val="18"/>
                      <w:szCs w:val="18"/>
                    </w:rPr>
                  </w:pPr>
                </w:p>
              </w:tc>
              <w:tc>
                <w:tcPr>
                  <w:tcW w:w="1360" w:type="dxa"/>
                  <w:tcBorders>
                    <w:tl2br w:val="nil"/>
                    <w:tr2bl w:val="nil"/>
                  </w:tcBorders>
                  <w:noWrap w:val="0"/>
                  <w:vAlign w:val="center"/>
                </w:tcPr>
                <w:p w14:paraId="12732165">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400</w:t>
                  </w:r>
                </w:p>
              </w:tc>
            </w:tr>
            <w:tr w14:paraId="057808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14" w:type="dxa"/>
                  <w:tcBorders>
                    <w:tl2br w:val="nil"/>
                    <w:tr2bl w:val="nil"/>
                  </w:tcBorders>
                  <w:noWrap w:val="0"/>
                  <w:vAlign w:val="center"/>
                </w:tcPr>
                <w:p w14:paraId="3581C2C7">
                  <w:pPr>
                    <w:pStyle w:val="30"/>
                    <w:numPr>
                      <w:ilvl w:val="0"/>
                      <w:numId w:val="3"/>
                    </w:numPr>
                    <w:ind w:left="425" w:leftChars="0" w:hanging="425" w:firstLineChars="0"/>
                    <w:rPr>
                      <w:rFonts w:hint="default" w:ascii="Times New Roman" w:hAnsi="Times New Roman" w:eastAsia="仿宋_GB2312" w:cs="Times New Roman"/>
                      <w:color w:val="auto"/>
                      <w:sz w:val="18"/>
                      <w:szCs w:val="18"/>
                    </w:rPr>
                  </w:pPr>
                </w:p>
              </w:tc>
              <w:tc>
                <w:tcPr>
                  <w:tcW w:w="1187" w:type="dxa"/>
                  <w:vMerge w:val="continue"/>
                  <w:tcBorders>
                    <w:tl2br w:val="nil"/>
                    <w:tr2bl w:val="nil"/>
                  </w:tcBorders>
                  <w:noWrap w:val="0"/>
                  <w:vAlign w:val="center"/>
                </w:tcPr>
                <w:p w14:paraId="115A1A0E">
                  <w:pPr>
                    <w:pStyle w:val="30"/>
                    <w:rPr>
                      <w:rFonts w:hint="eastAsia" w:ascii="Times New Roman" w:hAnsi="Times New Roman" w:eastAsia="仿宋_GB2312" w:cs="Times New Roman"/>
                      <w:color w:val="auto"/>
                      <w:sz w:val="18"/>
                      <w:szCs w:val="18"/>
                      <w:lang w:val="en-US" w:eastAsia="zh-CN"/>
                    </w:rPr>
                  </w:pPr>
                </w:p>
              </w:tc>
              <w:tc>
                <w:tcPr>
                  <w:tcW w:w="1520" w:type="dxa"/>
                  <w:tcBorders>
                    <w:tl2br w:val="nil"/>
                    <w:tr2bl w:val="nil"/>
                  </w:tcBorders>
                  <w:noWrap w:val="0"/>
                  <w:vAlign w:val="center"/>
                </w:tcPr>
                <w:p w14:paraId="16E263C9">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氨氮</w:t>
                  </w:r>
                </w:p>
              </w:tc>
              <w:tc>
                <w:tcPr>
                  <w:tcW w:w="2395" w:type="dxa"/>
                  <w:vMerge w:val="continue"/>
                  <w:tcBorders>
                    <w:tl2br w:val="nil"/>
                    <w:tr2bl w:val="nil"/>
                  </w:tcBorders>
                  <w:noWrap w:val="0"/>
                  <w:vAlign w:val="center"/>
                </w:tcPr>
                <w:p w14:paraId="3C3A5F0C">
                  <w:pPr>
                    <w:pStyle w:val="30"/>
                    <w:rPr>
                      <w:rFonts w:hint="default" w:ascii="Times New Roman" w:hAnsi="Times New Roman" w:eastAsia="仿宋_GB2312" w:cs="Times New Roman"/>
                      <w:color w:val="auto"/>
                      <w:sz w:val="18"/>
                      <w:szCs w:val="18"/>
                    </w:rPr>
                  </w:pPr>
                </w:p>
              </w:tc>
              <w:tc>
                <w:tcPr>
                  <w:tcW w:w="1360" w:type="dxa"/>
                  <w:tcBorders>
                    <w:tl2br w:val="nil"/>
                    <w:tr2bl w:val="nil"/>
                  </w:tcBorders>
                  <w:noWrap w:val="0"/>
                  <w:vAlign w:val="center"/>
                </w:tcPr>
                <w:p w14:paraId="10AE7450">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45</w:t>
                  </w:r>
                </w:p>
              </w:tc>
            </w:tr>
            <w:tr w14:paraId="4F6BC6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14" w:type="dxa"/>
                  <w:tcBorders>
                    <w:tl2br w:val="nil"/>
                    <w:tr2bl w:val="nil"/>
                  </w:tcBorders>
                  <w:noWrap w:val="0"/>
                  <w:vAlign w:val="center"/>
                </w:tcPr>
                <w:p w14:paraId="259C0889">
                  <w:pPr>
                    <w:pStyle w:val="30"/>
                    <w:numPr>
                      <w:ilvl w:val="0"/>
                      <w:numId w:val="3"/>
                    </w:numPr>
                    <w:ind w:left="425" w:leftChars="0" w:hanging="425" w:firstLineChars="0"/>
                    <w:rPr>
                      <w:rFonts w:hint="default" w:ascii="Times New Roman" w:hAnsi="Times New Roman" w:eastAsia="仿宋_GB2312" w:cs="Times New Roman"/>
                      <w:color w:val="auto"/>
                      <w:sz w:val="18"/>
                      <w:szCs w:val="18"/>
                    </w:rPr>
                  </w:pPr>
                </w:p>
              </w:tc>
              <w:tc>
                <w:tcPr>
                  <w:tcW w:w="1187" w:type="dxa"/>
                  <w:vMerge w:val="continue"/>
                  <w:tcBorders>
                    <w:tl2br w:val="nil"/>
                    <w:tr2bl w:val="nil"/>
                  </w:tcBorders>
                  <w:noWrap w:val="0"/>
                  <w:vAlign w:val="center"/>
                </w:tcPr>
                <w:p w14:paraId="6A1D437A">
                  <w:pPr>
                    <w:pStyle w:val="30"/>
                    <w:rPr>
                      <w:rFonts w:hint="eastAsia" w:ascii="Times New Roman" w:hAnsi="Times New Roman" w:eastAsia="仿宋_GB2312" w:cs="Times New Roman"/>
                      <w:color w:val="auto"/>
                      <w:sz w:val="18"/>
                      <w:szCs w:val="18"/>
                      <w:lang w:val="en-US" w:eastAsia="zh-CN"/>
                    </w:rPr>
                  </w:pPr>
                </w:p>
              </w:tc>
              <w:tc>
                <w:tcPr>
                  <w:tcW w:w="1520" w:type="dxa"/>
                  <w:tcBorders>
                    <w:tl2br w:val="nil"/>
                    <w:tr2bl w:val="nil"/>
                  </w:tcBorders>
                  <w:noWrap w:val="0"/>
                  <w:vAlign w:val="center"/>
                </w:tcPr>
                <w:p w14:paraId="51925A59">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TN</w:t>
                  </w:r>
                </w:p>
              </w:tc>
              <w:tc>
                <w:tcPr>
                  <w:tcW w:w="2395" w:type="dxa"/>
                  <w:vMerge w:val="continue"/>
                  <w:tcBorders>
                    <w:tl2br w:val="nil"/>
                    <w:tr2bl w:val="nil"/>
                  </w:tcBorders>
                  <w:noWrap w:val="0"/>
                  <w:vAlign w:val="center"/>
                </w:tcPr>
                <w:p w14:paraId="120740FF">
                  <w:pPr>
                    <w:pStyle w:val="30"/>
                    <w:rPr>
                      <w:rFonts w:hint="default" w:ascii="Times New Roman" w:hAnsi="Times New Roman" w:eastAsia="仿宋_GB2312" w:cs="Times New Roman"/>
                      <w:color w:val="auto"/>
                      <w:sz w:val="18"/>
                      <w:szCs w:val="18"/>
                    </w:rPr>
                  </w:pPr>
                </w:p>
              </w:tc>
              <w:tc>
                <w:tcPr>
                  <w:tcW w:w="1360" w:type="dxa"/>
                  <w:tcBorders>
                    <w:tl2br w:val="nil"/>
                    <w:tr2bl w:val="nil"/>
                  </w:tcBorders>
                  <w:noWrap w:val="0"/>
                  <w:vAlign w:val="center"/>
                </w:tcPr>
                <w:p w14:paraId="6C93E9AF">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70</w:t>
                  </w:r>
                </w:p>
              </w:tc>
            </w:tr>
            <w:tr w14:paraId="27CEF8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14" w:type="dxa"/>
                  <w:tcBorders>
                    <w:tl2br w:val="nil"/>
                    <w:tr2bl w:val="nil"/>
                  </w:tcBorders>
                  <w:noWrap w:val="0"/>
                  <w:vAlign w:val="center"/>
                </w:tcPr>
                <w:p w14:paraId="7207EB94">
                  <w:pPr>
                    <w:pStyle w:val="30"/>
                    <w:numPr>
                      <w:ilvl w:val="0"/>
                      <w:numId w:val="3"/>
                    </w:numPr>
                    <w:ind w:left="425" w:leftChars="0" w:hanging="425" w:firstLineChars="0"/>
                    <w:rPr>
                      <w:rFonts w:hint="default" w:ascii="Times New Roman" w:hAnsi="Times New Roman" w:eastAsia="仿宋_GB2312" w:cs="Times New Roman"/>
                      <w:color w:val="auto"/>
                      <w:sz w:val="18"/>
                      <w:szCs w:val="18"/>
                    </w:rPr>
                  </w:pPr>
                </w:p>
              </w:tc>
              <w:tc>
                <w:tcPr>
                  <w:tcW w:w="1187" w:type="dxa"/>
                  <w:vMerge w:val="continue"/>
                  <w:tcBorders>
                    <w:tl2br w:val="nil"/>
                    <w:tr2bl w:val="nil"/>
                  </w:tcBorders>
                  <w:noWrap w:val="0"/>
                  <w:vAlign w:val="center"/>
                </w:tcPr>
                <w:p w14:paraId="0AFEF0F6">
                  <w:pPr>
                    <w:pStyle w:val="30"/>
                    <w:rPr>
                      <w:rFonts w:hint="eastAsia" w:ascii="Times New Roman" w:hAnsi="Times New Roman" w:eastAsia="仿宋_GB2312" w:cs="Times New Roman"/>
                      <w:color w:val="auto"/>
                      <w:sz w:val="18"/>
                      <w:szCs w:val="18"/>
                      <w:lang w:val="en-US" w:eastAsia="zh-CN"/>
                    </w:rPr>
                  </w:pPr>
                </w:p>
              </w:tc>
              <w:tc>
                <w:tcPr>
                  <w:tcW w:w="1520" w:type="dxa"/>
                  <w:tcBorders>
                    <w:tl2br w:val="nil"/>
                    <w:tr2bl w:val="nil"/>
                  </w:tcBorders>
                  <w:noWrap w:val="0"/>
                  <w:vAlign w:val="center"/>
                </w:tcPr>
                <w:p w14:paraId="428C9DAE">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TP</w:t>
                  </w:r>
                </w:p>
              </w:tc>
              <w:tc>
                <w:tcPr>
                  <w:tcW w:w="2395" w:type="dxa"/>
                  <w:vMerge w:val="continue"/>
                  <w:tcBorders>
                    <w:tl2br w:val="nil"/>
                    <w:tr2bl w:val="nil"/>
                  </w:tcBorders>
                  <w:noWrap w:val="0"/>
                  <w:vAlign w:val="center"/>
                </w:tcPr>
                <w:p w14:paraId="4D815F31">
                  <w:pPr>
                    <w:pStyle w:val="30"/>
                    <w:rPr>
                      <w:rFonts w:hint="default" w:ascii="Times New Roman" w:hAnsi="Times New Roman" w:eastAsia="仿宋_GB2312" w:cs="Times New Roman"/>
                      <w:color w:val="auto"/>
                      <w:sz w:val="18"/>
                      <w:szCs w:val="18"/>
                    </w:rPr>
                  </w:pPr>
                </w:p>
              </w:tc>
              <w:tc>
                <w:tcPr>
                  <w:tcW w:w="1360" w:type="dxa"/>
                  <w:tcBorders>
                    <w:tl2br w:val="nil"/>
                    <w:tr2bl w:val="nil"/>
                  </w:tcBorders>
                  <w:noWrap w:val="0"/>
                  <w:vAlign w:val="center"/>
                </w:tcPr>
                <w:p w14:paraId="73A70D26">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3</w:t>
                  </w:r>
                </w:p>
              </w:tc>
            </w:tr>
          </w:tbl>
          <w:p w14:paraId="3A816AA1">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0"/>
              <w:textAlignment w:val="auto"/>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3.3.2.3 噪声</w:t>
            </w:r>
          </w:p>
          <w:p w14:paraId="40B6B8D7">
            <w:pPr>
              <w:pStyle w:val="32"/>
              <w:ind w:firstLine="480"/>
              <w:rPr>
                <w:rFonts w:hint="default" w:ascii="Times New Roman" w:hAnsi="Times New Roman" w:eastAsia="仿宋_GB2312" w:cs="Times New Roman"/>
                <w:color w:val="auto"/>
                <w:lang w:val="en-US" w:eastAsia="zh-CN"/>
              </w:rPr>
            </w:pPr>
            <w:r>
              <w:rPr>
                <w:rFonts w:hint="eastAsia" w:cs="Times New Roman"/>
                <w:color w:val="auto"/>
                <w:lang w:val="en-US" w:eastAsia="zh-CN"/>
              </w:rPr>
              <w:t>项目施工期噪声执行</w:t>
            </w:r>
            <w:r>
              <w:rPr>
                <w:rFonts w:hint="eastAsia" w:cs="Times New Roman"/>
                <w:color w:val="auto"/>
                <w:lang w:eastAsia="zh-CN"/>
              </w:rPr>
              <w:t>《</w:t>
            </w:r>
            <w:r>
              <w:rPr>
                <w:rFonts w:hint="eastAsia" w:cs="Times New Roman"/>
                <w:color w:val="auto"/>
                <w:lang w:val="en-US" w:eastAsia="zh-CN"/>
              </w:rPr>
              <w:t>建筑施工噪声排放标准</w:t>
            </w:r>
            <w:r>
              <w:rPr>
                <w:rFonts w:hint="eastAsia" w:cs="Times New Roman"/>
                <w:color w:val="auto"/>
                <w:lang w:eastAsia="zh-CN"/>
              </w:rPr>
              <w:t>》（</w:t>
            </w:r>
            <w:r>
              <w:rPr>
                <w:rFonts w:hint="eastAsia" w:cs="Times New Roman"/>
                <w:color w:val="auto"/>
                <w:lang w:val="en-US" w:eastAsia="zh-CN"/>
              </w:rPr>
              <w:t>GB 12523-2025</w:t>
            </w:r>
            <w:r>
              <w:rPr>
                <w:rFonts w:hint="eastAsia" w:cs="Times New Roman"/>
                <w:color w:val="auto"/>
                <w:lang w:eastAsia="zh-CN"/>
              </w:rPr>
              <w:t>）</w:t>
            </w:r>
            <w:r>
              <w:rPr>
                <w:rFonts w:hint="eastAsia" w:cs="Times New Roman"/>
                <w:color w:val="auto"/>
                <w:lang w:val="en-US" w:eastAsia="zh-CN"/>
              </w:rPr>
              <w:t>表1中标准限值；运营期项目噪声执行《工业企业厂界环境噪声排放标准》</w:t>
            </w:r>
            <w:r>
              <w:rPr>
                <w:rFonts w:hint="eastAsia" w:cs="Times New Roman"/>
                <w:color w:val="auto"/>
                <w:lang w:eastAsia="zh-CN"/>
              </w:rPr>
              <w:t>（</w:t>
            </w:r>
            <w:r>
              <w:rPr>
                <w:rFonts w:hint="eastAsia" w:cs="Times New Roman"/>
                <w:color w:val="auto"/>
                <w:lang w:val="en-US" w:eastAsia="zh-CN"/>
              </w:rPr>
              <w:t>GB 12348-2008</w:t>
            </w:r>
            <w:r>
              <w:rPr>
                <w:rFonts w:hint="eastAsia" w:cs="Times New Roman"/>
                <w:color w:val="auto"/>
                <w:lang w:eastAsia="zh-CN"/>
              </w:rPr>
              <w:t>）</w:t>
            </w:r>
            <w:r>
              <w:rPr>
                <w:rFonts w:hint="eastAsia" w:cs="Times New Roman"/>
                <w:color w:val="auto"/>
                <w:lang w:val="en-US" w:eastAsia="zh-CN"/>
              </w:rPr>
              <w:t>中3类标准。具体数值见下表。</w:t>
            </w:r>
          </w:p>
          <w:p w14:paraId="4D7F8C53">
            <w:pPr>
              <w:pStyle w:val="29"/>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表3</w:t>
            </w:r>
            <w:r>
              <w:rPr>
                <w:rFonts w:hint="eastAsia" w:eastAsia="仿宋_GB2312" w:cs="Times New Roman"/>
                <w:color w:val="auto"/>
                <w:sz w:val="21"/>
                <w:szCs w:val="21"/>
                <w:lang w:val="en-US" w:eastAsia="zh-CN"/>
              </w:rPr>
              <w:t>.3-7</w:t>
            </w:r>
            <w:r>
              <w:rPr>
                <w:rFonts w:hint="default" w:ascii="Times New Roman" w:hAnsi="Times New Roman" w:eastAsia="仿宋_GB2312" w:cs="Times New Roman"/>
                <w:color w:val="auto"/>
                <w:sz w:val="21"/>
                <w:szCs w:val="21"/>
              </w:rPr>
              <w:t xml:space="preserve">  建筑施工场界环境噪声排放标准  单位：dB（A）</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9"/>
              <w:gridCol w:w="1077"/>
              <w:gridCol w:w="4313"/>
            </w:tblGrid>
            <w:tr w14:paraId="0A0EFA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pct"/>
                  <w:vMerge w:val="restart"/>
                  <w:tcBorders>
                    <w:tl2br w:val="nil"/>
                    <w:tr2bl w:val="nil"/>
                  </w:tcBorders>
                  <w:noWrap w:val="0"/>
                  <w:vAlign w:val="center"/>
                </w:tcPr>
                <w:p w14:paraId="5E877CA3">
                  <w:pPr>
                    <w:pStyle w:val="30"/>
                    <w:rPr>
                      <w:rFonts w:hint="eastAsia" w:ascii="Times New Roman" w:hAnsi="Times New Roman" w:eastAsia="仿宋_GB2312" w:cs="Times New Roman"/>
                      <w:b/>
                      <w:bCs/>
                      <w:color w:val="auto"/>
                      <w:lang w:val="en-US" w:eastAsia="zh-CN"/>
                    </w:rPr>
                  </w:pPr>
                  <w:r>
                    <w:rPr>
                      <w:rFonts w:hint="eastAsia" w:ascii="Times New Roman" w:hAnsi="Times New Roman" w:eastAsia="仿宋_GB2312" w:cs="Times New Roman"/>
                      <w:b/>
                      <w:bCs/>
                      <w:color w:val="auto"/>
                      <w:lang w:val="en-US" w:eastAsia="zh-CN"/>
                    </w:rPr>
                    <w:t>施工期</w:t>
                  </w:r>
                </w:p>
              </w:tc>
              <w:tc>
                <w:tcPr>
                  <w:tcW w:w="705" w:type="pct"/>
                  <w:tcBorders>
                    <w:tl2br w:val="nil"/>
                    <w:tr2bl w:val="nil"/>
                  </w:tcBorders>
                  <w:noWrap w:val="0"/>
                  <w:vAlign w:val="center"/>
                </w:tcPr>
                <w:p w14:paraId="0FEA2977">
                  <w:pPr>
                    <w:pStyle w:val="3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昼间</w:t>
                  </w:r>
                </w:p>
              </w:tc>
              <w:tc>
                <w:tcPr>
                  <w:tcW w:w="717" w:type="pct"/>
                  <w:tcBorders>
                    <w:tl2br w:val="nil"/>
                    <w:tr2bl w:val="nil"/>
                  </w:tcBorders>
                  <w:noWrap w:val="0"/>
                  <w:vAlign w:val="center"/>
                </w:tcPr>
                <w:p w14:paraId="0F44F2A3">
                  <w:pPr>
                    <w:pStyle w:val="3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夜间</w:t>
                  </w:r>
                </w:p>
              </w:tc>
              <w:tc>
                <w:tcPr>
                  <w:tcW w:w="2872" w:type="pct"/>
                  <w:tcBorders>
                    <w:tl2br w:val="nil"/>
                    <w:tr2bl w:val="nil"/>
                  </w:tcBorders>
                  <w:noWrap w:val="0"/>
                  <w:vAlign w:val="center"/>
                </w:tcPr>
                <w:p w14:paraId="4F2CCAED">
                  <w:pPr>
                    <w:pStyle w:val="3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标准来源</w:t>
                  </w:r>
                </w:p>
              </w:tc>
            </w:tr>
            <w:tr w14:paraId="5868AB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pct"/>
                  <w:vMerge w:val="continue"/>
                  <w:tcBorders>
                    <w:tl2br w:val="nil"/>
                    <w:tr2bl w:val="nil"/>
                  </w:tcBorders>
                  <w:noWrap w:val="0"/>
                  <w:vAlign w:val="center"/>
                </w:tcPr>
                <w:p w14:paraId="006B97CA">
                  <w:pPr>
                    <w:pStyle w:val="30"/>
                    <w:rPr>
                      <w:rFonts w:hint="default" w:ascii="Times New Roman" w:hAnsi="Times New Roman" w:eastAsia="仿宋_GB2312" w:cs="Times New Roman"/>
                      <w:color w:val="auto"/>
                    </w:rPr>
                  </w:pPr>
                </w:p>
              </w:tc>
              <w:tc>
                <w:tcPr>
                  <w:tcW w:w="705" w:type="pct"/>
                  <w:tcBorders>
                    <w:tl2br w:val="nil"/>
                    <w:tr2bl w:val="nil"/>
                  </w:tcBorders>
                  <w:noWrap w:val="0"/>
                  <w:vAlign w:val="center"/>
                </w:tcPr>
                <w:p w14:paraId="7777F05D">
                  <w:pPr>
                    <w:pStyle w:val="30"/>
                    <w:rPr>
                      <w:rFonts w:hint="default" w:ascii="Times New Roman" w:hAnsi="Times New Roman" w:eastAsia="仿宋_GB2312" w:cs="Times New Roman"/>
                      <w:color w:val="auto"/>
                    </w:rPr>
                  </w:pPr>
                  <w:r>
                    <w:rPr>
                      <w:rFonts w:hint="default" w:ascii="Times New Roman" w:hAnsi="Times New Roman" w:eastAsia="仿宋_GB2312" w:cs="Times New Roman"/>
                      <w:color w:val="auto"/>
                    </w:rPr>
                    <w:t>70</w:t>
                  </w:r>
                </w:p>
              </w:tc>
              <w:tc>
                <w:tcPr>
                  <w:tcW w:w="717" w:type="pct"/>
                  <w:tcBorders>
                    <w:tl2br w:val="nil"/>
                    <w:tr2bl w:val="nil"/>
                  </w:tcBorders>
                  <w:noWrap w:val="0"/>
                  <w:vAlign w:val="center"/>
                </w:tcPr>
                <w:p w14:paraId="4EB881DA">
                  <w:pPr>
                    <w:pStyle w:val="30"/>
                    <w:rPr>
                      <w:rFonts w:hint="default" w:ascii="Times New Roman" w:hAnsi="Times New Roman" w:eastAsia="仿宋_GB2312" w:cs="Times New Roman"/>
                      <w:color w:val="auto"/>
                    </w:rPr>
                  </w:pPr>
                  <w:r>
                    <w:rPr>
                      <w:rFonts w:hint="default" w:ascii="Times New Roman" w:hAnsi="Times New Roman" w:eastAsia="仿宋_GB2312" w:cs="Times New Roman"/>
                      <w:color w:val="auto"/>
                    </w:rPr>
                    <w:t>55</w:t>
                  </w:r>
                </w:p>
              </w:tc>
              <w:tc>
                <w:tcPr>
                  <w:tcW w:w="2872" w:type="pct"/>
                  <w:tcBorders>
                    <w:tl2br w:val="nil"/>
                    <w:tr2bl w:val="nil"/>
                  </w:tcBorders>
                  <w:noWrap w:val="0"/>
                  <w:vAlign w:val="center"/>
                </w:tcPr>
                <w:p w14:paraId="3D733C95">
                  <w:pPr>
                    <w:pStyle w:val="30"/>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《建筑施工噪声排放标准》（GB12523-20</w:t>
                  </w:r>
                  <w:r>
                    <w:rPr>
                      <w:rFonts w:hint="eastAsia" w:ascii="Times New Roman" w:hAnsi="Times New Roman" w:eastAsia="仿宋_GB2312" w:cs="Times New Roman"/>
                      <w:color w:val="auto"/>
                      <w:lang w:val="en-US" w:eastAsia="zh-CN"/>
                    </w:rPr>
                    <w:t>25</w:t>
                  </w:r>
                  <w:r>
                    <w:rPr>
                      <w:rFonts w:hint="default" w:ascii="Times New Roman" w:hAnsi="Times New Roman" w:eastAsia="仿宋_GB2312" w:cs="Times New Roman"/>
                      <w:color w:val="auto"/>
                    </w:rPr>
                    <w:t>）</w:t>
                  </w:r>
                </w:p>
              </w:tc>
            </w:tr>
          </w:tbl>
          <w:p w14:paraId="560928F6">
            <w:pPr>
              <w:pStyle w:val="29"/>
              <w:keepNext w:val="0"/>
              <w:keepLines w:val="0"/>
              <w:pageBreakBefore w:val="0"/>
              <w:widowControl/>
              <w:kinsoku/>
              <w:wordWrap/>
              <w:overflowPunct/>
              <w:topLinePunct w:val="0"/>
              <w:autoSpaceDE/>
              <w:autoSpaceDN/>
              <w:bidi w:val="0"/>
              <w:adjustRightInd/>
              <w:snapToGrid/>
              <w:spacing w:before="157" w:beforeLines="5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表3</w:t>
            </w:r>
            <w:r>
              <w:rPr>
                <w:rFonts w:hint="eastAsia" w:eastAsia="仿宋_GB2312" w:cs="Times New Roman"/>
                <w:color w:val="auto"/>
                <w:sz w:val="21"/>
                <w:szCs w:val="21"/>
                <w:lang w:val="en-US" w:eastAsia="zh-CN"/>
              </w:rPr>
              <w:t>.3-8</w:t>
            </w:r>
            <w:r>
              <w:rPr>
                <w:rFonts w:hint="default" w:ascii="Times New Roman" w:hAnsi="Times New Roman" w:eastAsia="仿宋_GB2312" w:cs="Times New Roman"/>
                <w:color w:val="auto"/>
                <w:sz w:val="21"/>
                <w:szCs w:val="21"/>
              </w:rPr>
              <w:t xml:space="preserve">   </w:t>
            </w:r>
            <w:r>
              <w:rPr>
                <w:rFonts w:hint="eastAsia" w:ascii="Times New Roman" w:hAnsi="Times New Roman" w:eastAsia="仿宋_GB2312" w:cs="Times New Roman"/>
                <w:color w:val="auto"/>
                <w:sz w:val="21"/>
                <w:szCs w:val="21"/>
                <w:lang w:val="en-US" w:eastAsia="zh-CN"/>
              </w:rPr>
              <w:t>工业企业厂界环境</w:t>
            </w:r>
            <w:r>
              <w:rPr>
                <w:rFonts w:hint="default" w:ascii="Times New Roman" w:hAnsi="Times New Roman" w:eastAsia="仿宋_GB2312" w:cs="Times New Roman"/>
                <w:color w:val="auto"/>
                <w:sz w:val="21"/>
                <w:szCs w:val="21"/>
              </w:rPr>
              <w:t>噪声排放标准  单位：dB(A)</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1280"/>
              <w:gridCol w:w="1093"/>
              <w:gridCol w:w="3190"/>
            </w:tblGrid>
            <w:tr w14:paraId="3A9545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3" w:type="pct"/>
                  <w:tcBorders>
                    <w:tl2br w:val="nil"/>
                    <w:tr2bl w:val="nil"/>
                  </w:tcBorders>
                  <w:noWrap w:val="0"/>
                  <w:vAlign w:val="center"/>
                </w:tcPr>
                <w:p w14:paraId="12DDC175">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声环境功能区类别</w:t>
                  </w:r>
                </w:p>
              </w:tc>
              <w:tc>
                <w:tcPr>
                  <w:tcW w:w="852" w:type="pct"/>
                  <w:tcBorders>
                    <w:tl2br w:val="nil"/>
                    <w:tr2bl w:val="nil"/>
                  </w:tcBorders>
                  <w:noWrap w:val="0"/>
                  <w:vAlign w:val="center"/>
                </w:tcPr>
                <w:p w14:paraId="1B14C01C">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昼间</w:t>
                  </w:r>
                </w:p>
              </w:tc>
              <w:tc>
                <w:tcPr>
                  <w:tcW w:w="728" w:type="pct"/>
                  <w:tcBorders>
                    <w:tl2br w:val="nil"/>
                    <w:tr2bl w:val="nil"/>
                  </w:tcBorders>
                  <w:noWrap w:val="0"/>
                  <w:vAlign w:val="center"/>
                </w:tcPr>
                <w:p w14:paraId="642E5F03">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夜间</w:t>
                  </w:r>
                </w:p>
              </w:tc>
              <w:tc>
                <w:tcPr>
                  <w:tcW w:w="2124" w:type="pct"/>
                  <w:tcBorders>
                    <w:tl2br w:val="nil"/>
                    <w:tr2bl w:val="nil"/>
                  </w:tcBorders>
                  <w:noWrap w:val="0"/>
                  <w:vAlign w:val="center"/>
                </w:tcPr>
                <w:p w14:paraId="50AA3A8B">
                  <w:pPr>
                    <w:pStyle w:val="30"/>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标准来源</w:t>
                  </w:r>
                </w:p>
              </w:tc>
            </w:tr>
            <w:tr w14:paraId="45CC11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1293" w:type="pct"/>
                  <w:tcBorders>
                    <w:tl2br w:val="nil"/>
                    <w:tr2bl w:val="nil"/>
                  </w:tcBorders>
                  <w:noWrap w:val="0"/>
                  <w:vAlign w:val="center"/>
                </w:tcPr>
                <w:p w14:paraId="06386C88">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3类</w:t>
                  </w:r>
                </w:p>
              </w:tc>
              <w:tc>
                <w:tcPr>
                  <w:tcW w:w="852" w:type="pct"/>
                  <w:tcBorders>
                    <w:tl2br w:val="nil"/>
                    <w:tr2bl w:val="nil"/>
                  </w:tcBorders>
                  <w:noWrap w:val="0"/>
                  <w:vAlign w:val="center"/>
                </w:tcPr>
                <w:p w14:paraId="1AED173E">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65</w:t>
                  </w:r>
                </w:p>
              </w:tc>
              <w:tc>
                <w:tcPr>
                  <w:tcW w:w="728" w:type="pct"/>
                  <w:tcBorders>
                    <w:tl2br w:val="nil"/>
                    <w:tr2bl w:val="nil"/>
                  </w:tcBorders>
                  <w:noWrap w:val="0"/>
                  <w:vAlign w:val="center"/>
                </w:tcPr>
                <w:p w14:paraId="343D77F9">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55</w:t>
                  </w:r>
                </w:p>
              </w:tc>
              <w:tc>
                <w:tcPr>
                  <w:tcW w:w="2124" w:type="pct"/>
                  <w:tcBorders>
                    <w:tl2br w:val="nil"/>
                    <w:tr2bl w:val="nil"/>
                  </w:tcBorders>
                  <w:noWrap w:val="0"/>
                  <w:vAlign w:val="center"/>
                </w:tcPr>
                <w:p w14:paraId="2E1EE31F">
                  <w:pPr>
                    <w:pStyle w:val="3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《工业企业厂界环境噪声排放标准》（GB12348-2008）</w:t>
                  </w:r>
                </w:p>
              </w:tc>
            </w:tr>
          </w:tbl>
          <w:p w14:paraId="334587B6">
            <w:pPr>
              <w:pStyle w:val="32"/>
              <w:keepNext w:val="0"/>
              <w:keepLines w:val="0"/>
              <w:pageBreakBefore w:val="0"/>
              <w:widowControl w:val="0"/>
              <w:kinsoku/>
              <w:wordWrap/>
              <w:overflowPunct/>
              <w:topLinePunct w:val="0"/>
              <w:autoSpaceDE w:val="0"/>
              <w:autoSpaceDN w:val="0"/>
              <w:bidi w:val="0"/>
              <w:adjustRightInd w:val="0"/>
              <w:snapToGrid w:val="0"/>
              <w:spacing w:before="157" w:beforeLines="50"/>
              <w:ind w:firstLine="482"/>
              <w:textAlignment w:val="auto"/>
              <w:rPr>
                <w:rFonts w:hint="default" w:ascii="Times New Roman" w:hAnsi="Times New Roman" w:eastAsia="仿宋_GB2312" w:cs="Times New Roman"/>
                <w:b/>
                <w:bCs/>
                <w:color w:val="auto"/>
              </w:rPr>
            </w:pPr>
            <w:r>
              <w:rPr>
                <w:rFonts w:hint="eastAsia" w:cs="Times New Roman"/>
                <w:b/>
                <w:bCs/>
                <w:color w:val="auto"/>
                <w:lang w:val="en-US" w:eastAsia="zh-CN"/>
              </w:rPr>
              <w:t xml:space="preserve">3.3.2.4 </w:t>
            </w:r>
            <w:r>
              <w:rPr>
                <w:rFonts w:hint="default" w:ascii="Times New Roman" w:hAnsi="Times New Roman" w:eastAsia="仿宋_GB2312" w:cs="Times New Roman"/>
                <w:b/>
                <w:bCs/>
                <w:color w:val="auto"/>
              </w:rPr>
              <w:t>固体废物</w:t>
            </w:r>
          </w:p>
          <w:p w14:paraId="3232F020">
            <w:pPr>
              <w:pStyle w:val="32"/>
              <w:ind w:firstLine="480"/>
              <w:rPr>
                <w:rFonts w:hint="default" w:ascii="Times New Roman" w:hAnsi="Times New Roman" w:eastAsia="仿宋_GB2312" w:cs="Times New Roman"/>
                <w:color w:val="auto"/>
              </w:rPr>
            </w:pPr>
            <w:bookmarkStart w:id="9" w:name="_Hlk138665361"/>
            <w:r>
              <w:rPr>
                <w:rFonts w:hint="default" w:ascii="Times New Roman" w:hAnsi="Times New Roman" w:eastAsia="仿宋_GB2312" w:cs="Times New Roman"/>
                <w:color w:val="auto"/>
              </w:rPr>
              <w:t>一般工业固废暂存场所执行</w:t>
            </w:r>
            <w:bookmarkStart w:id="10" w:name="_Hlk136956511"/>
            <w:r>
              <w:rPr>
                <w:rFonts w:hint="default" w:ascii="Times New Roman" w:hAnsi="Times New Roman" w:eastAsia="仿宋_GB2312" w:cs="Times New Roman"/>
                <w:color w:val="auto"/>
              </w:rPr>
              <w:t>《一般工业固体废物贮存和填埋污染控制标准》（GB18599-2020）相关要求</w:t>
            </w:r>
            <w:bookmarkEnd w:id="10"/>
            <w:r>
              <w:rPr>
                <w:rFonts w:hint="default" w:ascii="Times New Roman" w:hAnsi="Times New Roman" w:eastAsia="仿宋_GB2312" w:cs="Times New Roman"/>
                <w:color w:val="auto"/>
              </w:rPr>
              <w:t>。危险废物暂存场所执行《危险废物贮存污染控制标准》（GB18597-2023）相关要求。</w:t>
            </w:r>
            <w:bookmarkEnd w:id="9"/>
          </w:p>
        </w:tc>
      </w:tr>
    </w:tbl>
    <w:p w14:paraId="03D51A2B">
      <w:pPr>
        <w:pStyle w:val="28"/>
        <w:spacing w:before="24" w:after="24"/>
        <w:rPr>
          <w:rFonts w:hint="default" w:ascii="Times New Roman" w:hAnsi="Times New Roman" w:eastAsia="仿宋_GB2312" w:cs="Times New Roman"/>
          <w:snapToGrid w:val="0"/>
        </w:rPr>
      </w:pPr>
      <w:bookmarkStart w:id="11" w:name="_Toc1493"/>
      <w:r>
        <w:rPr>
          <w:rStyle w:val="18"/>
          <w:rFonts w:hint="default" w:ascii="Times New Roman" w:hAnsi="Times New Roman" w:eastAsia="仿宋_GB2312" w:cs="Times New Roman"/>
          <w:bCs w:val="0"/>
        </w:rPr>
        <w:t>四、生态环境影响分析</w:t>
      </w:r>
      <w:bookmarkEnd w:id="11"/>
    </w:p>
    <w:tbl>
      <w:tblPr>
        <w:tblStyle w:val="1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7638"/>
      </w:tblGrid>
      <w:tr w14:paraId="2500B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4" w:hRule="atLeast"/>
          <w:jc w:val="center"/>
        </w:trPr>
        <w:tc>
          <w:tcPr>
            <w:tcW w:w="475" w:type="pct"/>
            <w:noWrap w:val="0"/>
            <w:tcMar>
              <w:left w:w="28" w:type="dxa"/>
              <w:right w:w="28" w:type="dxa"/>
            </w:tcMar>
            <w:vAlign w:val="center"/>
          </w:tcPr>
          <w:p w14:paraId="7B202505">
            <w:pPr>
              <w:pStyle w:val="34"/>
              <w:rPr>
                <w:rFonts w:hint="default" w:ascii="Times New Roman" w:hAnsi="Times New Roman" w:eastAsia="仿宋_GB2312" w:cs="Times New Roman"/>
                <w:color w:val="auto"/>
              </w:rPr>
            </w:pPr>
            <w:bookmarkStart w:id="12" w:name="_Hlk49796138"/>
            <w:r>
              <w:rPr>
                <w:rFonts w:hint="default" w:ascii="Times New Roman" w:hAnsi="Times New Roman" w:eastAsia="仿宋_GB2312" w:cs="Times New Roman"/>
                <w:color w:val="auto"/>
              </w:rPr>
              <w:t>施工期生态环境影响分析</w:t>
            </w:r>
            <w:bookmarkEnd w:id="12"/>
          </w:p>
        </w:tc>
        <w:tc>
          <w:tcPr>
            <w:tcW w:w="4524" w:type="pct"/>
            <w:noWrap w:val="0"/>
            <w:vAlign w:val="top"/>
          </w:tcPr>
          <w:p w14:paraId="40A03F88">
            <w:pPr>
              <w:pStyle w:val="42"/>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4.1.1 施工期生态环境影响分析</w:t>
            </w:r>
          </w:p>
          <w:p w14:paraId="1A7EF8D3">
            <w:pPr>
              <w:pStyle w:val="42"/>
              <w:rPr>
                <w:rFonts w:hint="eastAsia" w:cs="Times New Roman"/>
                <w:b/>
                <w:bCs/>
                <w:color w:val="auto"/>
                <w:lang w:eastAsia="zh-CN"/>
              </w:rPr>
            </w:pPr>
            <w:r>
              <w:rPr>
                <w:rFonts w:hint="eastAsia" w:cs="Times New Roman"/>
                <w:b/>
                <w:bCs/>
                <w:color w:val="auto"/>
                <w:lang w:eastAsia="zh-CN"/>
              </w:rPr>
              <w:t>4.1.1.1</w:t>
            </w:r>
            <w:r>
              <w:rPr>
                <w:rFonts w:hint="eastAsia" w:cs="Times New Roman"/>
                <w:b/>
                <w:bCs/>
                <w:color w:val="auto"/>
                <w:lang w:val="en-US" w:eastAsia="zh-CN"/>
              </w:rPr>
              <w:t xml:space="preserve"> </w:t>
            </w:r>
            <w:r>
              <w:rPr>
                <w:rFonts w:hint="eastAsia" w:cs="Times New Roman"/>
                <w:b/>
                <w:bCs/>
                <w:color w:val="auto"/>
                <w:lang w:eastAsia="zh-CN"/>
              </w:rPr>
              <w:t>对土地利用的影响</w:t>
            </w:r>
          </w:p>
          <w:p w14:paraId="01F9446F">
            <w:pPr>
              <w:pStyle w:val="42"/>
              <w:rPr>
                <w:rFonts w:hint="eastAsia" w:cs="Times New Roman"/>
                <w:color w:val="auto"/>
                <w:lang w:eastAsia="zh-CN"/>
              </w:rPr>
            </w:pPr>
            <w:r>
              <w:rPr>
                <w:rFonts w:hint="eastAsia" w:cs="Times New Roman"/>
                <w:color w:val="auto"/>
                <w:lang w:eastAsia="zh-CN"/>
              </w:rPr>
              <w:t>本项目不设置施工营地，临时办公用房和管材堆放场等临时用地设置在</w:t>
            </w:r>
            <w:r>
              <w:rPr>
                <w:rFonts w:hint="eastAsia" w:cs="Times New Roman"/>
                <w:color w:val="auto"/>
                <w:lang w:val="en-US" w:eastAsia="zh-CN"/>
              </w:rPr>
              <w:t>润土公司</w:t>
            </w:r>
            <w:r>
              <w:rPr>
                <w:rFonts w:hint="eastAsia" w:cs="Times New Roman"/>
                <w:color w:val="auto"/>
                <w:lang w:eastAsia="zh-CN"/>
              </w:rPr>
              <w:t>厂区内，仅在沿线对管道进行焊接防腐工作后进行管道敷设。施工过程主要由吊车并配合人工将管道放至相应位置，吊车在园区道路上停放，</w:t>
            </w:r>
            <w:r>
              <w:rPr>
                <w:rFonts w:hint="eastAsia" w:cs="Times New Roman"/>
                <w:color w:val="auto"/>
                <w:lang w:val="en-US" w:eastAsia="zh-CN"/>
              </w:rPr>
              <w:t>并且</w:t>
            </w:r>
            <w:r>
              <w:rPr>
                <w:rFonts w:hint="eastAsia" w:cs="Times New Roman"/>
                <w:color w:val="auto"/>
                <w:lang w:eastAsia="zh-CN"/>
              </w:rPr>
              <w:t>施工结束后</w:t>
            </w:r>
            <w:r>
              <w:rPr>
                <w:rFonts w:hint="eastAsia" w:cs="Times New Roman"/>
                <w:color w:val="auto"/>
                <w:lang w:val="en-US" w:eastAsia="zh-CN"/>
              </w:rPr>
              <w:t>也</w:t>
            </w:r>
            <w:r>
              <w:rPr>
                <w:rFonts w:hint="eastAsia" w:cs="Times New Roman"/>
                <w:color w:val="auto"/>
                <w:lang w:eastAsia="zh-CN"/>
              </w:rPr>
              <w:t>不</w:t>
            </w:r>
            <w:r>
              <w:rPr>
                <w:rFonts w:hint="eastAsia" w:cs="Times New Roman"/>
                <w:color w:val="auto"/>
                <w:lang w:val="en-US" w:eastAsia="zh-CN"/>
              </w:rPr>
              <w:t>会</w:t>
            </w:r>
            <w:r>
              <w:rPr>
                <w:rFonts w:hint="eastAsia" w:cs="Times New Roman"/>
                <w:color w:val="auto"/>
                <w:lang w:eastAsia="zh-CN"/>
              </w:rPr>
              <w:t>对土地利用产生不利影响。因此，本项目施工期不会改变区域土地利用类型。</w:t>
            </w:r>
          </w:p>
          <w:p w14:paraId="347919CE">
            <w:pPr>
              <w:pStyle w:val="42"/>
              <w:rPr>
                <w:rFonts w:hint="eastAsia" w:cs="Times New Roman"/>
                <w:b/>
                <w:bCs/>
                <w:color w:val="auto"/>
                <w:lang w:eastAsia="zh-CN"/>
              </w:rPr>
            </w:pPr>
            <w:r>
              <w:rPr>
                <w:rFonts w:hint="eastAsia" w:cs="Times New Roman"/>
                <w:b/>
                <w:bCs/>
                <w:color w:val="auto"/>
                <w:lang w:eastAsia="zh-CN"/>
              </w:rPr>
              <w:t>4.1.1.2</w:t>
            </w:r>
            <w:r>
              <w:rPr>
                <w:rFonts w:hint="eastAsia" w:cs="Times New Roman"/>
                <w:b/>
                <w:bCs/>
                <w:color w:val="auto"/>
                <w:lang w:val="en-US" w:eastAsia="zh-CN"/>
              </w:rPr>
              <w:t xml:space="preserve"> </w:t>
            </w:r>
            <w:r>
              <w:rPr>
                <w:rFonts w:hint="eastAsia" w:cs="Times New Roman"/>
                <w:b/>
                <w:bCs/>
                <w:color w:val="auto"/>
                <w:lang w:eastAsia="zh-CN"/>
              </w:rPr>
              <w:t>对沿线植被的影响</w:t>
            </w:r>
          </w:p>
          <w:p w14:paraId="54D4E240">
            <w:pPr>
              <w:pStyle w:val="42"/>
              <w:rPr>
                <w:rFonts w:hint="eastAsia" w:cs="Times New Roman"/>
                <w:color w:val="auto"/>
                <w:lang w:eastAsia="zh-CN"/>
              </w:rPr>
            </w:pPr>
            <w:r>
              <w:rPr>
                <w:rFonts w:hint="eastAsia" w:cs="Times New Roman"/>
                <w:color w:val="auto"/>
                <w:lang w:eastAsia="zh-CN"/>
              </w:rPr>
              <w:t>施工期</w:t>
            </w:r>
            <w:r>
              <w:rPr>
                <w:rFonts w:hint="eastAsia" w:cs="Times New Roman"/>
                <w:color w:val="auto"/>
                <w:lang w:val="en-US" w:eastAsia="zh-CN"/>
              </w:rPr>
              <w:t>间</w:t>
            </w:r>
            <w:r>
              <w:rPr>
                <w:rFonts w:hint="eastAsia" w:cs="Times New Roman"/>
                <w:color w:val="auto"/>
                <w:lang w:eastAsia="zh-CN"/>
              </w:rPr>
              <w:t>对植被有一定影响。本项目施工作业带范围内以人工种植的行道树为主，无国家、地方保护类野生植物和古树名木。施工结束后，项目将及时对绿化树种进行补种，恢复标准不低于施工前绿化标准。因此，项目施工期对沿线植被无明显影响。</w:t>
            </w:r>
          </w:p>
          <w:p w14:paraId="0F00FD0A">
            <w:pPr>
              <w:pStyle w:val="42"/>
              <w:rPr>
                <w:rFonts w:hint="eastAsia" w:cs="Times New Roman"/>
                <w:b/>
                <w:bCs/>
                <w:color w:val="auto"/>
                <w:lang w:eastAsia="zh-CN"/>
              </w:rPr>
            </w:pPr>
            <w:r>
              <w:rPr>
                <w:rFonts w:hint="eastAsia" w:cs="Times New Roman"/>
                <w:b/>
                <w:bCs/>
                <w:color w:val="auto"/>
                <w:lang w:eastAsia="zh-CN"/>
              </w:rPr>
              <w:t>4.1.1.3</w:t>
            </w:r>
            <w:r>
              <w:rPr>
                <w:rFonts w:hint="eastAsia" w:cs="Times New Roman"/>
                <w:b/>
                <w:bCs/>
                <w:color w:val="auto"/>
                <w:lang w:val="en-US" w:eastAsia="zh-CN"/>
              </w:rPr>
              <w:t xml:space="preserve"> </w:t>
            </w:r>
            <w:r>
              <w:rPr>
                <w:rFonts w:hint="eastAsia" w:cs="Times New Roman"/>
                <w:b/>
                <w:bCs/>
                <w:color w:val="auto"/>
                <w:lang w:eastAsia="zh-CN"/>
              </w:rPr>
              <w:t>对动物的影响</w:t>
            </w:r>
          </w:p>
          <w:p w14:paraId="757FA06C">
            <w:pPr>
              <w:pStyle w:val="42"/>
              <w:rPr>
                <w:rFonts w:hint="eastAsia" w:cs="Times New Roman"/>
                <w:color w:val="auto"/>
                <w:lang w:eastAsia="zh-CN"/>
              </w:rPr>
            </w:pPr>
            <w:r>
              <w:rPr>
                <w:rFonts w:hint="eastAsia" w:cs="Times New Roman"/>
                <w:color w:val="auto"/>
                <w:lang w:eastAsia="zh-CN"/>
              </w:rPr>
              <w:t>项目处于工业园区，人类活动频繁，施工区域不涉及兽类生境，鸟类以常见种和广布种为主，无国家、地方保护类野生动物分布。施工过程中产生的</w:t>
            </w:r>
            <w:r>
              <w:rPr>
                <w:rFonts w:hint="eastAsia" w:cs="Times New Roman"/>
                <w:color w:val="auto"/>
                <w:lang w:val="en-US" w:eastAsia="zh-CN"/>
              </w:rPr>
              <w:t>噪声</w:t>
            </w:r>
            <w:r>
              <w:rPr>
                <w:rFonts w:hint="eastAsia" w:cs="Times New Roman"/>
                <w:color w:val="auto"/>
                <w:lang w:eastAsia="zh-CN"/>
              </w:rPr>
              <w:t>、粉尘等环境污染对鸟类分布有一定影响。由于鸟类具有迁移性，且项目沿线区域生境较为一致，可供鸟类选择的环境多样，因此，施工期鸟类可寻找其他合适的生存空间，短期内施工扰动不会对鸟类的栖息产生较大影响。总体上，项目施工期对沿线动物影响较小。</w:t>
            </w:r>
          </w:p>
          <w:p w14:paraId="4191B8DB">
            <w:pPr>
              <w:pStyle w:val="42"/>
              <w:rPr>
                <w:rFonts w:hint="eastAsia" w:cs="Times New Roman"/>
                <w:b/>
                <w:bCs/>
                <w:color w:val="auto"/>
                <w:lang w:eastAsia="zh-CN"/>
              </w:rPr>
            </w:pPr>
            <w:r>
              <w:rPr>
                <w:rFonts w:hint="eastAsia" w:cs="Times New Roman"/>
                <w:b/>
                <w:bCs/>
                <w:color w:val="auto"/>
                <w:lang w:eastAsia="zh-CN"/>
              </w:rPr>
              <w:t>4.1.1.4</w:t>
            </w:r>
            <w:r>
              <w:rPr>
                <w:rFonts w:hint="eastAsia" w:cs="Times New Roman"/>
                <w:b/>
                <w:bCs/>
                <w:color w:val="auto"/>
                <w:lang w:val="en-US" w:eastAsia="zh-CN"/>
              </w:rPr>
              <w:t xml:space="preserve"> </w:t>
            </w:r>
            <w:r>
              <w:rPr>
                <w:rFonts w:hint="eastAsia" w:cs="Times New Roman"/>
                <w:b/>
                <w:bCs/>
                <w:color w:val="auto"/>
                <w:lang w:eastAsia="zh-CN"/>
              </w:rPr>
              <w:t>对陆域生态影响分析</w:t>
            </w:r>
          </w:p>
          <w:p w14:paraId="1836853A">
            <w:pPr>
              <w:pStyle w:val="42"/>
              <w:rPr>
                <w:rFonts w:hint="eastAsia" w:cs="Times New Roman"/>
                <w:color w:val="auto"/>
                <w:lang w:eastAsia="zh-CN"/>
              </w:rPr>
            </w:pPr>
            <w:r>
              <w:rPr>
                <w:rFonts w:hint="eastAsia" w:cs="Times New Roman"/>
                <w:color w:val="auto"/>
                <w:lang w:eastAsia="zh-CN"/>
              </w:rPr>
              <w:t>本项目位于安徽（淮北）新型煤化工合成新材料基地，占地为</w:t>
            </w:r>
            <w:r>
              <w:rPr>
                <w:rFonts w:hint="eastAsia" w:cs="Times New Roman"/>
                <w:color w:val="auto"/>
                <w:lang w:val="en-US" w:eastAsia="zh-CN"/>
              </w:rPr>
              <w:t>园区</w:t>
            </w:r>
            <w:r>
              <w:rPr>
                <w:rFonts w:hint="eastAsia" w:cs="Times New Roman"/>
                <w:color w:val="auto"/>
                <w:lang w:eastAsia="zh-CN"/>
              </w:rPr>
              <w:t>内工业用地及部分绿化用地。项目影响范围内现有植被多以人工林和灌木丛为主，动物多样性贫乏，无大型野生动物分布，野生动物资源主要为昆虫类、鼠类、蛇类等适应人类活动的种类。本项目评价范围内未发现国家重点保护动物和省级保护动物。</w:t>
            </w:r>
          </w:p>
          <w:p w14:paraId="48D59D2E">
            <w:pPr>
              <w:pStyle w:val="42"/>
              <w:rPr>
                <w:rFonts w:hint="eastAsia" w:cs="Times New Roman"/>
                <w:color w:val="auto"/>
                <w:lang w:eastAsia="zh-CN"/>
              </w:rPr>
            </w:pPr>
            <w:r>
              <w:rPr>
                <w:rFonts w:hint="eastAsia" w:cs="Times New Roman"/>
                <w:color w:val="auto"/>
                <w:lang w:eastAsia="zh-CN"/>
              </w:rPr>
              <w:t>项目施工过程产生的固体废物主要包括废弃包装材料以及施工人员生活垃圾，委托专业单位回收利用或处置，生活垃圾由环卫部门清运处理，固体废物零排放。因此，本项目施工期对周边陆域生态影响较小。</w:t>
            </w:r>
          </w:p>
          <w:p w14:paraId="1E8976FC">
            <w:pPr>
              <w:pStyle w:val="42"/>
              <w:rPr>
                <w:rFonts w:hint="default" w:cs="Times New Roman"/>
                <w:b/>
                <w:bCs/>
                <w:color w:val="auto"/>
                <w:lang w:val="en-US" w:eastAsia="zh-CN"/>
              </w:rPr>
            </w:pPr>
            <w:r>
              <w:rPr>
                <w:rFonts w:hint="eastAsia" w:cs="Times New Roman"/>
                <w:b/>
                <w:bCs/>
                <w:color w:val="auto"/>
                <w:lang w:val="en-US" w:eastAsia="zh-CN"/>
              </w:rPr>
              <w:t>4.1.2 施工期废气影响分析</w:t>
            </w:r>
          </w:p>
          <w:p w14:paraId="51DB6B72">
            <w:pPr>
              <w:pStyle w:val="42"/>
              <w:rPr>
                <w:rFonts w:hint="default" w:cs="Times New Roman"/>
                <w:color w:val="auto"/>
                <w:lang w:val="en-US" w:eastAsia="zh-CN"/>
              </w:rPr>
            </w:pPr>
            <w:r>
              <w:rPr>
                <w:rFonts w:hint="eastAsia" w:cs="Times New Roman"/>
                <w:color w:val="auto"/>
                <w:lang w:val="en-US" w:eastAsia="zh-CN"/>
              </w:rPr>
              <w:t>本项目施工期的废气主要为施工扬尘、焊接烟尘、焊缝涂漆废气、燃油机械尾气和吹扫废气等。</w:t>
            </w:r>
          </w:p>
          <w:p w14:paraId="6835384B">
            <w:pPr>
              <w:pStyle w:val="42"/>
              <w:rPr>
                <w:rFonts w:hint="eastAsia" w:cs="Times New Roman"/>
                <w:color w:val="auto"/>
                <w:lang w:eastAsia="zh-CN"/>
              </w:rPr>
            </w:pPr>
            <w:r>
              <w:rPr>
                <w:rFonts w:hint="eastAsia" w:cs="Times New Roman"/>
                <w:color w:val="auto"/>
                <w:lang w:eastAsia="zh-CN"/>
              </w:rPr>
              <w:t>（1）施工扬尘</w:t>
            </w:r>
          </w:p>
          <w:p w14:paraId="32DD00DD">
            <w:pPr>
              <w:pStyle w:val="42"/>
              <w:rPr>
                <w:rFonts w:hint="eastAsia" w:cs="Times New Roman"/>
                <w:color w:val="auto"/>
                <w:lang w:eastAsia="zh-CN"/>
              </w:rPr>
            </w:pPr>
            <w:r>
              <w:rPr>
                <w:rFonts w:hint="eastAsia" w:cs="Times New Roman"/>
                <w:color w:val="auto"/>
                <w:lang w:eastAsia="zh-CN"/>
              </w:rPr>
              <w:t>项目施工扬尘主要来自运输车辆。项目不涉及粉状物料运输，运输扬尘主要与车辆行驶速度、风速、路面积尘量和路面积尘湿度等有关。车速越大，扬尘量越大；同样车速下，路面越脏，扬尘量越大。根据施工期路面洒水抑尘试验结果，在降低车辆行驶速度，同时对道路进行洒水抑尘的条件下，运输扬尘污染距离可缩小至20-50m范围。</w:t>
            </w:r>
          </w:p>
          <w:p w14:paraId="3AFE0470">
            <w:pPr>
              <w:pStyle w:val="42"/>
              <w:rPr>
                <w:rFonts w:hint="eastAsia" w:cs="Times New Roman"/>
                <w:color w:val="auto"/>
                <w:lang w:eastAsia="zh-CN"/>
              </w:rPr>
            </w:pPr>
            <w:r>
              <w:rPr>
                <w:rFonts w:hint="eastAsia" w:cs="Times New Roman"/>
                <w:color w:val="auto"/>
                <w:lang w:eastAsia="zh-CN"/>
              </w:rPr>
              <w:t>（2）焊接烟尘</w:t>
            </w:r>
          </w:p>
          <w:p w14:paraId="22D2C9F2">
            <w:pPr>
              <w:pStyle w:val="42"/>
              <w:rPr>
                <w:rFonts w:hint="eastAsia" w:cs="Times New Roman"/>
                <w:color w:val="auto"/>
                <w:lang w:eastAsia="zh-CN"/>
              </w:rPr>
            </w:pPr>
            <w:r>
              <w:rPr>
                <w:rFonts w:hint="eastAsia" w:cs="Times New Roman"/>
                <w:color w:val="auto"/>
                <w:lang w:eastAsia="zh-CN"/>
              </w:rPr>
              <w:t>本项目管道采用国内应用技术较成熟的半自动焊工艺进行焊接，焊接过程中产生少量焊接烟尘，焊接烟尘排放具有分散、间断排放的特点。根据类比资料，管道焊接每公里消耗约</w:t>
            </w:r>
            <w:r>
              <w:rPr>
                <w:rFonts w:hint="eastAsia" w:cs="Times New Roman"/>
                <w:color w:val="auto"/>
                <w:lang w:val="en-US" w:eastAsia="zh-CN"/>
              </w:rPr>
              <w:t>150</w:t>
            </w:r>
            <w:r>
              <w:rPr>
                <w:rFonts w:hint="eastAsia" w:cs="Times New Roman"/>
                <w:color w:val="auto"/>
                <w:lang w:eastAsia="zh-CN"/>
              </w:rPr>
              <w:t>kg焊条，每公斤焊条产生的焊接烟尘约8g，项目管道全长</w:t>
            </w:r>
            <w:r>
              <w:rPr>
                <w:rFonts w:hint="eastAsia" w:cs="Times New Roman"/>
                <w:color w:val="auto"/>
                <w:lang w:val="en-US" w:eastAsia="zh-CN"/>
              </w:rPr>
              <w:t>676.3</w:t>
            </w:r>
            <w:r>
              <w:rPr>
                <w:rFonts w:hint="eastAsia" w:cs="Times New Roman"/>
                <w:color w:val="auto"/>
                <w:lang w:eastAsia="zh-CN"/>
              </w:rPr>
              <w:t>m，则焊接烟尘总产生量为</w:t>
            </w:r>
            <w:r>
              <w:rPr>
                <w:rFonts w:hint="eastAsia" w:cs="Times New Roman"/>
                <w:color w:val="auto"/>
                <w:lang w:val="en-US" w:eastAsia="zh-CN"/>
              </w:rPr>
              <w:t>0.81</w:t>
            </w:r>
            <w:r>
              <w:rPr>
                <w:rFonts w:hint="eastAsia" w:cs="Times New Roman"/>
                <w:color w:val="auto"/>
                <w:lang w:eastAsia="zh-CN"/>
              </w:rPr>
              <w:t>kg。</w:t>
            </w:r>
          </w:p>
          <w:p w14:paraId="5871555C">
            <w:pPr>
              <w:pStyle w:val="42"/>
              <w:rPr>
                <w:rFonts w:hint="eastAsia" w:cs="Times New Roman"/>
                <w:color w:val="auto"/>
                <w:lang w:eastAsia="zh-CN"/>
              </w:rPr>
            </w:pPr>
            <w:r>
              <w:rPr>
                <w:rFonts w:hint="eastAsia" w:cs="Times New Roman"/>
                <w:color w:val="auto"/>
                <w:lang w:eastAsia="zh-CN"/>
              </w:rPr>
              <w:t>（3）焊缝</w:t>
            </w:r>
            <w:r>
              <w:rPr>
                <w:rFonts w:hint="eastAsia" w:cs="Times New Roman"/>
                <w:color w:val="auto"/>
                <w:lang w:val="en-US" w:eastAsia="zh-CN"/>
              </w:rPr>
              <w:t>涂漆</w:t>
            </w:r>
            <w:r>
              <w:rPr>
                <w:rFonts w:hint="eastAsia" w:cs="Times New Roman"/>
                <w:color w:val="auto"/>
                <w:lang w:eastAsia="zh-CN"/>
              </w:rPr>
              <w:t>废气</w:t>
            </w:r>
          </w:p>
          <w:p w14:paraId="1975C686">
            <w:pPr>
              <w:pStyle w:val="42"/>
              <w:rPr>
                <w:rFonts w:hint="eastAsia" w:cs="Times New Roman"/>
                <w:color w:val="auto"/>
                <w:lang w:eastAsia="zh-CN"/>
              </w:rPr>
            </w:pPr>
            <w:r>
              <w:rPr>
                <w:rFonts w:hint="eastAsia" w:cs="Times New Roman"/>
                <w:color w:val="auto"/>
                <w:lang w:eastAsia="zh-CN"/>
              </w:rPr>
              <w:t>项目施工期拟采用环氧粉末聚乙烯复合涂层，该涂料组成见下表。</w:t>
            </w:r>
          </w:p>
          <w:p w14:paraId="2812697D">
            <w:pPr>
              <w:pStyle w:val="29"/>
              <w:rPr>
                <w:rFonts w:hint="eastAsia" w:cs="Times New Roman"/>
                <w:color w:val="auto"/>
                <w:lang w:eastAsia="zh-CN"/>
              </w:rPr>
            </w:pPr>
            <w:r>
              <w:rPr>
                <w:rFonts w:hint="default" w:ascii="Times New Roman" w:hAnsi="Times New Roman" w:eastAsia="仿宋_GB2312" w:cs="Times New Roman"/>
                <w:color w:val="auto"/>
                <w:lang w:val="zh-CN"/>
              </w:rPr>
              <w:t>表</w:t>
            </w:r>
            <w:r>
              <w:rPr>
                <w:rFonts w:hint="eastAsia" w:ascii="Times New Roman" w:hAnsi="Times New Roman" w:eastAsia="仿宋_GB2312" w:cs="Times New Roman"/>
                <w:color w:val="auto"/>
                <w:lang w:val="en-US" w:eastAsia="zh-CN"/>
              </w:rPr>
              <w:t>4.1</w:t>
            </w:r>
            <w:r>
              <w:rPr>
                <w:rFonts w:hint="default" w:ascii="Times New Roman" w:hAnsi="Times New Roman" w:eastAsia="仿宋_GB2312" w:cs="Times New Roman"/>
                <w:color w:val="auto"/>
                <w:lang w:val="zh-CN"/>
              </w:rPr>
              <w:t>-</w:t>
            </w:r>
            <w:r>
              <w:rPr>
                <w:rFonts w:hint="eastAsia" w:ascii="Times New Roman" w:hAnsi="Times New Roman" w:eastAsia="仿宋_GB2312" w:cs="Times New Roman"/>
                <w:color w:val="auto"/>
                <w:lang w:val="en-US" w:eastAsia="zh-CN"/>
              </w:rPr>
              <w:t>1</w:t>
            </w:r>
            <w:r>
              <w:rPr>
                <w:rFonts w:hint="default" w:ascii="Times New Roman" w:hAnsi="Times New Roman" w:eastAsia="仿宋_GB2312" w:cs="Times New Roman"/>
                <w:color w:val="auto"/>
                <w:lang w:val="zh-CN"/>
              </w:rPr>
              <w:t xml:space="preserve"> </w:t>
            </w:r>
            <w:r>
              <w:rPr>
                <w:rFonts w:hint="eastAsia" w:ascii="Times New Roman" w:hAnsi="Times New Roman" w:eastAsia="仿宋_GB2312" w:cs="Times New Roman"/>
                <w:color w:val="auto"/>
                <w:lang w:val="en-US" w:eastAsia="zh-CN"/>
              </w:rPr>
              <w:t>项目施工期粉末涂料组分一览表</w:t>
            </w:r>
          </w:p>
          <w:tbl>
            <w:tblPr>
              <w:tblStyle w:val="14"/>
              <w:tblW w:w="4995" w:type="pct"/>
              <w:tblInd w:w="6"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81"/>
              <w:gridCol w:w="2620"/>
              <w:gridCol w:w="1178"/>
              <w:gridCol w:w="1622"/>
              <w:gridCol w:w="614"/>
            </w:tblGrid>
            <w:tr w14:paraId="579D17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931" w:type="pct"/>
                  <w:tcBorders>
                    <w:tl2br w:val="nil"/>
                    <w:tr2bl w:val="nil"/>
                  </w:tcBorders>
                  <w:shd w:val="clear" w:color="auto" w:fill="auto"/>
                  <w:vAlign w:val="center"/>
                </w:tcPr>
                <w:p w14:paraId="560473B4">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喷涂粉末</w:t>
                  </w:r>
                </w:p>
              </w:tc>
              <w:tc>
                <w:tcPr>
                  <w:tcW w:w="1766" w:type="pct"/>
                  <w:tcBorders>
                    <w:tl2br w:val="nil"/>
                    <w:tr2bl w:val="nil"/>
                  </w:tcBorders>
                  <w:shd w:val="clear" w:color="auto" w:fill="auto"/>
                  <w:vAlign w:val="center"/>
                </w:tcPr>
                <w:p w14:paraId="1B9B226C">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成分组成</w:t>
                  </w:r>
                </w:p>
              </w:tc>
              <w:tc>
                <w:tcPr>
                  <w:tcW w:w="794" w:type="pct"/>
                  <w:tcBorders>
                    <w:tl2br w:val="nil"/>
                    <w:tr2bl w:val="nil"/>
                  </w:tcBorders>
                  <w:shd w:val="clear" w:color="auto" w:fill="auto"/>
                  <w:vAlign w:val="center"/>
                </w:tcPr>
                <w:p w14:paraId="44F60573">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eastAsia" w:ascii="Times New Roman" w:hAnsi="Times New Roman" w:cs="Times New Roman"/>
                      <w:b/>
                      <w:bCs/>
                      <w:color w:val="auto"/>
                      <w:sz w:val="18"/>
                      <w:szCs w:val="18"/>
                      <w:lang w:val="en-US" w:eastAsia="zh-CN"/>
                    </w:rPr>
                    <w:t>挥发分</w:t>
                  </w:r>
                  <w:r>
                    <w:rPr>
                      <w:rFonts w:hint="default" w:ascii="Times New Roman" w:hAnsi="Times New Roman" w:eastAsia="仿宋_GB2312" w:cs="Times New Roman"/>
                      <w:b/>
                      <w:bCs/>
                      <w:color w:val="auto"/>
                      <w:sz w:val="18"/>
                      <w:szCs w:val="18"/>
                    </w:rPr>
                    <w:t>含量</w:t>
                  </w:r>
                </w:p>
              </w:tc>
              <w:tc>
                <w:tcPr>
                  <w:tcW w:w="1093" w:type="pct"/>
                  <w:tcBorders>
                    <w:tl2br w:val="nil"/>
                    <w:tr2bl w:val="nil"/>
                  </w:tcBorders>
                  <w:shd w:val="clear" w:color="auto" w:fill="auto"/>
                  <w:vAlign w:val="center"/>
                </w:tcPr>
                <w:p w14:paraId="02794F23">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GB/T38597-2020 中 低挥发有机化合物 含量涂料要求</w:t>
                  </w:r>
                </w:p>
              </w:tc>
              <w:tc>
                <w:tcPr>
                  <w:tcW w:w="414" w:type="pct"/>
                  <w:tcBorders>
                    <w:tl2br w:val="nil"/>
                    <w:tr2bl w:val="nil"/>
                  </w:tcBorders>
                  <w:shd w:val="clear" w:color="auto" w:fill="auto"/>
                  <w:vAlign w:val="center"/>
                </w:tcPr>
                <w:p w14:paraId="04D09720">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bCs/>
                      <w:color w:val="auto"/>
                      <w:sz w:val="18"/>
                      <w:szCs w:val="18"/>
                    </w:rPr>
                    <w:t>符合性</w:t>
                  </w:r>
                </w:p>
              </w:tc>
            </w:tr>
            <w:tr w14:paraId="712C4B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8" w:hRule="atLeast"/>
              </w:trPr>
              <w:tc>
                <w:tcPr>
                  <w:tcW w:w="931" w:type="pct"/>
                  <w:tcBorders>
                    <w:tl2br w:val="nil"/>
                    <w:tr2bl w:val="nil"/>
                  </w:tcBorders>
                  <w:shd w:val="clear" w:color="auto" w:fill="auto"/>
                  <w:vAlign w:val="center"/>
                </w:tcPr>
                <w:p w14:paraId="55EC1848">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环氧树脂</w:t>
                  </w:r>
                </w:p>
              </w:tc>
              <w:tc>
                <w:tcPr>
                  <w:tcW w:w="1766" w:type="pct"/>
                  <w:tcBorders>
                    <w:tl2br w:val="nil"/>
                    <w:tr2bl w:val="nil"/>
                  </w:tcBorders>
                  <w:shd w:val="clear" w:color="auto" w:fill="auto"/>
                  <w:vAlign w:val="center"/>
                </w:tcPr>
                <w:p w14:paraId="354B3328">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环氧树脂 60%、二甲苯 8%、填料 25% 、添加剂 5%、颜料 2%</w:t>
                  </w:r>
                </w:p>
              </w:tc>
              <w:tc>
                <w:tcPr>
                  <w:tcW w:w="794" w:type="pct"/>
                  <w:tcBorders>
                    <w:tl2br w:val="nil"/>
                    <w:tr2bl w:val="nil"/>
                  </w:tcBorders>
                  <w:shd w:val="clear" w:color="auto" w:fill="auto"/>
                  <w:vAlign w:val="center"/>
                </w:tcPr>
                <w:p w14:paraId="09910DED">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160 g/L</w:t>
                  </w:r>
                </w:p>
              </w:tc>
              <w:tc>
                <w:tcPr>
                  <w:tcW w:w="1093" w:type="pct"/>
                  <w:tcBorders>
                    <w:tl2br w:val="nil"/>
                    <w:tr2bl w:val="nil"/>
                  </w:tcBorders>
                  <w:shd w:val="clear" w:color="auto" w:fill="auto"/>
                  <w:vAlign w:val="center"/>
                </w:tcPr>
                <w:p w14:paraId="33A759DF">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250g/L</w:t>
                  </w:r>
                </w:p>
              </w:tc>
              <w:tc>
                <w:tcPr>
                  <w:tcW w:w="414" w:type="pct"/>
                  <w:tcBorders>
                    <w:tl2br w:val="nil"/>
                    <w:tr2bl w:val="nil"/>
                  </w:tcBorders>
                  <w:shd w:val="clear" w:color="auto" w:fill="auto"/>
                  <w:vAlign w:val="center"/>
                </w:tcPr>
                <w:p w14:paraId="09AF1CD8">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w:t>
                  </w:r>
                </w:p>
              </w:tc>
            </w:tr>
            <w:tr w14:paraId="4E90E7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931" w:type="pct"/>
                  <w:tcBorders>
                    <w:tl2br w:val="nil"/>
                    <w:tr2bl w:val="nil"/>
                  </w:tcBorders>
                  <w:shd w:val="clear" w:color="auto" w:fill="auto"/>
                  <w:vAlign w:val="center"/>
                </w:tcPr>
                <w:p w14:paraId="4B90B7E7">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聚乙烯管道防腐涂料</w:t>
                  </w:r>
                </w:p>
              </w:tc>
              <w:tc>
                <w:tcPr>
                  <w:tcW w:w="1766" w:type="pct"/>
                  <w:tcBorders>
                    <w:tl2br w:val="nil"/>
                    <w:tr2bl w:val="nil"/>
                  </w:tcBorders>
                  <w:shd w:val="clear" w:color="auto" w:fill="auto"/>
                  <w:vAlign w:val="center"/>
                </w:tcPr>
                <w:p w14:paraId="5482B8E0">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聚乙烯树脂 75%、二甲苯 15%、 填料 5%、稳定剂 3%、颜料 2%</w:t>
                  </w:r>
                </w:p>
              </w:tc>
              <w:tc>
                <w:tcPr>
                  <w:tcW w:w="794" w:type="pct"/>
                  <w:tcBorders>
                    <w:tl2br w:val="nil"/>
                    <w:tr2bl w:val="nil"/>
                  </w:tcBorders>
                  <w:shd w:val="clear" w:color="auto" w:fill="auto"/>
                  <w:vAlign w:val="center"/>
                </w:tcPr>
                <w:p w14:paraId="0A467152">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142g/L</w:t>
                  </w:r>
                </w:p>
              </w:tc>
              <w:tc>
                <w:tcPr>
                  <w:tcW w:w="1093" w:type="pct"/>
                  <w:tcBorders>
                    <w:tl2br w:val="nil"/>
                    <w:tr2bl w:val="nil"/>
                  </w:tcBorders>
                  <w:shd w:val="clear" w:color="auto" w:fill="auto"/>
                  <w:vAlign w:val="center"/>
                </w:tcPr>
                <w:p w14:paraId="7C7E4C28">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250g/L</w:t>
                  </w:r>
                </w:p>
              </w:tc>
              <w:tc>
                <w:tcPr>
                  <w:tcW w:w="414" w:type="pct"/>
                  <w:tcBorders>
                    <w:tl2br w:val="nil"/>
                    <w:tr2bl w:val="nil"/>
                  </w:tcBorders>
                  <w:shd w:val="clear" w:color="auto" w:fill="auto"/>
                  <w:vAlign w:val="center"/>
                </w:tcPr>
                <w:p w14:paraId="189347F4">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w:t>
                  </w:r>
                </w:p>
              </w:tc>
            </w:tr>
          </w:tbl>
          <w:p w14:paraId="0A724DCA">
            <w:pPr>
              <w:pStyle w:val="42"/>
              <w:jc w:val="both"/>
              <w:rPr>
                <w:rFonts w:hint="eastAsia" w:cs="Times New Roman"/>
                <w:color w:val="auto"/>
                <w:lang w:eastAsia="zh-CN"/>
              </w:rPr>
            </w:pPr>
            <w:r>
              <w:rPr>
                <w:rFonts w:hint="eastAsia" w:cs="Times New Roman"/>
                <w:color w:val="auto"/>
                <w:lang w:eastAsia="zh-CN"/>
              </w:rPr>
              <w:t>项目施工期采用的涂料为金属基材防腐涂料，根据上表，项目采用的涂料均满足《低挥发性有机化合物含量涂料产品技术要求》（GB/T38597-2020），且防腐工序随着管道的敷设分段进行。</w:t>
            </w:r>
          </w:p>
          <w:p w14:paraId="308EF382">
            <w:pPr>
              <w:pStyle w:val="42"/>
              <w:rPr>
                <w:rFonts w:hint="eastAsia" w:cs="Times New Roman"/>
                <w:color w:val="auto"/>
                <w:lang w:eastAsia="zh-CN"/>
              </w:rPr>
            </w:pPr>
            <w:r>
              <w:rPr>
                <w:rFonts w:hint="eastAsia" w:cs="Times New Roman"/>
                <w:color w:val="auto"/>
                <w:lang w:eastAsia="zh-CN"/>
              </w:rPr>
              <w:t>由于钢结构在工厂预制，防腐层提前完成喷涂，现场仅对焊接后进行焊缝补刷、防腐，减少了现场防腐涂刷量；防腐工序为露天作业，污染物扩散条件好，在采取涂料桶加盖、现场通风等措施后对周围环境影响较小。</w:t>
            </w:r>
          </w:p>
          <w:p w14:paraId="5F362604">
            <w:pPr>
              <w:pStyle w:val="42"/>
              <w:rPr>
                <w:rFonts w:hint="eastAsia" w:cs="Times New Roman"/>
                <w:color w:val="auto"/>
                <w:lang w:eastAsia="zh-CN"/>
              </w:rPr>
            </w:pPr>
            <w:r>
              <w:rPr>
                <w:rFonts w:hint="eastAsia" w:cs="Times New Roman"/>
                <w:color w:val="auto"/>
                <w:lang w:eastAsia="zh-CN"/>
              </w:rPr>
              <w:t>（4）燃油机械尾气</w:t>
            </w:r>
          </w:p>
          <w:p w14:paraId="6EE85789">
            <w:pPr>
              <w:pStyle w:val="42"/>
              <w:rPr>
                <w:rFonts w:hint="eastAsia" w:cs="Times New Roman"/>
                <w:color w:val="auto"/>
                <w:lang w:eastAsia="zh-CN"/>
              </w:rPr>
            </w:pPr>
            <w:r>
              <w:rPr>
                <w:rFonts w:hint="eastAsia" w:cs="Times New Roman"/>
                <w:color w:val="auto"/>
                <w:lang w:eastAsia="zh-CN"/>
              </w:rPr>
              <w:t>本项目施工过程用到的施工机械和运输车辆都会产生一定量的燃油废气，主要污染物有CO、NOx及NMHC等。施工燃油机械为露天工作，污染物扩散条件好，对周围环境影响较小。</w:t>
            </w:r>
          </w:p>
          <w:p w14:paraId="4817DCCF">
            <w:pPr>
              <w:pStyle w:val="42"/>
              <w:rPr>
                <w:rFonts w:hint="eastAsia" w:cs="Times New Roman"/>
                <w:color w:val="auto"/>
                <w:lang w:eastAsia="zh-CN"/>
              </w:rPr>
            </w:pPr>
            <w:r>
              <w:rPr>
                <w:rFonts w:hint="eastAsia" w:cs="Times New Roman"/>
                <w:color w:val="auto"/>
                <w:lang w:eastAsia="zh-CN"/>
              </w:rPr>
              <w:t>（5）吹扫废气</w:t>
            </w:r>
          </w:p>
          <w:p w14:paraId="60B49F25">
            <w:pPr>
              <w:pStyle w:val="42"/>
              <w:rPr>
                <w:rFonts w:hint="eastAsia" w:cs="Times New Roman"/>
                <w:color w:val="auto"/>
                <w:lang w:eastAsia="zh-CN"/>
              </w:rPr>
            </w:pPr>
            <w:r>
              <w:rPr>
                <w:rFonts w:hint="eastAsia" w:cs="Times New Roman"/>
                <w:color w:val="auto"/>
                <w:lang w:eastAsia="zh-CN"/>
              </w:rPr>
              <w:t>管道清管时采用压缩空气吹扫管道内的脏污，在吹扫过程中，管道出气口会产生含尘废气。吹扫工序为露天工作，污染物扩散条件好，对周围环境影响较小。</w:t>
            </w:r>
          </w:p>
          <w:p w14:paraId="67658104">
            <w:pPr>
              <w:pStyle w:val="42"/>
              <w:rPr>
                <w:rFonts w:hint="default" w:ascii="Times New Roman" w:hAnsi="Times New Roman" w:eastAsia="仿宋_GB2312" w:cs="Times New Roman"/>
                <w:b/>
                <w:bCs/>
                <w:color w:val="auto"/>
              </w:rPr>
            </w:pPr>
            <w:r>
              <w:rPr>
                <w:rFonts w:hint="eastAsia" w:ascii="Times New Roman" w:hAnsi="Times New Roman" w:cs="Times New Roman"/>
                <w:b/>
                <w:bCs/>
                <w:color w:val="auto"/>
                <w:lang w:val="en-US" w:eastAsia="zh-CN"/>
              </w:rPr>
              <w:t xml:space="preserve">4.1.3 </w:t>
            </w:r>
            <w:r>
              <w:rPr>
                <w:rFonts w:hint="default" w:ascii="Times New Roman" w:hAnsi="Times New Roman" w:eastAsia="仿宋_GB2312" w:cs="Times New Roman"/>
                <w:b/>
                <w:bCs/>
                <w:color w:val="auto"/>
              </w:rPr>
              <w:t>施工期噪声影响分析</w:t>
            </w:r>
          </w:p>
          <w:p w14:paraId="11620E3A">
            <w:pPr>
              <w:pStyle w:val="42"/>
              <w:rPr>
                <w:rFonts w:hint="default" w:ascii="Times New Roman" w:hAnsi="Times New Roman" w:eastAsia="仿宋_GB2312" w:cs="Times New Roman"/>
                <w:color w:val="auto"/>
                <w:lang w:val="en-US" w:eastAsia="zh-CN"/>
              </w:rPr>
            </w:pPr>
            <w:r>
              <w:rPr>
                <w:rFonts w:hint="eastAsia" w:ascii="Times New Roman" w:hAnsi="Times New Roman" w:cs="Times New Roman"/>
                <w:b/>
                <w:bCs/>
                <w:color w:val="auto"/>
                <w:lang w:val="en-US" w:eastAsia="zh-CN"/>
              </w:rPr>
              <w:t>4.1.3.1 噪声源强</w:t>
            </w:r>
          </w:p>
          <w:p w14:paraId="0014AB61">
            <w:pPr>
              <w:pStyle w:val="42"/>
              <w:rPr>
                <w:rFonts w:hint="default" w:ascii="Times New Roman" w:hAnsi="Times New Roman" w:eastAsia="仿宋_GB2312" w:cs="Times New Roman"/>
                <w:color w:val="auto"/>
              </w:rPr>
            </w:pPr>
            <w:r>
              <w:rPr>
                <w:rFonts w:hint="default" w:ascii="Times New Roman" w:hAnsi="Times New Roman" w:eastAsia="仿宋_GB2312" w:cs="Times New Roman"/>
                <w:color w:val="auto"/>
              </w:rPr>
              <w:t>施工过程中使用施工机械设备</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吊管机、电焊机</w:t>
            </w:r>
            <w:r>
              <w:rPr>
                <w:rFonts w:hint="default" w:ascii="Times New Roman" w:hAnsi="Times New Roman" w:eastAsia="仿宋_GB2312" w:cs="Times New Roman"/>
                <w:color w:val="auto"/>
              </w:rPr>
              <w:t>等</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以及各种车辆等，都是噪声的产生源。根据有关资料，主要施工机械产生的噪声源强见下表。</w:t>
            </w:r>
          </w:p>
          <w:p w14:paraId="45AD5427">
            <w:pPr>
              <w:pStyle w:val="29"/>
              <w:keepNext w:val="0"/>
              <w:keepLines w:val="0"/>
              <w:pageBreakBefore w:val="0"/>
              <w:widowControl/>
              <w:kinsoku/>
              <w:wordWrap/>
              <w:overflowPunct/>
              <w:topLinePunct w:val="0"/>
              <w:autoSpaceDE/>
              <w:autoSpaceDN/>
              <w:bidi w:val="0"/>
              <w:adjustRightInd/>
              <w:snapToGrid/>
              <w:spacing w:before="157" w:beforeLines="5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1"/>
                <w:szCs w:val="21"/>
              </w:rPr>
              <w:t>表</w:t>
            </w:r>
            <w:r>
              <w:rPr>
                <w:rFonts w:hint="eastAsia" w:ascii="Times New Roman" w:hAnsi="Times New Roman" w:eastAsia="仿宋_GB2312" w:cs="Times New Roman"/>
                <w:color w:val="auto"/>
                <w:sz w:val="21"/>
                <w:szCs w:val="21"/>
                <w:lang w:val="en-US" w:eastAsia="zh-CN"/>
              </w:rPr>
              <w:t>4.1-2  主要施工机械的噪声源强</w:t>
            </w:r>
          </w:p>
          <w:tbl>
            <w:tblPr>
              <w:tblStyle w:val="14"/>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913"/>
              <w:gridCol w:w="3585"/>
            </w:tblGrid>
            <w:tr w14:paraId="6D8EB3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0" w:type="pct"/>
                  <w:tcBorders>
                    <w:tl2br w:val="nil"/>
                    <w:tr2bl w:val="nil"/>
                  </w:tcBorders>
                  <w:noWrap w:val="0"/>
                  <w:vAlign w:val="center"/>
                </w:tcPr>
                <w:p w14:paraId="5E2E5116">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序号</w:t>
                  </w:r>
                </w:p>
              </w:tc>
              <w:tc>
                <w:tcPr>
                  <w:tcW w:w="1963" w:type="pct"/>
                  <w:tcBorders>
                    <w:tl2br w:val="nil"/>
                    <w:tr2bl w:val="nil"/>
                  </w:tcBorders>
                  <w:noWrap w:val="0"/>
                  <w:vAlign w:val="center"/>
                </w:tcPr>
                <w:p w14:paraId="05AFF2C5">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主要噪声源</w:t>
                  </w:r>
                </w:p>
              </w:tc>
              <w:tc>
                <w:tcPr>
                  <w:tcW w:w="2416" w:type="pct"/>
                  <w:tcBorders>
                    <w:tl2br w:val="nil"/>
                    <w:tr2bl w:val="nil"/>
                  </w:tcBorders>
                  <w:noWrap w:val="0"/>
                  <w:vAlign w:val="center"/>
                </w:tcPr>
                <w:p w14:paraId="03D0DB2F">
                  <w:pPr>
                    <w:pStyle w:val="30"/>
                    <w:rPr>
                      <w:rFonts w:hint="default" w:ascii="Times New Roman" w:hAnsi="Times New Roman" w:eastAsia="仿宋_GB2312" w:cs="Times New Roman"/>
                      <w:b/>
                      <w:bCs/>
                      <w:color w:val="auto"/>
                      <w:sz w:val="18"/>
                      <w:szCs w:val="18"/>
                      <w:lang w:val="en-US" w:eastAsia="zh-CN"/>
                    </w:rPr>
                  </w:pPr>
                  <w:r>
                    <w:rPr>
                      <w:rFonts w:hint="eastAsia" w:ascii="Times New Roman" w:hAnsi="Times New Roman" w:eastAsia="仿宋_GB2312" w:cs="Times New Roman"/>
                      <w:b/>
                      <w:bCs/>
                      <w:color w:val="auto"/>
                      <w:sz w:val="18"/>
                      <w:szCs w:val="18"/>
                      <w:lang w:val="en-US" w:eastAsia="zh-CN"/>
                    </w:rPr>
                    <w:t>距离源强1m处噪声/dB(A)</w:t>
                  </w:r>
                </w:p>
              </w:tc>
            </w:tr>
            <w:tr w14:paraId="29581D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20" w:type="pct"/>
                  <w:tcBorders>
                    <w:tl2br w:val="nil"/>
                    <w:tr2bl w:val="nil"/>
                  </w:tcBorders>
                  <w:noWrap w:val="0"/>
                  <w:vAlign w:val="center"/>
                </w:tcPr>
                <w:p w14:paraId="5E59A9FF">
                  <w:pPr>
                    <w:pStyle w:val="30"/>
                    <w:numPr>
                      <w:ilvl w:val="0"/>
                      <w:numId w:val="0"/>
                    </w:numPr>
                    <w:ind w:left="425" w:leftChars="0" w:hanging="425" w:firstLineChars="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kern w:val="2"/>
                      <w:sz w:val="18"/>
                      <w:szCs w:val="18"/>
                      <w:lang w:val="en-US" w:eastAsia="zh-CN" w:bidi="ar-SA"/>
                    </w:rPr>
                    <w:t>1</w:t>
                  </w:r>
                </w:p>
              </w:tc>
              <w:tc>
                <w:tcPr>
                  <w:tcW w:w="1963" w:type="pct"/>
                  <w:tcBorders>
                    <w:tl2br w:val="nil"/>
                    <w:tr2bl w:val="nil"/>
                  </w:tcBorders>
                  <w:noWrap w:val="0"/>
                  <w:vAlign w:val="center"/>
                </w:tcPr>
                <w:p w14:paraId="2FAE85C9">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吊管机（或起重机）</w:t>
                  </w:r>
                </w:p>
              </w:tc>
              <w:tc>
                <w:tcPr>
                  <w:tcW w:w="2416" w:type="pct"/>
                  <w:tcBorders>
                    <w:tl2br w:val="nil"/>
                    <w:tr2bl w:val="nil"/>
                  </w:tcBorders>
                  <w:noWrap w:val="0"/>
                  <w:vAlign w:val="center"/>
                </w:tcPr>
                <w:p w14:paraId="037B6DFD">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70</w:t>
                  </w:r>
                </w:p>
              </w:tc>
            </w:tr>
            <w:tr w14:paraId="3BB8CD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20" w:type="pct"/>
                  <w:tcBorders>
                    <w:tl2br w:val="nil"/>
                    <w:tr2bl w:val="nil"/>
                  </w:tcBorders>
                  <w:noWrap w:val="0"/>
                  <w:vAlign w:val="center"/>
                </w:tcPr>
                <w:p w14:paraId="6047EA77">
                  <w:pPr>
                    <w:pStyle w:val="30"/>
                    <w:numPr>
                      <w:ilvl w:val="0"/>
                      <w:numId w:val="0"/>
                    </w:numPr>
                    <w:ind w:left="425" w:leftChars="0" w:hanging="425" w:firstLineChars="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kern w:val="2"/>
                      <w:sz w:val="18"/>
                      <w:szCs w:val="18"/>
                      <w:lang w:val="en-US" w:eastAsia="zh-CN" w:bidi="ar-SA"/>
                    </w:rPr>
                    <w:t>2</w:t>
                  </w:r>
                </w:p>
              </w:tc>
              <w:tc>
                <w:tcPr>
                  <w:tcW w:w="1963" w:type="pct"/>
                  <w:tcBorders>
                    <w:tl2br w:val="nil"/>
                    <w:tr2bl w:val="nil"/>
                  </w:tcBorders>
                  <w:noWrap w:val="0"/>
                  <w:vAlign w:val="center"/>
                </w:tcPr>
                <w:p w14:paraId="3E7198B1">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运输车辆</w:t>
                  </w:r>
                </w:p>
              </w:tc>
              <w:tc>
                <w:tcPr>
                  <w:tcW w:w="2416" w:type="pct"/>
                  <w:tcBorders>
                    <w:tl2br w:val="nil"/>
                    <w:tr2bl w:val="nil"/>
                  </w:tcBorders>
                  <w:noWrap w:val="0"/>
                  <w:vAlign w:val="center"/>
                </w:tcPr>
                <w:p w14:paraId="7D3AC833">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90</w:t>
                  </w:r>
                </w:p>
              </w:tc>
            </w:tr>
            <w:tr w14:paraId="211D8F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20" w:type="pct"/>
                  <w:tcBorders>
                    <w:tl2br w:val="nil"/>
                    <w:tr2bl w:val="nil"/>
                  </w:tcBorders>
                  <w:noWrap w:val="0"/>
                  <w:vAlign w:val="center"/>
                </w:tcPr>
                <w:p w14:paraId="06C3F7AE">
                  <w:pPr>
                    <w:pStyle w:val="30"/>
                    <w:numPr>
                      <w:ilvl w:val="0"/>
                      <w:numId w:val="0"/>
                    </w:numPr>
                    <w:ind w:left="425" w:leftChars="0" w:hanging="425" w:firstLineChars="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kern w:val="2"/>
                      <w:sz w:val="18"/>
                      <w:szCs w:val="18"/>
                      <w:lang w:val="en-US" w:eastAsia="zh-CN" w:bidi="ar-SA"/>
                    </w:rPr>
                    <w:t>3</w:t>
                  </w:r>
                </w:p>
              </w:tc>
              <w:tc>
                <w:tcPr>
                  <w:tcW w:w="1963" w:type="pct"/>
                  <w:tcBorders>
                    <w:tl2br w:val="nil"/>
                    <w:tr2bl w:val="nil"/>
                  </w:tcBorders>
                  <w:noWrap w:val="0"/>
                  <w:vAlign w:val="center"/>
                </w:tcPr>
                <w:p w14:paraId="6D0F9423">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电焊机</w:t>
                  </w:r>
                </w:p>
              </w:tc>
              <w:tc>
                <w:tcPr>
                  <w:tcW w:w="2416" w:type="pct"/>
                  <w:tcBorders>
                    <w:tl2br w:val="nil"/>
                    <w:tr2bl w:val="nil"/>
                  </w:tcBorders>
                  <w:noWrap w:val="0"/>
                  <w:vAlign w:val="center"/>
                </w:tcPr>
                <w:p w14:paraId="6607CEA1">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85</w:t>
                  </w:r>
                </w:p>
              </w:tc>
            </w:tr>
            <w:tr w14:paraId="1F9A19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20" w:type="pct"/>
                  <w:tcBorders>
                    <w:tl2br w:val="nil"/>
                    <w:tr2bl w:val="nil"/>
                  </w:tcBorders>
                  <w:noWrap w:val="0"/>
                  <w:vAlign w:val="center"/>
                </w:tcPr>
                <w:p w14:paraId="79994D44">
                  <w:pPr>
                    <w:pStyle w:val="30"/>
                    <w:numPr>
                      <w:ilvl w:val="0"/>
                      <w:numId w:val="0"/>
                    </w:numPr>
                    <w:ind w:left="425" w:leftChars="0" w:hanging="425" w:firstLineChars="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kern w:val="2"/>
                      <w:sz w:val="18"/>
                      <w:szCs w:val="18"/>
                      <w:lang w:val="en-US" w:eastAsia="zh-CN" w:bidi="ar-SA"/>
                    </w:rPr>
                    <w:t>4</w:t>
                  </w:r>
                </w:p>
              </w:tc>
              <w:tc>
                <w:tcPr>
                  <w:tcW w:w="1963" w:type="pct"/>
                  <w:tcBorders>
                    <w:tl2br w:val="nil"/>
                    <w:tr2bl w:val="nil"/>
                  </w:tcBorders>
                  <w:noWrap w:val="0"/>
                  <w:vAlign w:val="center"/>
                </w:tcPr>
                <w:p w14:paraId="4F1F6301">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砂轮切割机</w:t>
                  </w:r>
                </w:p>
              </w:tc>
              <w:tc>
                <w:tcPr>
                  <w:tcW w:w="2416" w:type="pct"/>
                  <w:tcBorders>
                    <w:tl2br w:val="nil"/>
                    <w:tr2bl w:val="nil"/>
                  </w:tcBorders>
                  <w:noWrap w:val="0"/>
                  <w:vAlign w:val="center"/>
                </w:tcPr>
                <w:p w14:paraId="5351CD93">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85</w:t>
                  </w:r>
                </w:p>
              </w:tc>
            </w:tr>
            <w:tr w14:paraId="2487FB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20" w:type="pct"/>
                  <w:tcBorders>
                    <w:tl2br w:val="nil"/>
                    <w:tr2bl w:val="nil"/>
                  </w:tcBorders>
                  <w:noWrap w:val="0"/>
                  <w:vAlign w:val="center"/>
                </w:tcPr>
                <w:p w14:paraId="47F677C2">
                  <w:pPr>
                    <w:pStyle w:val="30"/>
                    <w:numPr>
                      <w:ilvl w:val="0"/>
                      <w:numId w:val="0"/>
                    </w:numPr>
                    <w:ind w:left="425" w:leftChars="0" w:hanging="425" w:firstLineChars="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kern w:val="2"/>
                      <w:sz w:val="18"/>
                      <w:szCs w:val="18"/>
                      <w:lang w:val="en-US" w:eastAsia="zh-CN" w:bidi="ar-SA"/>
                    </w:rPr>
                    <w:t>5</w:t>
                  </w:r>
                </w:p>
              </w:tc>
              <w:tc>
                <w:tcPr>
                  <w:tcW w:w="1963" w:type="pct"/>
                  <w:tcBorders>
                    <w:tl2br w:val="nil"/>
                    <w:tr2bl w:val="nil"/>
                  </w:tcBorders>
                  <w:noWrap w:val="0"/>
                  <w:vAlign w:val="center"/>
                </w:tcPr>
                <w:p w14:paraId="1928F5C4">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角磨机</w:t>
                  </w:r>
                </w:p>
              </w:tc>
              <w:tc>
                <w:tcPr>
                  <w:tcW w:w="2416" w:type="pct"/>
                  <w:tcBorders>
                    <w:tl2br w:val="nil"/>
                    <w:tr2bl w:val="nil"/>
                  </w:tcBorders>
                  <w:noWrap w:val="0"/>
                  <w:vAlign w:val="center"/>
                </w:tcPr>
                <w:p w14:paraId="117D8508">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85</w:t>
                  </w:r>
                </w:p>
              </w:tc>
            </w:tr>
            <w:tr w14:paraId="75EC0E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20" w:type="pct"/>
                  <w:tcBorders>
                    <w:tl2br w:val="nil"/>
                    <w:tr2bl w:val="nil"/>
                  </w:tcBorders>
                  <w:noWrap w:val="0"/>
                  <w:vAlign w:val="center"/>
                </w:tcPr>
                <w:p w14:paraId="01891797">
                  <w:pPr>
                    <w:pStyle w:val="30"/>
                    <w:numPr>
                      <w:ilvl w:val="0"/>
                      <w:numId w:val="0"/>
                    </w:numPr>
                    <w:ind w:left="425" w:leftChars="0" w:hanging="425" w:firstLineChars="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kern w:val="2"/>
                      <w:sz w:val="18"/>
                      <w:szCs w:val="18"/>
                      <w:lang w:val="en-US" w:eastAsia="zh-CN" w:bidi="ar-SA"/>
                    </w:rPr>
                    <w:t>6</w:t>
                  </w:r>
                </w:p>
              </w:tc>
              <w:tc>
                <w:tcPr>
                  <w:tcW w:w="1963" w:type="pct"/>
                  <w:tcBorders>
                    <w:tl2br w:val="nil"/>
                    <w:tr2bl w:val="nil"/>
                  </w:tcBorders>
                  <w:noWrap w:val="0"/>
                  <w:vAlign w:val="center"/>
                </w:tcPr>
                <w:p w14:paraId="7D69E14B">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零星工具</w:t>
                  </w:r>
                </w:p>
              </w:tc>
              <w:tc>
                <w:tcPr>
                  <w:tcW w:w="2416" w:type="pct"/>
                  <w:tcBorders>
                    <w:tl2br w:val="nil"/>
                    <w:tr2bl w:val="nil"/>
                  </w:tcBorders>
                  <w:noWrap w:val="0"/>
                  <w:vAlign w:val="center"/>
                </w:tcPr>
                <w:p w14:paraId="46677D3A">
                  <w:pPr>
                    <w:pStyle w:val="3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85</w:t>
                  </w:r>
                </w:p>
              </w:tc>
            </w:tr>
          </w:tbl>
          <w:p w14:paraId="2CA913D2">
            <w:pPr>
              <w:pStyle w:val="42"/>
              <w:rPr>
                <w:rFonts w:hint="default" w:ascii="Times New Roman" w:hAnsi="Times New Roman" w:eastAsia="仿宋_GB2312" w:cs="Times New Roman"/>
                <w:color w:val="auto"/>
              </w:rPr>
            </w:pPr>
            <w:r>
              <w:rPr>
                <w:rFonts w:hint="default" w:ascii="Times New Roman" w:hAnsi="Times New Roman" w:eastAsia="仿宋_GB2312" w:cs="Times New Roman"/>
                <w:color w:val="auto"/>
              </w:rPr>
              <w:t>施工机械噪声源基本是在半自由场中的点声源传播，且声源基本为裸露声源，采用距离衰减公式，可预测距离施工场地不同距离处的等效声级，预测模式采用</w:t>
            </w:r>
            <w:r>
              <w:rPr>
                <w:rFonts w:hint="eastAsia" w:cs="Times New Roman"/>
                <w:color w:val="auto"/>
                <w:lang w:eastAsia="zh-CN"/>
              </w:rPr>
              <w:t>《</w:t>
            </w:r>
            <w:r>
              <w:rPr>
                <w:rFonts w:hint="default" w:ascii="Times New Roman" w:hAnsi="Times New Roman" w:eastAsia="仿宋_GB2312" w:cs="Times New Roman"/>
                <w:color w:val="auto"/>
              </w:rPr>
              <w:t>环境影响评价技术导则声环境</w:t>
            </w:r>
            <w:r>
              <w:rPr>
                <w:rFonts w:hint="eastAsia" w:cs="Times New Roman"/>
                <w:color w:val="auto"/>
                <w:lang w:eastAsia="zh-CN"/>
              </w:rPr>
              <w:t>》（</w:t>
            </w:r>
            <w:r>
              <w:rPr>
                <w:rFonts w:hint="default" w:ascii="Times New Roman" w:hAnsi="Times New Roman" w:eastAsia="仿宋_GB2312" w:cs="Times New Roman"/>
                <w:color w:val="auto"/>
              </w:rPr>
              <w:t>HJ2.4-2021</w:t>
            </w:r>
            <w:r>
              <w:rPr>
                <w:rFonts w:hint="eastAsia" w:cs="Times New Roman"/>
                <w:color w:val="auto"/>
                <w:lang w:eastAsia="zh-CN"/>
              </w:rPr>
              <w:t>）</w:t>
            </w:r>
            <w:r>
              <w:rPr>
                <w:rFonts w:hint="default" w:ascii="Times New Roman" w:hAnsi="Times New Roman" w:eastAsia="仿宋_GB2312" w:cs="Times New Roman"/>
                <w:color w:val="auto"/>
              </w:rPr>
              <w:t>中推荐的模型。</w:t>
            </w:r>
          </w:p>
          <w:p w14:paraId="41C5AA68">
            <w:pPr>
              <w:pStyle w:val="4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lang w:val="en-US" w:eastAsia="zh-CN"/>
              </w:rPr>
            </w:pPr>
            <m:oMathPara>
              <m:oMath>
                <m:sSub>
                  <m:sSubPr>
                    <m:ctrlPr>
                      <w:rPr>
                        <w:rFonts w:ascii="Cambria Math" w:hAnsi="Cambria Math" w:cs="Times New Roman"/>
                        <w:i w:val="0"/>
                        <w:color w:val="auto"/>
                      </w:rPr>
                    </m:ctrlPr>
                  </m:sSubPr>
                  <m:e>
                    <m:r>
                      <m:rPr>
                        <m:sty m:val="p"/>
                      </m:rPr>
                      <w:rPr>
                        <w:rFonts w:hint="default" w:ascii="Cambria Math" w:hAnsi="Cambria Math" w:cs="Times New Roman"/>
                        <w:color w:val="auto"/>
                        <w:lang w:val="en-US" w:eastAsia="zh-CN"/>
                      </w:rPr>
                      <m:t>L</m:t>
                    </m:r>
                    <m:ctrlPr>
                      <w:rPr>
                        <w:rFonts w:ascii="Cambria Math" w:hAnsi="Cambria Math" w:cs="Times New Roman"/>
                        <w:i w:val="0"/>
                        <w:color w:val="auto"/>
                      </w:rPr>
                    </m:ctrlPr>
                  </m:e>
                  <m:sub>
                    <m:r>
                      <m:rPr>
                        <m:sty m:val="p"/>
                      </m:rPr>
                      <w:rPr>
                        <w:rFonts w:hint="default" w:ascii="Cambria Math" w:hAnsi="Cambria Math" w:cs="Times New Roman"/>
                        <w:color w:val="auto"/>
                        <w:lang w:val="en-US" w:eastAsia="zh-CN"/>
                      </w:rPr>
                      <m:t>p</m:t>
                    </m:r>
                    <m:ctrlPr>
                      <w:rPr>
                        <w:rFonts w:ascii="Cambria Math" w:hAnsi="Cambria Math" w:cs="Times New Roman"/>
                        <w:i w:val="0"/>
                        <w:color w:val="auto"/>
                      </w:rPr>
                    </m:ctrlPr>
                  </m:sub>
                </m:sSub>
                <m:d>
                  <m:dPr>
                    <m:ctrlPr>
                      <w:rPr>
                        <w:rFonts w:ascii="Cambria Math" w:hAnsi="Cambria Math" w:cs="Times New Roman"/>
                        <w:i/>
                        <w:color w:val="auto"/>
                      </w:rPr>
                    </m:ctrlPr>
                  </m:dPr>
                  <m:e>
                    <m:r>
                      <m:rPr/>
                      <w:rPr>
                        <w:rFonts w:hint="default" w:ascii="Cambria Math" w:hAnsi="Cambria Math" w:cs="Times New Roman"/>
                        <w:color w:val="auto"/>
                        <w:lang w:val="en-US" w:eastAsia="zh-CN"/>
                      </w:rPr>
                      <m:t>r</m:t>
                    </m:r>
                    <m:ctrlPr>
                      <w:rPr>
                        <w:rFonts w:ascii="Cambria Math" w:hAnsi="Cambria Math" w:cs="Times New Roman"/>
                        <w:i/>
                        <w:color w:val="auto"/>
                      </w:rPr>
                    </m:ctrlPr>
                  </m:e>
                </m:d>
                <m:r>
                  <m:rPr/>
                  <w:rPr>
                    <w:rFonts w:hint="default" w:ascii="Cambria Math" w:hAnsi="Cambria Math" w:cs="Times New Roman"/>
                    <w:color w:val="auto"/>
                    <w:lang w:val="en-US" w:eastAsia="zh-CN"/>
                  </w:rPr>
                  <m:t>=</m:t>
                </m:r>
                <m:sSub>
                  <m:sSubPr>
                    <m:ctrlPr>
                      <w:rPr>
                        <w:rFonts w:hint="default" w:ascii="Cambria Math" w:hAnsi="Cambria Math" w:cs="Times New Roman"/>
                        <w:i/>
                        <w:color w:val="auto"/>
                        <w:lang w:val="en-US" w:eastAsia="zh-CN"/>
                      </w:rPr>
                    </m:ctrlPr>
                  </m:sSubPr>
                  <m:e>
                    <m:r>
                      <m:rPr/>
                      <w:rPr>
                        <w:rFonts w:hint="default" w:ascii="Cambria Math" w:hAnsi="Cambria Math" w:cs="Times New Roman"/>
                        <w:color w:val="auto"/>
                        <w:lang w:val="en-US" w:eastAsia="zh-CN"/>
                      </w:rPr>
                      <m:t>L</m:t>
                    </m:r>
                    <m:ctrlPr>
                      <w:rPr>
                        <w:rFonts w:hint="default" w:ascii="Cambria Math" w:hAnsi="Cambria Math" w:cs="Times New Roman"/>
                        <w:i/>
                        <w:color w:val="auto"/>
                        <w:lang w:val="en-US" w:eastAsia="zh-CN"/>
                      </w:rPr>
                    </m:ctrlPr>
                  </m:e>
                  <m:sub>
                    <m:r>
                      <m:rPr/>
                      <w:rPr>
                        <w:rFonts w:hint="default" w:ascii="Cambria Math" w:hAnsi="Cambria Math" w:cs="Times New Roman"/>
                        <w:color w:val="auto"/>
                        <w:lang w:val="en-US" w:eastAsia="zh-CN"/>
                      </w:rPr>
                      <m:t>p</m:t>
                    </m:r>
                    <m:ctrlPr>
                      <w:rPr>
                        <w:rFonts w:hint="default" w:ascii="Cambria Math" w:hAnsi="Cambria Math" w:cs="Times New Roman"/>
                        <w:i/>
                        <w:color w:val="auto"/>
                        <w:lang w:val="en-US" w:eastAsia="zh-CN"/>
                      </w:rPr>
                    </m:ctrlPr>
                  </m:sub>
                </m:sSub>
                <m:d>
                  <m:dPr>
                    <m:ctrlPr>
                      <w:rPr>
                        <w:rFonts w:hint="default" w:ascii="Cambria Math" w:hAnsi="Cambria Math" w:cs="Times New Roman"/>
                        <w:i/>
                        <w:color w:val="auto"/>
                        <w:lang w:val="en-US" w:eastAsia="zh-CN"/>
                      </w:rPr>
                    </m:ctrlPr>
                  </m:dPr>
                  <m:e>
                    <m:sSub>
                      <m:sSubPr>
                        <m:ctrlPr>
                          <w:rPr>
                            <w:rFonts w:hint="default" w:ascii="Cambria Math" w:hAnsi="Cambria Math" w:cs="Times New Roman"/>
                            <w:i/>
                            <w:color w:val="auto"/>
                            <w:lang w:val="en-US" w:eastAsia="zh-CN"/>
                          </w:rPr>
                        </m:ctrlPr>
                      </m:sSubPr>
                      <m:e>
                        <m:r>
                          <m:rPr/>
                          <w:rPr>
                            <w:rFonts w:hint="default" w:ascii="Cambria Math" w:hAnsi="Cambria Math" w:cs="Times New Roman"/>
                            <w:color w:val="auto"/>
                            <w:lang w:val="en-US" w:eastAsia="zh-CN"/>
                          </w:rPr>
                          <m:t>r</m:t>
                        </m:r>
                        <m:ctrlPr>
                          <w:rPr>
                            <w:rFonts w:hint="default" w:ascii="Cambria Math" w:hAnsi="Cambria Math" w:cs="Times New Roman"/>
                            <w:i/>
                            <w:color w:val="auto"/>
                            <w:lang w:val="en-US" w:eastAsia="zh-CN"/>
                          </w:rPr>
                        </m:ctrlPr>
                      </m:e>
                      <m:sub>
                        <m:r>
                          <m:rPr/>
                          <w:rPr>
                            <w:rFonts w:hint="default" w:ascii="Cambria Math" w:hAnsi="Cambria Math" w:cs="Times New Roman"/>
                            <w:color w:val="auto"/>
                            <w:lang w:val="en-US" w:eastAsia="zh-CN"/>
                          </w:rPr>
                          <m:t>0</m:t>
                        </m:r>
                        <m:ctrlPr>
                          <w:rPr>
                            <w:rFonts w:hint="default" w:ascii="Cambria Math" w:hAnsi="Cambria Math" w:cs="Times New Roman"/>
                            <w:i/>
                            <w:color w:val="auto"/>
                            <w:lang w:val="en-US" w:eastAsia="zh-CN"/>
                          </w:rPr>
                        </m:ctrlPr>
                      </m:sub>
                    </m:sSub>
                    <m:ctrlPr>
                      <w:rPr>
                        <w:rFonts w:hint="default" w:ascii="Cambria Math" w:hAnsi="Cambria Math" w:cs="Times New Roman"/>
                        <w:i/>
                        <w:color w:val="auto"/>
                        <w:lang w:val="en-US" w:eastAsia="zh-CN"/>
                      </w:rPr>
                    </m:ctrlPr>
                  </m:e>
                </m:d>
                <m:r>
                  <m:rPr/>
                  <w:rPr>
                    <w:rFonts w:hint="default" w:ascii="Cambria Math" w:hAnsi="Cambria Math" w:cs="Times New Roman"/>
                    <w:color w:val="auto"/>
                    <w:lang w:val="en-US" w:eastAsia="zh-CN"/>
                  </w:rPr>
                  <m:t>−20lg</m:t>
                </m:r>
                <m:d>
                  <m:dPr>
                    <m:ctrlPr>
                      <w:rPr>
                        <w:rFonts w:hint="default" w:ascii="Cambria Math" w:hAnsi="Cambria Math" w:cs="Times New Roman"/>
                        <w:i/>
                        <w:color w:val="auto"/>
                        <w:lang w:val="en-US" w:eastAsia="zh-CN"/>
                      </w:rPr>
                    </m:ctrlPr>
                  </m:dPr>
                  <m:e>
                    <m:r>
                      <m:rPr/>
                      <w:rPr>
                        <w:rFonts w:hint="default" w:ascii="Cambria Math" w:hAnsi="Cambria Math" w:cs="Times New Roman"/>
                        <w:color w:val="auto"/>
                        <w:lang w:val="en-US" w:eastAsia="zh-CN"/>
                      </w:rPr>
                      <m:t>r</m:t>
                    </m:r>
                    <m:ctrlPr>
                      <w:rPr>
                        <w:rFonts w:hint="default" w:ascii="Cambria Math" w:hAnsi="Cambria Math" w:cs="Times New Roman"/>
                        <w:i/>
                        <w:color w:val="auto"/>
                        <w:lang w:val="en-US" w:eastAsia="zh-CN"/>
                      </w:rPr>
                    </m:ctrlPr>
                  </m:e>
                  <m:e>
                    <m:sSub>
                      <m:sSubPr>
                        <m:ctrlPr>
                          <w:rPr>
                            <w:rFonts w:hint="default" w:ascii="Cambria Math" w:hAnsi="Cambria Math" w:cs="Times New Roman"/>
                            <w:i/>
                            <w:color w:val="auto"/>
                            <w:lang w:val="en-US" w:eastAsia="zh-CN"/>
                          </w:rPr>
                        </m:ctrlPr>
                      </m:sSubPr>
                      <m:e>
                        <m:r>
                          <m:rPr/>
                          <w:rPr>
                            <w:rFonts w:hint="default" w:ascii="Cambria Math" w:hAnsi="Cambria Math" w:cs="Times New Roman"/>
                            <w:color w:val="auto"/>
                            <w:lang w:val="en-US" w:eastAsia="zh-CN"/>
                          </w:rPr>
                          <m:t>r</m:t>
                        </m:r>
                        <m:ctrlPr>
                          <w:rPr>
                            <w:rFonts w:hint="default" w:ascii="Cambria Math" w:hAnsi="Cambria Math" w:cs="Times New Roman"/>
                            <w:i/>
                            <w:color w:val="auto"/>
                            <w:lang w:val="en-US" w:eastAsia="zh-CN"/>
                          </w:rPr>
                        </m:ctrlPr>
                      </m:e>
                      <m:sub>
                        <m:r>
                          <m:rPr/>
                          <w:rPr>
                            <w:rFonts w:hint="default" w:ascii="Cambria Math" w:hAnsi="Cambria Math" w:cs="Times New Roman"/>
                            <w:color w:val="auto"/>
                            <w:lang w:val="en-US" w:eastAsia="zh-CN"/>
                          </w:rPr>
                          <m:t>0</m:t>
                        </m:r>
                        <m:ctrlPr>
                          <w:rPr>
                            <w:rFonts w:hint="default" w:ascii="Cambria Math" w:hAnsi="Cambria Math" w:cs="Times New Roman"/>
                            <w:i/>
                            <w:color w:val="auto"/>
                            <w:lang w:val="en-US" w:eastAsia="zh-CN"/>
                          </w:rPr>
                        </m:ctrlPr>
                      </m:sub>
                    </m:sSub>
                    <m:ctrlPr>
                      <w:rPr>
                        <w:rFonts w:hint="default" w:ascii="Cambria Math" w:hAnsi="Cambria Math" w:cs="Times New Roman"/>
                        <w:i/>
                        <w:color w:val="auto"/>
                        <w:lang w:val="en-US" w:eastAsia="zh-CN"/>
                      </w:rPr>
                    </m:ctrlPr>
                  </m:e>
                </m:d>
              </m:oMath>
            </m:oMathPara>
          </w:p>
          <w:p w14:paraId="14E3499B">
            <w:pPr>
              <w:pStyle w:val="42"/>
              <w:rPr>
                <w:rFonts w:hint="eastAsia" w:hAnsi="Cambria Math" w:cs="Times New Roman"/>
                <w:i w:val="0"/>
                <w:color w:val="auto"/>
                <w:lang w:val="en-US" w:eastAsia="zh-CN"/>
              </w:rPr>
            </w:pPr>
            <w:r>
              <w:rPr>
                <w:rFonts w:hint="eastAsia" w:cs="Times New Roman"/>
                <w:color w:val="auto"/>
                <w:lang w:val="en-US" w:eastAsia="zh-CN"/>
              </w:rPr>
              <w:t>式中：</w:t>
            </w:r>
            <m:oMath>
              <m:sSub>
                <m:sSubPr>
                  <m:ctrlPr>
                    <w:rPr>
                      <w:rFonts w:ascii="Cambria Math" w:hAnsi="Cambria Math" w:cs="Times New Roman"/>
                      <w:i w:val="0"/>
                      <w:color w:val="auto"/>
                    </w:rPr>
                  </m:ctrlPr>
                </m:sSubPr>
                <m:e>
                  <m:r>
                    <m:rPr>
                      <m:sty m:val="p"/>
                    </m:rPr>
                    <w:rPr>
                      <w:rFonts w:hint="default" w:ascii="Cambria Math" w:hAnsi="Cambria Math" w:cs="Times New Roman"/>
                      <w:color w:val="auto"/>
                      <w:lang w:val="en-US" w:eastAsia="zh-CN"/>
                    </w:rPr>
                    <m:t>L</m:t>
                  </m:r>
                  <m:ctrlPr>
                    <w:rPr>
                      <w:rFonts w:ascii="Cambria Math" w:hAnsi="Cambria Math" w:cs="Times New Roman"/>
                      <w:i w:val="0"/>
                      <w:color w:val="auto"/>
                    </w:rPr>
                  </m:ctrlPr>
                </m:e>
                <m:sub>
                  <m:r>
                    <m:rPr>
                      <m:sty m:val="p"/>
                    </m:rPr>
                    <w:rPr>
                      <w:rFonts w:hint="default" w:ascii="Cambria Math" w:hAnsi="Cambria Math" w:cs="Times New Roman"/>
                      <w:color w:val="auto"/>
                      <w:lang w:val="en-US" w:eastAsia="zh-CN"/>
                    </w:rPr>
                    <m:t>p</m:t>
                  </m:r>
                  <m:ctrlPr>
                    <w:rPr>
                      <w:rFonts w:ascii="Cambria Math" w:hAnsi="Cambria Math" w:cs="Times New Roman"/>
                      <w:i w:val="0"/>
                      <w:color w:val="auto"/>
                    </w:rPr>
                  </m:ctrlPr>
                </m:sub>
              </m:sSub>
              <m:d>
                <m:dPr>
                  <m:ctrlPr>
                    <w:rPr>
                      <w:rFonts w:ascii="Cambria Math" w:hAnsi="Cambria Math" w:cs="Times New Roman"/>
                      <w:i/>
                      <w:color w:val="auto"/>
                    </w:rPr>
                  </m:ctrlPr>
                </m:dPr>
                <m:e>
                  <m:r>
                    <m:rPr/>
                    <w:rPr>
                      <w:rFonts w:hint="default" w:ascii="Cambria Math" w:hAnsi="Cambria Math" w:cs="Times New Roman"/>
                      <w:color w:val="auto"/>
                      <w:lang w:val="en-US" w:eastAsia="zh-CN"/>
                    </w:rPr>
                    <m:t>r</m:t>
                  </m:r>
                  <m:ctrlPr>
                    <w:rPr>
                      <w:rFonts w:ascii="Cambria Math" w:hAnsi="Cambria Math" w:cs="Times New Roman"/>
                      <w:i/>
                      <w:color w:val="auto"/>
                    </w:rPr>
                  </m:ctrlPr>
                </m:e>
              </m:d>
            </m:oMath>
            <w:r>
              <w:rPr>
                <w:rFonts w:hint="eastAsia" w:hAnsi="Cambria Math" w:cs="Times New Roman"/>
                <w:i w:val="0"/>
                <w:color w:val="auto"/>
                <w:lang w:eastAsia="zh-CN"/>
              </w:rPr>
              <w:t>——</w:t>
            </w:r>
            <w:r>
              <w:rPr>
                <w:rFonts w:hint="eastAsia" w:hAnsi="Cambria Math" w:cs="Times New Roman"/>
                <w:i w:val="0"/>
                <w:color w:val="auto"/>
                <w:lang w:val="en-US" w:eastAsia="zh-CN"/>
              </w:rPr>
              <w:t>点声源在预测点产生的倍频带声压级，dB；</w:t>
            </w:r>
          </w:p>
          <w:p w14:paraId="133C7D73">
            <w:pPr>
              <w:pStyle w:val="42"/>
              <w:rPr>
                <w:rFonts w:hint="eastAsia" w:hAnsi="Cambria Math" w:cs="Times New Roman"/>
                <w:i w:val="0"/>
                <w:color w:val="auto"/>
                <w:lang w:val="en-US" w:eastAsia="zh-CN"/>
              </w:rPr>
            </w:pPr>
            <w:r>
              <w:rPr>
                <w:rFonts w:hint="eastAsia" w:hAnsi="Cambria Math" w:cs="Times New Roman"/>
                <w:i w:val="0"/>
                <w:color w:val="auto"/>
                <w:lang w:val="en-US" w:eastAsia="zh-CN"/>
              </w:rPr>
              <w:t xml:space="preserve">      </w:t>
            </w:r>
            <m:oMath>
              <m:sSub>
                <m:sSubPr>
                  <m:ctrlPr>
                    <w:rPr>
                      <w:rFonts w:hint="default" w:ascii="Cambria Math" w:hAnsi="Cambria Math" w:cs="Times New Roman"/>
                      <w:i/>
                      <w:color w:val="auto"/>
                      <w:lang w:val="en-US" w:eastAsia="zh-CN"/>
                    </w:rPr>
                  </m:ctrlPr>
                </m:sSubPr>
                <m:e>
                  <m:r>
                    <m:rPr/>
                    <w:rPr>
                      <w:rFonts w:hint="default" w:ascii="Cambria Math" w:hAnsi="Cambria Math" w:cs="Times New Roman"/>
                      <w:color w:val="auto"/>
                      <w:lang w:val="en-US" w:eastAsia="zh-CN"/>
                    </w:rPr>
                    <m:t>L</m:t>
                  </m:r>
                  <m:ctrlPr>
                    <w:rPr>
                      <w:rFonts w:hint="default" w:ascii="Cambria Math" w:hAnsi="Cambria Math" w:cs="Times New Roman"/>
                      <w:i/>
                      <w:color w:val="auto"/>
                      <w:lang w:val="en-US" w:eastAsia="zh-CN"/>
                    </w:rPr>
                  </m:ctrlPr>
                </m:e>
                <m:sub>
                  <m:r>
                    <m:rPr/>
                    <w:rPr>
                      <w:rFonts w:hint="default" w:ascii="Cambria Math" w:hAnsi="Cambria Math" w:cs="Times New Roman"/>
                      <w:color w:val="auto"/>
                      <w:lang w:val="en-US" w:eastAsia="zh-CN"/>
                    </w:rPr>
                    <m:t>p</m:t>
                  </m:r>
                  <m:ctrlPr>
                    <w:rPr>
                      <w:rFonts w:hint="default" w:ascii="Cambria Math" w:hAnsi="Cambria Math" w:cs="Times New Roman"/>
                      <w:i/>
                      <w:color w:val="auto"/>
                      <w:lang w:val="en-US" w:eastAsia="zh-CN"/>
                    </w:rPr>
                  </m:ctrlPr>
                </m:sub>
              </m:sSub>
              <m:d>
                <m:dPr>
                  <m:ctrlPr>
                    <w:rPr>
                      <w:rFonts w:hint="default" w:ascii="Cambria Math" w:hAnsi="Cambria Math" w:cs="Times New Roman"/>
                      <w:i/>
                      <w:color w:val="auto"/>
                      <w:lang w:val="en-US" w:eastAsia="zh-CN"/>
                    </w:rPr>
                  </m:ctrlPr>
                </m:dPr>
                <m:e>
                  <m:sSub>
                    <m:sSubPr>
                      <m:ctrlPr>
                        <w:rPr>
                          <w:rFonts w:hint="default" w:ascii="Cambria Math" w:hAnsi="Cambria Math" w:cs="Times New Roman"/>
                          <w:i/>
                          <w:color w:val="auto"/>
                          <w:lang w:val="en-US" w:eastAsia="zh-CN"/>
                        </w:rPr>
                      </m:ctrlPr>
                    </m:sSubPr>
                    <m:e>
                      <m:r>
                        <m:rPr/>
                        <w:rPr>
                          <w:rFonts w:hint="default" w:ascii="Cambria Math" w:hAnsi="Cambria Math" w:cs="Times New Roman"/>
                          <w:color w:val="auto"/>
                          <w:lang w:val="en-US" w:eastAsia="zh-CN"/>
                        </w:rPr>
                        <m:t>r</m:t>
                      </m:r>
                      <m:ctrlPr>
                        <w:rPr>
                          <w:rFonts w:hint="default" w:ascii="Cambria Math" w:hAnsi="Cambria Math" w:cs="Times New Roman"/>
                          <w:i/>
                          <w:color w:val="auto"/>
                          <w:lang w:val="en-US" w:eastAsia="zh-CN"/>
                        </w:rPr>
                      </m:ctrlPr>
                    </m:e>
                    <m:sub>
                      <m:r>
                        <m:rPr/>
                        <w:rPr>
                          <w:rFonts w:hint="default" w:ascii="Cambria Math" w:hAnsi="Cambria Math" w:cs="Times New Roman"/>
                          <w:color w:val="auto"/>
                          <w:lang w:val="en-US" w:eastAsia="zh-CN"/>
                        </w:rPr>
                        <m:t>0</m:t>
                      </m:r>
                      <m:ctrlPr>
                        <w:rPr>
                          <w:rFonts w:hint="default" w:ascii="Cambria Math" w:hAnsi="Cambria Math" w:cs="Times New Roman"/>
                          <w:i/>
                          <w:color w:val="auto"/>
                          <w:lang w:val="en-US" w:eastAsia="zh-CN"/>
                        </w:rPr>
                      </m:ctrlPr>
                    </m:sub>
                  </m:sSub>
                  <m:ctrlPr>
                    <w:rPr>
                      <w:rFonts w:hint="default" w:ascii="Cambria Math" w:hAnsi="Cambria Math" w:cs="Times New Roman"/>
                      <w:i/>
                      <w:color w:val="auto"/>
                      <w:lang w:val="en-US" w:eastAsia="zh-CN"/>
                    </w:rPr>
                  </m:ctrlPr>
                </m:e>
              </m:d>
            </m:oMath>
            <w:r>
              <w:rPr>
                <w:rFonts w:hint="eastAsia" w:hAnsi="Cambria Math" w:cs="Times New Roman"/>
                <w:i w:val="0"/>
                <w:color w:val="auto"/>
                <w:lang w:val="en-US" w:eastAsia="zh-CN"/>
              </w:rPr>
              <w:t>——参考位置</w:t>
            </w:r>
            <m:oMath>
              <m:sSub>
                <m:sSubPr>
                  <m:ctrlPr>
                    <w:rPr>
                      <w:rFonts w:hint="default" w:ascii="Cambria Math" w:hAnsi="Cambria Math" w:cs="Times New Roman"/>
                      <w:i/>
                      <w:color w:val="auto"/>
                      <w:lang w:val="en-US" w:eastAsia="zh-CN"/>
                    </w:rPr>
                  </m:ctrlPr>
                </m:sSubPr>
                <m:e>
                  <m:r>
                    <m:rPr/>
                    <w:rPr>
                      <w:rFonts w:hint="default" w:ascii="Cambria Math" w:hAnsi="Cambria Math" w:cs="Times New Roman"/>
                      <w:color w:val="auto"/>
                      <w:lang w:val="en-US" w:eastAsia="zh-CN"/>
                    </w:rPr>
                    <m:t>r</m:t>
                  </m:r>
                  <m:ctrlPr>
                    <w:rPr>
                      <w:rFonts w:hint="default" w:ascii="Cambria Math" w:hAnsi="Cambria Math" w:cs="Times New Roman"/>
                      <w:i/>
                      <w:color w:val="auto"/>
                      <w:lang w:val="en-US" w:eastAsia="zh-CN"/>
                    </w:rPr>
                  </m:ctrlPr>
                </m:e>
                <m:sub>
                  <m:r>
                    <m:rPr/>
                    <w:rPr>
                      <w:rFonts w:hint="default" w:ascii="Cambria Math" w:hAnsi="Cambria Math" w:cs="Times New Roman"/>
                      <w:color w:val="auto"/>
                      <w:lang w:val="en-US" w:eastAsia="zh-CN"/>
                    </w:rPr>
                    <m:t>0</m:t>
                  </m:r>
                  <m:ctrlPr>
                    <w:rPr>
                      <w:rFonts w:hint="default" w:ascii="Cambria Math" w:hAnsi="Cambria Math" w:cs="Times New Roman"/>
                      <w:i/>
                      <w:color w:val="auto"/>
                      <w:lang w:val="en-US" w:eastAsia="zh-CN"/>
                    </w:rPr>
                  </m:ctrlPr>
                </m:sub>
              </m:sSub>
            </m:oMath>
            <w:r>
              <w:rPr>
                <w:rFonts w:hint="eastAsia" w:hAnsi="Cambria Math" w:cs="Times New Roman"/>
                <w:i w:val="0"/>
                <w:color w:val="auto"/>
                <w:lang w:val="en-US" w:eastAsia="zh-CN"/>
              </w:rPr>
              <w:t>处的倍频带声压级，dB；</w:t>
            </w:r>
          </w:p>
          <w:p w14:paraId="7A1C38AF">
            <w:pPr>
              <w:pStyle w:val="42"/>
              <w:rPr>
                <w:rFonts w:hint="eastAsia" w:hAnsi="Cambria Math" w:cs="Times New Roman"/>
                <w:i w:val="0"/>
                <w:color w:val="auto"/>
                <w:lang w:val="en-US" w:eastAsia="zh-CN"/>
              </w:rPr>
            </w:pPr>
            <w:r>
              <w:rPr>
                <w:rFonts w:hint="eastAsia" w:cs="Times New Roman"/>
                <w:color w:val="auto"/>
                <w:lang w:val="en-US" w:eastAsia="zh-CN"/>
              </w:rPr>
              <w:t xml:space="preserve">      </w:t>
            </w:r>
            <m:oMath>
              <m:r>
                <m:rPr/>
                <w:rPr>
                  <w:rFonts w:hint="default" w:ascii="Cambria Math" w:hAnsi="Cambria Math" w:cs="Times New Roman"/>
                  <w:color w:val="auto"/>
                  <w:lang w:val="en-US" w:eastAsia="zh-CN"/>
                </w:rPr>
                <m:t>r</m:t>
              </m:r>
            </m:oMath>
            <w:r>
              <w:rPr>
                <w:rFonts w:hint="eastAsia" w:hAnsi="Cambria Math" w:cs="Times New Roman"/>
                <w:i w:val="0"/>
                <w:color w:val="auto"/>
                <w:lang w:val="en-US" w:eastAsia="zh-CN"/>
              </w:rPr>
              <w:t>——预测点距声源的距离，m</w:t>
            </w:r>
          </w:p>
          <w:p w14:paraId="4D456ABA">
            <w:pPr>
              <w:pStyle w:val="42"/>
              <w:rPr>
                <w:rFonts w:hint="eastAsia" w:hAnsi="Cambria Math" w:cs="Times New Roman"/>
                <w:i w:val="0"/>
                <w:color w:val="auto"/>
                <w:lang w:val="en-US" w:eastAsia="zh-CN"/>
              </w:rPr>
            </w:pPr>
            <w:r>
              <w:rPr>
                <w:rFonts w:hint="eastAsia" w:hAnsi="Cambria Math" w:cs="Times New Roman"/>
                <w:i w:val="0"/>
                <w:color w:val="auto"/>
                <w:lang w:val="en-US" w:eastAsia="zh-CN"/>
              </w:rPr>
              <w:t xml:space="preserve">      </w:t>
            </w:r>
            <m:oMath>
              <m:sSub>
                <m:sSubPr>
                  <m:ctrlPr>
                    <w:rPr>
                      <w:rFonts w:hint="default" w:ascii="Cambria Math" w:hAnsi="Cambria Math" w:cs="Times New Roman"/>
                      <w:i/>
                      <w:color w:val="auto"/>
                      <w:lang w:val="en-US" w:eastAsia="zh-CN"/>
                    </w:rPr>
                  </m:ctrlPr>
                </m:sSubPr>
                <m:e>
                  <m:r>
                    <m:rPr/>
                    <w:rPr>
                      <w:rFonts w:hint="default" w:ascii="Cambria Math" w:hAnsi="Cambria Math" w:cs="Times New Roman"/>
                      <w:color w:val="auto"/>
                      <w:lang w:val="en-US" w:eastAsia="zh-CN"/>
                    </w:rPr>
                    <m:t>r</m:t>
                  </m:r>
                  <m:ctrlPr>
                    <w:rPr>
                      <w:rFonts w:hint="default" w:ascii="Cambria Math" w:hAnsi="Cambria Math" w:cs="Times New Roman"/>
                      <w:i/>
                      <w:color w:val="auto"/>
                      <w:lang w:val="en-US" w:eastAsia="zh-CN"/>
                    </w:rPr>
                  </m:ctrlPr>
                </m:e>
                <m:sub>
                  <m:r>
                    <m:rPr/>
                    <w:rPr>
                      <w:rFonts w:hint="default" w:ascii="Cambria Math" w:hAnsi="Cambria Math" w:cs="Times New Roman"/>
                      <w:color w:val="auto"/>
                      <w:lang w:val="en-US" w:eastAsia="zh-CN"/>
                    </w:rPr>
                    <m:t>0</m:t>
                  </m:r>
                  <m:ctrlPr>
                    <w:rPr>
                      <w:rFonts w:hint="default" w:ascii="Cambria Math" w:hAnsi="Cambria Math" w:cs="Times New Roman"/>
                      <w:i/>
                      <w:color w:val="auto"/>
                      <w:lang w:val="en-US" w:eastAsia="zh-CN"/>
                    </w:rPr>
                  </m:ctrlPr>
                </m:sub>
              </m:sSub>
            </m:oMath>
            <w:r>
              <w:rPr>
                <w:rFonts w:hint="eastAsia" w:hAnsi="Cambria Math" w:cs="Times New Roman"/>
                <w:i w:val="0"/>
                <w:color w:val="auto"/>
                <w:lang w:val="en-US" w:eastAsia="zh-CN"/>
              </w:rPr>
              <w:t>——参考位置距声源的距离，m</w:t>
            </w:r>
          </w:p>
          <w:p w14:paraId="2F70C4F3">
            <w:pPr>
              <w:pStyle w:val="42"/>
              <w:rPr>
                <w:rFonts w:hint="default" w:hAnsi="Cambria Math" w:cs="Times New Roman"/>
                <w:i w:val="0"/>
                <w:color w:val="auto"/>
                <w:lang w:val="en-US" w:eastAsia="zh-CN"/>
              </w:rPr>
            </w:pPr>
            <w:r>
              <w:rPr>
                <w:rFonts w:hint="default" w:hAnsi="Cambria Math" w:cs="Times New Roman"/>
                <w:i w:val="0"/>
                <w:color w:val="auto"/>
                <w:lang w:val="en-US" w:eastAsia="zh-CN"/>
              </w:rPr>
              <w:t>建筑施工场界噪声标准的评价量为等效声级，评价标准为</w:t>
            </w:r>
            <w:r>
              <w:rPr>
                <w:rFonts w:hint="eastAsia" w:hAnsi="Cambria Math" w:cs="Times New Roman"/>
                <w:i w:val="0"/>
                <w:color w:val="auto"/>
                <w:lang w:val="en-US" w:eastAsia="zh-CN"/>
              </w:rPr>
              <w:t>《</w:t>
            </w:r>
            <w:r>
              <w:rPr>
                <w:rFonts w:hint="default" w:hAnsi="Cambria Math" w:cs="Times New Roman"/>
                <w:i w:val="0"/>
                <w:color w:val="auto"/>
                <w:lang w:val="en-US" w:eastAsia="zh-CN"/>
              </w:rPr>
              <w:t>建筑施工噪声排放标准</w:t>
            </w:r>
            <w:r>
              <w:rPr>
                <w:rFonts w:hint="eastAsia" w:hAnsi="Cambria Math" w:cs="Times New Roman"/>
                <w:i w:val="0"/>
                <w:color w:val="auto"/>
                <w:lang w:val="en-US" w:eastAsia="zh-CN"/>
              </w:rPr>
              <w:t>》（</w:t>
            </w:r>
            <w:r>
              <w:rPr>
                <w:rFonts w:hint="default" w:hAnsi="Cambria Math" w:cs="Times New Roman"/>
                <w:i w:val="0"/>
                <w:color w:val="auto"/>
                <w:lang w:val="en-US" w:eastAsia="zh-CN"/>
              </w:rPr>
              <w:t>GB12523-20</w:t>
            </w:r>
            <w:r>
              <w:rPr>
                <w:rFonts w:hint="eastAsia" w:hAnsi="Cambria Math" w:cs="Times New Roman"/>
                <w:i w:val="0"/>
                <w:color w:val="auto"/>
                <w:lang w:val="en-US" w:eastAsia="zh-CN"/>
              </w:rPr>
              <w:t>25），</w:t>
            </w:r>
            <w:r>
              <w:rPr>
                <w:rFonts w:hint="default" w:hAnsi="Cambria Math" w:cs="Times New Roman"/>
                <w:i w:val="0"/>
                <w:color w:val="auto"/>
                <w:lang w:val="en-US" w:eastAsia="zh-CN"/>
              </w:rPr>
              <w:t>昼间70dB(A)、夜间55dB(A)。噪声预测结果见下表。</w:t>
            </w:r>
          </w:p>
          <w:p w14:paraId="1F951C14">
            <w:pPr>
              <w:pStyle w:val="29"/>
              <w:keepNext w:val="0"/>
              <w:keepLines w:val="0"/>
              <w:pageBreakBefore w:val="0"/>
              <w:widowControl/>
              <w:kinsoku/>
              <w:wordWrap/>
              <w:overflowPunct/>
              <w:topLinePunct w:val="0"/>
              <w:autoSpaceDE/>
              <w:autoSpaceDN/>
              <w:bidi w:val="0"/>
              <w:adjustRightInd/>
              <w:snapToGrid/>
              <w:spacing w:before="157" w:beforeLines="5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表</w:t>
            </w:r>
            <w:r>
              <w:rPr>
                <w:rFonts w:hint="eastAsia" w:ascii="Times New Roman" w:hAnsi="Times New Roman" w:eastAsia="仿宋_GB2312" w:cs="Times New Roman"/>
                <w:color w:val="auto"/>
                <w:sz w:val="21"/>
                <w:szCs w:val="21"/>
                <w:lang w:val="en-US" w:eastAsia="zh-CN"/>
              </w:rPr>
              <w:t xml:space="preserve">4.1-3  </w:t>
            </w:r>
            <w:r>
              <w:rPr>
                <w:rFonts w:hint="eastAsia" w:eastAsia="仿宋_GB2312" w:cs="Times New Roman"/>
                <w:color w:val="auto"/>
                <w:sz w:val="21"/>
                <w:szCs w:val="21"/>
                <w:lang w:val="en-US" w:eastAsia="zh-CN"/>
              </w:rPr>
              <w:t>主要阶段施工机械噪声预测结果</w:t>
            </w:r>
            <w:r>
              <w:rPr>
                <w:rFonts w:hint="default" w:ascii="Times New Roman" w:hAnsi="Times New Roman" w:eastAsia="仿宋_GB2312" w:cs="Times New Roman"/>
                <w:color w:val="auto"/>
                <w:sz w:val="21"/>
                <w:szCs w:val="21"/>
              </w:rPr>
              <w:t xml:space="preserve">  单位：dB(A)</w:t>
            </w:r>
          </w:p>
          <w:tbl>
            <w:tblPr>
              <w:tblStyle w:val="14"/>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824"/>
              <w:gridCol w:w="870"/>
              <w:gridCol w:w="870"/>
              <w:gridCol w:w="870"/>
              <w:gridCol w:w="870"/>
              <w:gridCol w:w="870"/>
              <w:gridCol w:w="883"/>
            </w:tblGrid>
            <w:tr w14:paraId="5D391B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8" w:type="pct"/>
                  <w:vMerge w:val="restart"/>
                  <w:tcBorders>
                    <w:tl2br w:val="nil"/>
                    <w:tr2bl w:val="nil"/>
                  </w:tcBorders>
                  <w:noWrap w:val="0"/>
                  <w:vAlign w:val="center"/>
                </w:tcPr>
                <w:p w14:paraId="6059D029">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设备</w:t>
                  </w:r>
                </w:p>
              </w:tc>
              <w:tc>
                <w:tcPr>
                  <w:tcW w:w="4081" w:type="pct"/>
                  <w:gridSpan w:val="7"/>
                  <w:tcBorders>
                    <w:tl2br w:val="nil"/>
                    <w:tr2bl w:val="nil"/>
                  </w:tcBorders>
                  <w:noWrap w:val="0"/>
                  <w:vAlign w:val="center"/>
                </w:tcPr>
                <w:p w14:paraId="414C2349">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距声源不同距离处的噪声值</w:t>
                  </w:r>
                </w:p>
              </w:tc>
            </w:tr>
            <w:tr w14:paraId="04E3C2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18" w:type="pct"/>
                  <w:vMerge w:val="continue"/>
                  <w:tcBorders>
                    <w:tl2br w:val="nil"/>
                    <w:tr2bl w:val="nil"/>
                  </w:tcBorders>
                  <w:shd w:val="clear" w:color="auto" w:fill="auto"/>
                  <w:noWrap w:val="0"/>
                  <w:vAlign w:val="center"/>
                </w:tcPr>
                <w:p w14:paraId="71ADC7E9">
                  <w:pPr>
                    <w:pStyle w:val="30"/>
                    <w:rPr>
                      <w:rFonts w:hint="default" w:ascii="Times New Roman" w:hAnsi="Times New Roman" w:eastAsia="仿宋_GB2312" w:cs="Times New Roman"/>
                      <w:color w:val="auto"/>
                      <w:kern w:val="2"/>
                      <w:sz w:val="18"/>
                      <w:szCs w:val="18"/>
                      <w:lang w:val="en-US" w:eastAsia="zh-CN" w:bidi="ar-SA"/>
                    </w:rPr>
                  </w:pPr>
                </w:p>
              </w:tc>
              <w:tc>
                <w:tcPr>
                  <w:tcW w:w="556" w:type="pct"/>
                  <w:tcBorders>
                    <w:tl2br w:val="nil"/>
                    <w:tr2bl w:val="nil"/>
                  </w:tcBorders>
                  <w:noWrap w:val="0"/>
                  <w:vAlign w:val="center"/>
                </w:tcPr>
                <w:p w14:paraId="093CAB8F">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10m</w:t>
                  </w:r>
                </w:p>
              </w:tc>
              <w:tc>
                <w:tcPr>
                  <w:tcW w:w="586" w:type="pct"/>
                  <w:tcBorders>
                    <w:tl2br w:val="nil"/>
                    <w:tr2bl w:val="nil"/>
                  </w:tcBorders>
                  <w:noWrap w:val="0"/>
                  <w:vAlign w:val="center"/>
                </w:tcPr>
                <w:p w14:paraId="3DDA10D7">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20m</w:t>
                  </w:r>
                </w:p>
              </w:tc>
              <w:tc>
                <w:tcPr>
                  <w:tcW w:w="586" w:type="pct"/>
                  <w:tcBorders>
                    <w:tl2br w:val="nil"/>
                    <w:tr2bl w:val="nil"/>
                  </w:tcBorders>
                  <w:noWrap w:val="0"/>
                  <w:vAlign w:val="center"/>
                </w:tcPr>
                <w:p w14:paraId="2EAC91B2">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30m</w:t>
                  </w:r>
                </w:p>
              </w:tc>
              <w:tc>
                <w:tcPr>
                  <w:tcW w:w="586" w:type="pct"/>
                  <w:tcBorders>
                    <w:tl2br w:val="nil"/>
                    <w:tr2bl w:val="nil"/>
                  </w:tcBorders>
                  <w:noWrap w:val="0"/>
                  <w:vAlign w:val="center"/>
                </w:tcPr>
                <w:p w14:paraId="445FE1AB">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50m</w:t>
                  </w:r>
                </w:p>
              </w:tc>
              <w:tc>
                <w:tcPr>
                  <w:tcW w:w="586" w:type="pct"/>
                  <w:tcBorders>
                    <w:tl2br w:val="nil"/>
                    <w:tr2bl w:val="nil"/>
                  </w:tcBorders>
                  <w:noWrap w:val="0"/>
                  <w:vAlign w:val="center"/>
                </w:tcPr>
                <w:p w14:paraId="6268C3CA">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100m</w:t>
                  </w:r>
                </w:p>
              </w:tc>
              <w:tc>
                <w:tcPr>
                  <w:tcW w:w="586" w:type="pct"/>
                  <w:tcBorders>
                    <w:tl2br w:val="nil"/>
                    <w:tr2bl w:val="nil"/>
                  </w:tcBorders>
                  <w:noWrap w:val="0"/>
                  <w:vAlign w:val="center"/>
                </w:tcPr>
                <w:p w14:paraId="354C7FA8">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150m</w:t>
                  </w:r>
                </w:p>
              </w:tc>
              <w:tc>
                <w:tcPr>
                  <w:tcW w:w="593" w:type="pct"/>
                  <w:tcBorders>
                    <w:tl2br w:val="nil"/>
                    <w:tr2bl w:val="nil"/>
                  </w:tcBorders>
                  <w:noWrap w:val="0"/>
                  <w:vAlign w:val="center"/>
                </w:tcPr>
                <w:p w14:paraId="4EA7BF22">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200m</w:t>
                  </w:r>
                </w:p>
              </w:tc>
            </w:tr>
            <w:tr w14:paraId="3C958C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18" w:type="pct"/>
                  <w:tcBorders>
                    <w:tl2br w:val="nil"/>
                    <w:tr2bl w:val="nil"/>
                  </w:tcBorders>
                  <w:shd w:val="clear" w:color="auto" w:fill="auto"/>
                  <w:noWrap w:val="0"/>
                  <w:vAlign w:val="center"/>
                </w:tcPr>
                <w:p w14:paraId="31F3A425">
                  <w:pPr>
                    <w:pStyle w:val="30"/>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吊管机（或起重机）</w:t>
                  </w:r>
                </w:p>
              </w:tc>
              <w:tc>
                <w:tcPr>
                  <w:tcW w:w="825" w:type="dxa"/>
                  <w:tcBorders>
                    <w:tl2br w:val="nil"/>
                    <w:tr2bl w:val="nil"/>
                  </w:tcBorders>
                  <w:noWrap w:val="0"/>
                  <w:vAlign w:val="center"/>
                </w:tcPr>
                <w:p w14:paraId="5B7783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870" w:type="dxa"/>
                  <w:tcBorders>
                    <w:tl2br w:val="nil"/>
                    <w:tr2bl w:val="nil"/>
                  </w:tcBorders>
                  <w:noWrap w:val="0"/>
                  <w:vAlign w:val="center"/>
                </w:tcPr>
                <w:p w14:paraId="337451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43.98 </w:t>
                  </w:r>
                </w:p>
              </w:tc>
              <w:tc>
                <w:tcPr>
                  <w:tcW w:w="870" w:type="dxa"/>
                  <w:tcBorders>
                    <w:tl2br w:val="nil"/>
                    <w:tr2bl w:val="nil"/>
                  </w:tcBorders>
                  <w:noWrap w:val="0"/>
                  <w:vAlign w:val="center"/>
                </w:tcPr>
                <w:p w14:paraId="5059DE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40.46 </w:t>
                  </w:r>
                </w:p>
              </w:tc>
              <w:tc>
                <w:tcPr>
                  <w:tcW w:w="870" w:type="dxa"/>
                  <w:tcBorders>
                    <w:tl2br w:val="nil"/>
                    <w:tr2bl w:val="nil"/>
                  </w:tcBorders>
                  <w:noWrap w:val="0"/>
                  <w:vAlign w:val="center"/>
                </w:tcPr>
                <w:p w14:paraId="7AA868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36.02 </w:t>
                  </w:r>
                </w:p>
              </w:tc>
              <w:tc>
                <w:tcPr>
                  <w:tcW w:w="870" w:type="dxa"/>
                  <w:tcBorders>
                    <w:tl2br w:val="nil"/>
                    <w:tr2bl w:val="nil"/>
                  </w:tcBorders>
                  <w:noWrap w:val="0"/>
                  <w:vAlign w:val="center"/>
                </w:tcPr>
                <w:p w14:paraId="480E9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w:t>
                  </w:r>
                </w:p>
              </w:tc>
              <w:tc>
                <w:tcPr>
                  <w:tcW w:w="870" w:type="dxa"/>
                  <w:tcBorders>
                    <w:tl2br w:val="nil"/>
                    <w:tr2bl w:val="nil"/>
                  </w:tcBorders>
                  <w:noWrap w:val="0"/>
                  <w:vAlign w:val="center"/>
                </w:tcPr>
                <w:p w14:paraId="2D55D9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26.48 </w:t>
                  </w:r>
                </w:p>
              </w:tc>
              <w:tc>
                <w:tcPr>
                  <w:tcW w:w="881" w:type="dxa"/>
                  <w:tcBorders>
                    <w:tl2br w:val="nil"/>
                    <w:tr2bl w:val="nil"/>
                  </w:tcBorders>
                  <w:noWrap w:val="0"/>
                  <w:vAlign w:val="center"/>
                </w:tcPr>
                <w:p w14:paraId="419C55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23.98 </w:t>
                  </w:r>
                </w:p>
              </w:tc>
            </w:tr>
            <w:tr w14:paraId="1A46C5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18" w:type="pct"/>
                  <w:tcBorders>
                    <w:tl2br w:val="nil"/>
                    <w:tr2bl w:val="nil"/>
                  </w:tcBorders>
                  <w:shd w:val="clear" w:color="auto" w:fill="auto"/>
                  <w:noWrap w:val="0"/>
                  <w:vAlign w:val="center"/>
                </w:tcPr>
                <w:p w14:paraId="058E5B63">
                  <w:pPr>
                    <w:pStyle w:val="30"/>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sz w:val="18"/>
                      <w:szCs w:val="18"/>
                      <w:lang w:val="en-US" w:eastAsia="zh-CN"/>
                    </w:rPr>
                    <w:t>运输车辆</w:t>
                  </w:r>
                </w:p>
              </w:tc>
              <w:tc>
                <w:tcPr>
                  <w:tcW w:w="825" w:type="dxa"/>
                  <w:tcBorders>
                    <w:tl2br w:val="nil"/>
                    <w:tr2bl w:val="nil"/>
                  </w:tcBorders>
                  <w:noWrap w:val="0"/>
                  <w:vAlign w:val="center"/>
                </w:tcPr>
                <w:p w14:paraId="1CE098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870" w:type="dxa"/>
                  <w:tcBorders>
                    <w:tl2br w:val="nil"/>
                    <w:tr2bl w:val="nil"/>
                  </w:tcBorders>
                  <w:noWrap w:val="0"/>
                  <w:vAlign w:val="center"/>
                </w:tcPr>
                <w:p w14:paraId="7E957B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63.98 </w:t>
                  </w:r>
                </w:p>
              </w:tc>
              <w:tc>
                <w:tcPr>
                  <w:tcW w:w="870" w:type="dxa"/>
                  <w:tcBorders>
                    <w:tl2br w:val="nil"/>
                    <w:tr2bl w:val="nil"/>
                  </w:tcBorders>
                  <w:noWrap w:val="0"/>
                  <w:vAlign w:val="center"/>
                </w:tcPr>
                <w:p w14:paraId="64E1E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60.46 </w:t>
                  </w:r>
                </w:p>
              </w:tc>
              <w:tc>
                <w:tcPr>
                  <w:tcW w:w="870" w:type="dxa"/>
                  <w:tcBorders>
                    <w:tl2br w:val="nil"/>
                    <w:tr2bl w:val="nil"/>
                  </w:tcBorders>
                  <w:noWrap w:val="0"/>
                  <w:vAlign w:val="center"/>
                </w:tcPr>
                <w:p w14:paraId="3EC6B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56.02 </w:t>
                  </w:r>
                </w:p>
              </w:tc>
              <w:tc>
                <w:tcPr>
                  <w:tcW w:w="870" w:type="dxa"/>
                  <w:tcBorders>
                    <w:tl2br w:val="nil"/>
                    <w:tr2bl w:val="nil"/>
                  </w:tcBorders>
                  <w:noWrap w:val="0"/>
                  <w:vAlign w:val="center"/>
                </w:tcPr>
                <w:p w14:paraId="2AD941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870" w:type="dxa"/>
                  <w:tcBorders>
                    <w:tl2br w:val="nil"/>
                    <w:tr2bl w:val="nil"/>
                  </w:tcBorders>
                  <w:noWrap w:val="0"/>
                  <w:vAlign w:val="center"/>
                </w:tcPr>
                <w:p w14:paraId="46311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46.48 </w:t>
                  </w:r>
                </w:p>
              </w:tc>
              <w:tc>
                <w:tcPr>
                  <w:tcW w:w="881" w:type="dxa"/>
                  <w:tcBorders>
                    <w:tl2br w:val="nil"/>
                    <w:tr2bl w:val="nil"/>
                  </w:tcBorders>
                  <w:noWrap w:val="0"/>
                  <w:vAlign w:val="center"/>
                </w:tcPr>
                <w:p w14:paraId="75A6AB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43.98 </w:t>
                  </w:r>
                </w:p>
              </w:tc>
            </w:tr>
            <w:tr w14:paraId="5E9BD2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18" w:type="pct"/>
                  <w:tcBorders>
                    <w:tl2br w:val="nil"/>
                    <w:tr2bl w:val="nil"/>
                  </w:tcBorders>
                  <w:shd w:val="clear" w:color="auto" w:fill="auto"/>
                  <w:noWrap w:val="0"/>
                  <w:vAlign w:val="center"/>
                </w:tcPr>
                <w:p w14:paraId="09404C2A">
                  <w:pPr>
                    <w:pStyle w:val="30"/>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sz w:val="18"/>
                      <w:szCs w:val="18"/>
                      <w:lang w:val="en-US" w:eastAsia="zh-CN"/>
                    </w:rPr>
                    <w:t>电焊机</w:t>
                  </w:r>
                </w:p>
              </w:tc>
              <w:tc>
                <w:tcPr>
                  <w:tcW w:w="825" w:type="dxa"/>
                  <w:tcBorders>
                    <w:tl2br w:val="nil"/>
                    <w:tr2bl w:val="nil"/>
                  </w:tcBorders>
                  <w:noWrap w:val="0"/>
                  <w:vAlign w:val="center"/>
                </w:tcPr>
                <w:p w14:paraId="04E31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65</w:t>
                  </w:r>
                </w:p>
              </w:tc>
              <w:tc>
                <w:tcPr>
                  <w:tcW w:w="870" w:type="dxa"/>
                  <w:tcBorders>
                    <w:tl2br w:val="nil"/>
                    <w:tr2bl w:val="nil"/>
                  </w:tcBorders>
                  <w:noWrap w:val="0"/>
                  <w:vAlign w:val="center"/>
                </w:tcPr>
                <w:p w14:paraId="731429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58.98 </w:t>
                  </w:r>
                </w:p>
              </w:tc>
              <w:tc>
                <w:tcPr>
                  <w:tcW w:w="870" w:type="dxa"/>
                  <w:tcBorders>
                    <w:tl2br w:val="nil"/>
                    <w:tr2bl w:val="nil"/>
                  </w:tcBorders>
                  <w:noWrap w:val="0"/>
                  <w:vAlign w:val="center"/>
                </w:tcPr>
                <w:p w14:paraId="13244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55.46 </w:t>
                  </w:r>
                </w:p>
              </w:tc>
              <w:tc>
                <w:tcPr>
                  <w:tcW w:w="870" w:type="dxa"/>
                  <w:tcBorders>
                    <w:tl2br w:val="nil"/>
                    <w:tr2bl w:val="nil"/>
                  </w:tcBorders>
                  <w:noWrap w:val="0"/>
                  <w:vAlign w:val="center"/>
                </w:tcPr>
                <w:p w14:paraId="54E604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51.02 </w:t>
                  </w:r>
                </w:p>
              </w:tc>
              <w:tc>
                <w:tcPr>
                  <w:tcW w:w="870" w:type="dxa"/>
                  <w:tcBorders>
                    <w:tl2br w:val="nil"/>
                    <w:tr2bl w:val="nil"/>
                  </w:tcBorders>
                  <w:noWrap w:val="0"/>
                  <w:vAlign w:val="center"/>
                </w:tcPr>
                <w:p w14:paraId="5B515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870" w:type="dxa"/>
                  <w:tcBorders>
                    <w:tl2br w:val="nil"/>
                    <w:tr2bl w:val="nil"/>
                  </w:tcBorders>
                  <w:noWrap w:val="0"/>
                  <w:vAlign w:val="center"/>
                </w:tcPr>
                <w:p w14:paraId="1544AD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41.48 </w:t>
                  </w:r>
                </w:p>
              </w:tc>
              <w:tc>
                <w:tcPr>
                  <w:tcW w:w="881" w:type="dxa"/>
                  <w:tcBorders>
                    <w:tl2br w:val="nil"/>
                    <w:tr2bl w:val="nil"/>
                  </w:tcBorders>
                  <w:noWrap w:val="0"/>
                  <w:vAlign w:val="center"/>
                </w:tcPr>
                <w:p w14:paraId="7DAC94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38.98 </w:t>
                  </w:r>
                </w:p>
              </w:tc>
            </w:tr>
            <w:tr w14:paraId="481B57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18" w:type="pct"/>
                  <w:tcBorders>
                    <w:tl2br w:val="nil"/>
                    <w:tr2bl w:val="nil"/>
                  </w:tcBorders>
                  <w:shd w:val="clear" w:color="auto" w:fill="auto"/>
                  <w:noWrap w:val="0"/>
                  <w:vAlign w:val="center"/>
                </w:tcPr>
                <w:p w14:paraId="16FAE00E">
                  <w:pPr>
                    <w:pStyle w:val="30"/>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sz w:val="18"/>
                      <w:szCs w:val="18"/>
                      <w:lang w:val="en-US" w:eastAsia="zh-CN"/>
                    </w:rPr>
                    <w:t>砂轮切割机</w:t>
                  </w:r>
                </w:p>
              </w:tc>
              <w:tc>
                <w:tcPr>
                  <w:tcW w:w="825" w:type="dxa"/>
                  <w:tcBorders>
                    <w:tl2br w:val="nil"/>
                    <w:tr2bl w:val="nil"/>
                  </w:tcBorders>
                  <w:noWrap w:val="0"/>
                  <w:vAlign w:val="center"/>
                </w:tcPr>
                <w:p w14:paraId="6A4FD8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65</w:t>
                  </w:r>
                </w:p>
              </w:tc>
              <w:tc>
                <w:tcPr>
                  <w:tcW w:w="870" w:type="dxa"/>
                  <w:tcBorders>
                    <w:tl2br w:val="nil"/>
                    <w:tr2bl w:val="nil"/>
                  </w:tcBorders>
                  <w:noWrap w:val="0"/>
                  <w:vAlign w:val="center"/>
                </w:tcPr>
                <w:p w14:paraId="314D7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58.98 </w:t>
                  </w:r>
                </w:p>
              </w:tc>
              <w:tc>
                <w:tcPr>
                  <w:tcW w:w="870" w:type="dxa"/>
                  <w:tcBorders>
                    <w:tl2br w:val="nil"/>
                    <w:tr2bl w:val="nil"/>
                  </w:tcBorders>
                  <w:noWrap w:val="0"/>
                  <w:vAlign w:val="center"/>
                </w:tcPr>
                <w:p w14:paraId="3C13D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55.46 </w:t>
                  </w:r>
                </w:p>
              </w:tc>
              <w:tc>
                <w:tcPr>
                  <w:tcW w:w="870" w:type="dxa"/>
                  <w:tcBorders>
                    <w:tl2br w:val="nil"/>
                    <w:tr2bl w:val="nil"/>
                  </w:tcBorders>
                  <w:noWrap w:val="0"/>
                  <w:vAlign w:val="center"/>
                </w:tcPr>
                <w:p w14:paraId="1892A0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51.02 </w:t>
                  </w:r>
                </w:p>
              </w:tc>
              <w:tc>
                <w:tcPr>
                  <w:tcW w:w="870" w:type="dxa"/>
                  <w:tcBorders>
                    <w:tl2br w:val="nil"/>
                    <w:tr2bl w:val="nil"/>
                  </w:tcBorders>
                  <w:noWrap w:val="0"/>
                  <w:vAlign w:val="center"/>
                </w:tcPr>
                <w:p w14:paraId="09ED3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870" w:type="dxa"/>
                  <w:tcBorders>
                    <w:tl2br w:val="nil"/>
                    <w:tr2bl w:val="nil"/>
                  </w:tcBorders>
                  <w:noWrap w:val="0"/>
                  <w:vAlign w:val="center"/>
                </w:tcPr>
                <w:p w14:paraId="2B31F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41.48 </w:t>
                  </w:r>
                </w:p>
              </w:tc>
              <w:tc>
                <w:tcPr>
                  <w:tcW w:w="881" w:type="dxa"/>
                  <w:tcBorders>
                    <w:tl2br w:val="nil"/>
                    <w:tr2bl w:val="nil"/>
                  </w:tcBorders>
                  <w:noWrap w:val="0"/>
                  <w:vAlign w:val="center"/>
                </w:tcPr>
                <w:p w14:paraId="49959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38.98 </w:t>
                  </w:r>
                </w:p>
              </w:tc>
            </w:tr>
            <w:tr w14:paraId="4D6159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18" w:type="pct"/>
                  <w:tcBorders>
                    <w:tl2br w:val="nil"/>
                    <w:tr2bl w:val="nil"/>
                  </w:tcBorders>
                  <w:shd w:val="clear" w:color="auto" w:fill="auto"/>
                  <w:noWrap w:val="0"/>
                  <w:vAlign w:val="center"/>
                </w:tcPr>
                <w:p w14:paraId="2872A84C">
                  <w:pPr>
                    <w:pStyle w:val="30"/>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sz w:val="18"/>
                      <w:szCs w:val="18"/>
                      <w:lang w:val="en-US" w:eastAsia="zh-CN"/>
                    </w:rPr>
                    <w:t>角磨机</w:t>
                  </w:r>
                </w:p>
              </w:tc>
              <w:tc>
                <w:tcPr>
                  <w:tcW w:w="825" w:type="dxa"/>
                  <w:tcBorders>
                    <w:tl2br w:val="nil"/>
                    <w:tr2bl w:val="nil"/>
                  </w:tcBorders>
                  <w:noWrap w:val="0"/>
                  <w:vAlign w:val="center"/>
                </w:tcPr>
                <w:p w14:paraId="4EF023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65</w:t>
                  </w:r>
                </w:p>
              </w:tc>
              <w:tc>
                <w:tcPr>
                  <w:tcW w:w="870" w:type="dxa"/>
                  <w:tcBorders>
                    <w:tl2br w:val="nil"/>
                    <w:tr2bl w:val="nil"/>
                  </w:tcBorders>
                  <w:noWrap w:val="0"/>
                  <w:vAlign w:val="center"/>
                </w:tcPr>
                <w:p w14:paraId="38BDA1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58.98 </w:t>
                  </w:r>
                </w:p>
              </w:tc>
              <w:tc>
                <w:tcPr>
                  <w:tcW w:w="870" w:type="dxa"/>
                  <w:tcBorders>
                    <w:tl2br w:val="nil"/>
                    <w:tr2bl w:val="nil"/>
                  </w:tcBorders>
                  <w:noWrap w:val="0"/>
                  <w:vAlign w:val="center"/>
                </w:tcPr>
                <w:p w14:paraId="30B62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55.46 </w:t>
                  </w:r>
                </w:p>
              </w:tc>
              <w:tc>
                <w:tcPr>
                  <w:tcW w:w="870" w:type="dxa"/>
                  <w:tcBorders>
                    <w:tl2br w:val="nil"/>
                    <w:tr2bl w:val="nil"/>
                  </w:tcBorders>
                  <w:noWrap w:val="0"/>
                  <w:vAlign w:val="center"/>
                </w:tcPr>
                <w:p w14:paraId="641F2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51.02 </w:t>
                  </w:r>
                </w:p>
              </w:tc>
              <w:tc>
                <w:tcPr>
                  <w:tcW w:w="870" w:type="dxa"/>
                  <w:tcBorders>
                    <w:tl2br w:val="nil"/>
                    <w:tr2bl w:val="nil"/>
                  </w:tcBorders>
                  <w:noWrap w:val="0"/>
                  <w:vAlign w:val="center"/>
                </w:tcPr>
                <w:p w14:paraId="3E685D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870" w:type="dxa"/>
                  <w:tcBorders>
                    <w:tl2br w:val="nil"/>
                    <w:tr2bl w:val="nil"/>
                  </w:tcBorders>
                  <w:noWrap w:val="0"/>
                  <w:vAlign w:val="center"/>
                </w:tcPr>
                <w:p w14:paraId="6CDFC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41.48 </w:t>
                  </w:r>
                </w:p>
              </w:tc>
              <w:tc>
                <w:tcPr>
                  <w:tcW w:w="881" w:type="dxa"/>
                  <w:tcBorders>
                    <w:tl2br w:val="nil"/>
                    <w:tr2bl w:val="nil"/>
                  </w:tcBorders>
                  <w:noWrap w:val="0"/>
                  <w:vAlign w:val="center"/>
                </w:tcPr>
                <w:p w14:paraId="57032E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38.98 </w:t>
                  </w:r>
                </w:p>
              </w:tc>
            </w:tr>
            <w:tr w14:paraId="488B52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18" w:type="pct"/>
                  <w:tcBorders>
                    <w:tl2br w:val="nil"/>
                    <w:tr2bl w:val="nil"/>
                  </w:tcBorders>
                  <w:shd w:val="clear" w:color="auto" w:fill="auto"/>
                  <w:noWrap w:val="0"/>
                  <w:vAlign w:val="center"/>
                </w:tcPr>
                <w:p w14:paraId="1F541805">
                  <w:pPr>
                    <w:pStyle w:val="30"/>
                    <w:rPr>
                      <w:rFonts w:hint="default"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s="Times New Roman"/>
                      <w:color w:val="auto"/>
                      <w:sz w:val="18"/>
                      <w:szCs w:val="18"/>
                      <w:lang w:val="en-US" w:eastAsia="zh-CN"/>
                    </w:rPr>
                    <w:t>零星工具</w:t>
                  </w:r>
                </w:p>
              </w:tc>
              <w:tc>
                <w:tcPr>
                  <w:tcW w:w="825" w:type="dxa"/>
                  <w:tcBorders>
                    <w:tl2br w:val="nil"/>
                    <w:tr2bl w:val="nil"/>
                  </w:tcBorders>
                  <w:noWrap w:val="0"/>
                  <w:vAlign w:val="center"/>
                </w:tcPr>
                <w:p w14:paraId="100A1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65</w:t>
                  </w:r>
                </w:p>
              </w:tc>
              <w:tc>
                <w:tcPr>
                  <w:tcW w:w="870" w:type="dxa"/>
                  <w:tcBorders>
                    <w:tl2br w:val="nil"/>
                    <w:tr2bl w:val="nil"/>
                  </w:tcBorders>
                  <w:noWrap w:val="0"/>
                  <w:vAlign w:val="center"/>
                </w:tcPr>
                <w:p w14:paraId="279839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58.98 </w:t>
                  </w:r>
                </w:p>
              </w:tc>
              <w:tc>
                <w:tcPr>
                  <w:tcW w:w="870" w:type="dxa"/>
                  <w:tcBorders>
                    <w:tl2br w:val="nil"/>
                    <w:tr2bl w:val="nil"/>
                  </w:tcBorders>
                  <w:noWrap w:val="0"/>
                  <w:vAlign w:val="center"/>
                </w:tcPr>
                <w:p w14:paraId="0D9C2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55.46 </w:t>
                  </w:r>
                </w:p>
              </w:tc>
              <w:tc>
                <w:tcPr>
                  <w:tcW w:w="870" w:type="dxa"/>
                  <w:tcBorders>
                    <w:tl2br w:val="nil"/>
                    <w:tr2bl w:val="nil"/>
                  </w:tcBorders>
                  <w:noWrap w:val="0"/>
                  <w:vAlign w:val="center"/>
                </w:tcPr>
                <w:p w14:paraId="7A73D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51.02 </w:t>
                  </w:r>
                </w:p>
              </w:tc>
              <w:tc>
                <w:tcPr>
                  <w:tcW w:w="870" w:type="dxa"/>
                  <w:tcBorders>
                    <w:tl2br w:val="nil"/>
                    <w:tr2bl w:val="nil"/>
                  </w:tcBorders>
                  <w:noWrap w:val="0"/>
                  <w:vAlign w:val="center"/>
                </w:tcPr>
                <w:p w14:paraId="39521F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870" w:type="dxa"/>
                  <w:tcBorders>
                    <w:tl2br w:val="nil"/>
                    <w:tr2bl w:val="nil"/>
                  </w:tcBorders>
                  <w:noWrap w:val="0"/>
                  <w:vAlign w:val="center"/>
                </w:tcPr>
                <w:p w14:paraId="3F3350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41.48 </w:t>
                  </w:r>
                </w:p>
              </w:tc>
              <w:tc>
                <w:tcPr>
                  <w:tcW w:w="881" w:type="dxa"/>
                  <w:tcBorders>
                    <w:tl2br w:val="nil"/>
                    <w:tr2bl w:val="nil"/>
                  </w:tcBorders>
                  <w:noWrap w:val="0"/>
                  <w:vAlign w:val="center"/>
                </w:tcPr>
                <w:p w14:paraId="40C6F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38.98 </w:t>
                  </w:r>
                </w:p>
              </w:tc>
            </w:tr>
          </w:tbl>
          <w:p w14:paraId="671A2092">
            <w:pPr>
              <w:pStyle w:val="42"/>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rPr>
              <w:t>由预测结果可知，在未采取任何噪声防治措施的条件下，昼间在距施工地点20m以外，可达到</w:t>
            </w:r>
            <w:r>
              <w:rPr>
                <w:rFonts w:hint="eastAsia" w:cs="Times New Roman"/>
                <w:color w:val="auto"/>
                <w:lang w:eastAsia="zh-CN"/>
              </w:rPr>
              <w:t>《</w:t>
            </w:r>
            <w:r>
              <w:rPr>
                <w:rFonts w:hint="default" w:ascii="Times New Roman" w:hAnsi="Times New Roman" w:eastAsia="仿宋_GB2312" w:cs="Times New Roman"/>
                <w:color w:val="auto"/>
              </w:rPr>
              <w:t>建筑施工噪声排放标准</w:t>
            </w:r>
            <w:r>
              <w:rPr>
                <w:rFonts w:hint="eastAsia" w:cs="Times New Roman"/>
                <w:color w:val="auto"/>
                <w:lang w:eastAsia="zh-CN"/>
              </w:rPr>
              <w:t>》（</w:t>
            </w:r>
            <w:r>
              <w:rPr>
                <w:rFonts w:hint="default" w:ascii="Times New Roman" w:hAnsi="Times New Roman" w:eastAsia="仿宋_GB2312" w:cs="Times New Roman"/>
                <w:color w:val="auto"/>
              </w:rPr>
              <w:t>GB12523-20</w:t>
            </w:r>
            <w:r>
              <w:rPr>
                <w:rFonts w:hint="eastAsia" w:cs="Times New Roman"/>
                <w:color w:val="auto"/>
                <w:lang w:val="en-US" w:eastAsia="zh-CN"/>
              </w:rPr>
              <w:t>25</w:t>
            </w:r>
            <w:r>
              <w:rPr>
                <w:rFonts w:hint="eastAsia" w:cs="Times New Roman"/>
                <w:color w:val="auto"/>
                <w:lang w:eastAsia="zh-CN"/>
              </w:rPr>
              <w:t>）</w:t>
            </w:r>
            <w:r>
              <w:rPr>
                <w:rFonts w:hint="default" w:ascii="Times New Roman" w:hAnsi="Times New Roman" w:eastAsia="仿宋_GB2312" w:cs="Times New Roman"/>
                <w:color w:val="auto"/>
              </w:rPr>
              <w:t>中规定的昼间标准值70dB(A)，而夜间要满足标准要求55dB(A)，则距施工场地要大于100m。项目施工期夜间禁止施工，项目管线周边无居民集中点，均为工业企业，昼间在合理安排施工作业时间的情况下对周边环境影响较小。</w:t>
            </w:r>
          </w:p>
          <w:p w14:paraId="3C742D57">
            <w:pPr>
              <w:pStyle w:val="42"/>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4.1.4 施工期地表水环境影响分析</w:t>
            </w:r>
          </w:p>
          <w:p w14:paraId="7283CD37">
            <w:pPr>
              <w:pStyle w:val="42"/>
              <w:rPr>
                <w:rFonts w:hint="default" w:ascii="Times New Roman" w:hAnsi="Times New Roman" w:eastAsia="仿宋_GB2312" w:cs="Times New Roman"/>
                <w:color w:val="auto"/>
                <w:lang w:val="en-US" w:eastAsia="zh-CN"/>
              </w:rPr>
            </w:pPr>
            <w:r>
              <w:rPr>
                <w:rFonts w:hint="eastAsia" w:cs="Times New Roman"/>
                <w:color w:val="auto"/>
                <w:lang w:val="en-US" w:eastAsia="zh-CN"/>
              </w:rPr>
              <w:t>项目施工期的废水主要来自施工人员生活污水和试压废水。</w:t>
            </w:r>
          </w:p>
          <w:p w14:paraId="37F27AFC">
            <w:pPr>
              <w:pStyle w:val="42"/>
              <w:rPr>
                <w:rFonts w:hint="default" w:ascii="Times New Roman" w:hAnsi="Times New Roman" w:eastAsia="仿宋_GB2312" w:cs="Times New Roman"/>
                <w:color w:val="auto"/>
                <w:lang w:val="en-US" w:eastAsia="zh-CN"/>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eastAsia" w:cs="Times New Roman"/>
                <w:color w:val="auto"/>
                <w:lang w:val="en-US" w:eastAsia="zh-CN"/>
              </w:rPr>
              <w:t>生活污水</w:t>
            </w:r>
          </w:p>
          <w:p w14:paraId="00EA08DE">
            <w:pPr>
              <w:pStyle w:val="42"/>
              <w:rPr>
                <w:rFonts w:hint="eastAsia" w:cs="Times New Roman"/>
                <w:color w:val="auto"/>
                <w:lang w:val="en-US" w:eastAsia="zh-CN"/>
              </w:rPr>
            </w:pPr>
            <w:r>
              <w:rPr>
                <w:rFonts w:hint="default" w:ascii="Times New Roman" w:hAnsi="Times New Roman" w:eastAsia="仿宋_GB2312" w:cs="Times New Roman"/>
                <w:color w:val="auto"/>
              </w:rPr>
              <w:t>建设施工期间，预计高峰时施工人员约</w:t>
            </w:r>
            <w:r>
              <w:rPr>
                <w:rFonts w:hint="eastAsia" w:cs="Times New Roman"/>
                <w:color w:val="auto"/>
                <w:lang w:val="en-US" w:eastAsia="zh-CN"/>
              </w:rPr>
              <w:t>20</w:t>
            </w:r>
            <w:r>
              <w:rPr>
                <w:rFonts w:hint="default" w:ascii="Times New Roman" w:hAnsi="Times New Roman" w:eastAsia="仿宋_GB2312" w:cs="Times New Roman"/>
                <w:color w:val="auto"/>
              </w:rPr>
              <w:t>人。施工人员主要为当地务工人员，自行在场地外吃住。类比同类工程，生活用水量以10L/人</w:t>
            </w:r>
            <w:r>
              <w:rPr>
                <w:rFonts w:hint="default" w:ascii="Times New Roman" w:hAnsi="Times New Roman" w:cs="Times New Roman"/>
                <w:color w:val="auto"/>
                <w:lang w:val="en-US" w:eastAsia="zh-CN"/>
              </w:rPr>
              <w:t>·</w:t>
            </w:r>
            <w:r>
              <w:rPr>
                <w:rFonts w:hint="default" w:ascii="Times New Roman" w:hAnsi="Times New Roman" w:eastAsia="仿宋_GB2312" w:cs="Times New Roman"/>
                <w:color w:val="auto"/>
              </w:rPr>
              <w:t>d，即施工生活用水量为0.</w:t>
            </w:r>
            <w:r>
              <w:rPr>
                <w:rFonts w:hint="eastAsia" w:cs="Times New Roman"/>
                <w:color w:val="auto"/>
                <w:lang w:val="en-US" w:eastAsia="zh-CN"/>
              </w:rPr>
              <w:t>2m</w:t>
            </w:r>
            <w:r>
              <w:rPr>
                <w:rFonts w:hint="eastAsia" w:cs="Times New Roman"/>
                <w:color w:val="auto"/>
                <w:vertAlign w:val="superscript"/>
                <w:lang w:val="en-US" w:eastAsia="zh-CN"/>
              </w:rPr>
              <w:t>3</w:t>
            </w:r>
            <w:r>
              <w:rPr>
                <w:rFonts w:hint="default" w:ascii="Times New Roman" w:hAnsi="Times New Roman" w:eastAsia="仿宋_GB2312" w:cs="Times New Roman"/>
                <w:color w:val="auto"/>
              </w:rPr>
              <w:t>/d。污水产生量按用水量的80%计算，预计排放量约为0.</w:t>
            </w:r>
            <w:r>
              <w:rPr>
                <w:rFonts w:hint="eastAsia" w:cs="Times New Roman"/>
                <w:color w:val="auto"/>
                <w:lang w:val="en-US" w:eastAsia="zh-CN"/>
              </w:rPr>
              <w:t>16</w:t>
            </w:r>
            <w:r>
              <w:rPr>
                <w:rFonts w:hint="default" w:ascii="Times New Roman" w:hAnsi="Times New Roman" w:eastAsia="仿宋_GB2312" w:cs="Times New Roman"/>
                <w:color w:val="auto"/>
              </w:rPr>
              <w:t>m</w:t>
            </w:r>
            <w:r>
              <w:rPr>
                <w:rFonts w:hint="eastAsia" w:cs="Times New Roman"/>
                <w:color w:val="auto"/>
                <w:vertAlign w:val="superscript"/>
                <w:lang w:val="en-US" w:eastAsia="zh-CN"/>
              </w:rPr>
              <w:t>3</w:t>
            </w:r>
            <w:r>
              <w:rPr>
                <w:rFonts w:hint="default" w:ascii="Times New Roman" w:hAnsi="Times New Roman" w:eastAsia="仿宋_GB2312" w:cs="Times New Roman"/>
                <w:color w:val="auto"/>
              </w:rPr>
              <w:t>/d。施工期产生的生活污水依托</w:t>
            </w:r>
            <w:r>
              <w:rPr>
                <w:rFonts w:hint="eastAsia" w:cs="Times New Roman"/>
                <w:color w:val="auto"/>
                <w:lang w:val="en-US" w:eastAsia="zh-CN"/>
              </w:rPr>
              <w:t>润土公司</w:t>
            </w:r>
            <w:r>
              <w:rPr>
                <w:rFonts w:hint="default" w:ascii="Times New Roman" w:hAnsi="Times New Roman" w:eastAsia="仿宋_GB2312" w:cs="Times New Roman"/>
                <w:color w:val="auto"/>
              </w:rPr>
              <w:t>厂区内化粪池，产生的生活污水经预处理设施处理后接入园区污水管网</w:t>
            </w:r>
            <w:r>
              <w:rPr>
                <w:rFonts w:hint="eastAsia" w:cs="Times New Roman"/>
                <w:color w:val="auto"/>
                <w:lang w:eastAsia="zh-CN"/>
              </w:rPr>
              <w:t>，</w:t>
            </w:r>
            <w:r>
              <w:rPr>
                <w:rFonts w:hint="eastAsia" w:cs="Times New Roman"/>
                <w:color w:val="auto"/>
                <w:lang w:val="en-US" w:eastAsia="zh-CN"/>
              </w:rPr>
              <w:t>不会对周边水体造成不良影响。</w:t>
            </w:r>
          </w:p>
          <w:p w14:paraId="5EF8E1CD">
            <w:pPr>
              <w:pStyle w:val="42"/>
              <w:rPr>
                <w:rFonts w:hint="default" w:cs="Times New Roman"/>
                <w:color w:val="auto"/>
                <w:lang w:val="en-US" w:eastAsia="zh-CN"/>
              </w:rPr>
            </w:pPr>
            <w:r>
              <w:rPr>
                <w:rFonts w:hint="eastAsia" w:cs="Times New Roman"/>
                <w:color w:val="auto"/>
                <w:lang w:val="en-US" w:eastAsia="zh-CN"/>
              </w:rPr>
              <w:t>（2）清管和试压废水</w:t>
            </w:r>
          </w:p>
          <w:p w14:paraId="2A6A9ED9">
            <w:pPr>
              <w:pStyle w:val="42"/>
              <w:rPr>
                <w:rFonts w:hint="eastAsia" w:cs="Times New Roman"/>
                <w:color w:val="auto"/>
                <w:lang w:val="en-US" w:eastAsia="zh-CN"/>
              </w:rPr>
            </w:pPr>
            <w:r>
              <w:rPr>
                <w:rFonts w:hint="eastAsia" w:cs="Times New Roman"/>
                <w:color w:val="auto"/>
                <w:lang w:val="en-US" w:eastAsia="zh-CN"/>
              </w:rPr>
              <w:t>项目清管和试压用水一般采用清洁水，试压用水量为3m</w:t>
            </w:r>
            <w:r>
              <w:rPr>
                <w:rFonts w:hint="eastAsia" w:cs="Times New Roman"/>
                <w:color w:val="auto"/>
                <w:vertAlign w:val="superscript"/>
                <w:lang w:val="en-US" w:eastAsia="zh-CN"/>
              </w:rPr>
              <w:t>3</w:t>
            </w:r>
            <w:r>
              <w:rPr>
                <w:rFonts w:hint="eastAsia" w:cs="Times New Roman"/>
                <w:color w:val="auto"/>
                <w:lang w:val="en-US" w:eastAsia="zh-CN"/>
              </w:rPr>
              <w:t>，试压废水产生量按用水量的80%计算，试压废水排放量约为2.4m</w:t>
            </w:r>
            <w:r>
              <w:rPr>
                <w:rFonts w:hint="eastAsia" w:cs="Times New Roman"/>
                <w:color w:val="auto"/>
                <w:vertAlign w:val="superscript"/>
                <w:lang w:val="en-US" w:eastAsia="zh-CN"/>
              </w:rPr>
              <w:t>3</w:t>
            </w:r>
            <w:r>
              <w:rPr>
                <w:rFonts w:hint="eastAsia" w:cs="Times New Roman"/>
                <w:color w:val="auto"/>
                <w:lang w:val="en-US" w:eastAsia="zh-CN"/>
              </w:rPr>
              <w:t>，主要污染物为悬浮物，排入润土公司厂区废水收集池，纳入园区污水管网，基本不会对周边水体造成不良影响。</w:t>
            </w:r>
          </w:p>
          <w:p w14:paraId="11960550">
            <w:pPr>
              <w:pStyle w:val="42"/>
              <w:numPr>
                <w:ilvl w:val="0"/>
                <w:numId w:val="0"/>
              </w:numPr>
              <w:ind w:firstLine="482" w:firstLineChars="200"/>
              <w:rPr>
                <w:rFonts w:hint="eastAsia" w:cs="Times New Roman"/>
                <w:b/>
                <w:bCs/>
                <w:color w:val="auto"/>
                <w:lang w:val="en-US" w:eastAsia="zh-CN"/>
              </w:rPr>
            </w:pPr>
            <w:r>
              <w:rPr>
                <w:rFonts w:hint="eastAsia" w:cs="Times New Roman"/>
                <w:b/>
                <w:bCs/>
                <w:color w:val="auto"/>
                <w:lang w:val="en-US" w:eastAsia="zh-CN"/>
              </w:rPr>
              <w:t>4.1.5 施工期固体废物环境影响分析</w:t>
            </w:r>
          </w:p>
          <w:p w14:paraId="609627D9">
            <w:pPr>
              <w:pStyle w:val="42"/>
              <w:numPr>
                <w:ilvl w:val="0"/>
                <w:numId w:val="0"/>
              </w:numPr>
              <w:ind w:firstLine="480" w:firstLineChars="200"/>
              <w:rPr>
                <w:rFonts w:hint="eastAsia" w:cs="Times New Roman"/>
                <w:color w:val="auto"/>
                <w:lang w:val="en-US" w:eastAsia="zh-CN"/>
              </w:rPr>
            </w:pPr>
            <w:r>
              <w:rPr>
                <w:rFonts w:hint="eastAsia" w:cs="Times New Roman"/>
                <w:color w:val="auto"/>
                <w:lang w:val="en-US" w:eastAsia="zh-CN"/>
              </w:rPr>
              <w:t>施工期固体废物主要为施工人员的生活垃圾、废焊条以及废油漆桶/刷。</w:t>
            </w:r>
          </w:p>
          <w:p w14:paraId="375FBCC6">
            <w:pPr>
              <w:pStyle w:val="42"/>
              <w:numPr>
                <w:ilvl w:val="0"/>
                <w:numId w:val="0"/>
              </w:numPr>
              <w:ind w:firstLine="480" w:firstLineChars="200"/>
              <w:rPr>
                <w:rFonts w:hint="eastAsia" w:cs="Times New Roman"/>
                <w:color w:val="auto"/>
                <w:lang w:val="en-US" w:eastAsia="zh-CN"/>
              </w:rPr>
            </w:pPr>
            <w:r>
              <w:rPr>
                <w:rFonts w:hint="eastAsia" w:cs="Times New Roman"/>
                <w:color w:val="auto"/>
                <w:lang w:val="en-US" w:eastAsia="zh-CN"/>
              </w:rPr>
              <w:t>（1）施工生活垃圾</w:t>
            </w:r>
          </w:p>
          <w:p w14:paraId="18D209D4">
            <w:pPr>
              <w:pStyle w:val="42"/>
              <w:rPr>
                <w:rFonts w:hint="eastAsia" w:cs="Times New Roman"/>
                <w:color w:val="auto"/>
                <w:lang w:val="en-US" w:eastAsia="zh-CN"/>
              </w:rPr>
            </w:pPr>
            <w:r>
              <w:rPr>
                <w:rFonts w:hint="eastAsia" w:cs="Times New Roman"/>
                <w:color w:val="auto"/>
                <w:lang w:val="en-US" w:eastAsia="zh-CN"/>
              </w:rPr>
              <w:t>生活垃圾产生量按每天0.8kg/人计，本项目工期约为1个月（30天），施工人数20人。则生活垃圾总量约为0.48t。委托当地环卫部门定期清理。</w:t>
            </w:r>
          </w:p>
          <w:p w14:paraId="55EB0E12">
            <w:pPr>
              <w:pStyle w:val="42"/>
              <w:rPr>
                <w:rFonts w:hint="eastAsia" w:cs="Times New Roman"/>
                <w:color w:val="auto"/>
                <w:lang w:val="en-US" w:eastAsia="zh-CN"/>
              </w:rPr>
            </w:pPr>
            <w:r>
              <w:rPr>
                <w:rFonts w:hint="eastAsia" w:cs="Times New Roman"/>
                <w:color w:val="auto"/>
                <w:lang w:val="en-US" w:eastAsia="zh-CN"/>
              </w:rPr>
              <w:t>（2）废焊条</w:t>
            </w:r>
          </w:p>
          <w:p w14:paraId="6D54F6AE">
            <w:pPr>
              <w:pStyle w:val="42"/>
              <w:rPr>
                <w:rFonts w:hint="eastAsia" w:cs="Times New Roman"/>
                <w:color w:val="auto"/>
                <w:lang w:val="en-US" w:eastAsia="zh-CN"/>
              </w:rPr>
            </w:pPr>
            <w:r>
              <w:rPr>
                <w:rFonts w:hint="eastAsia" w:cs="Times New Roman"/>
                <w:color w:val="auto"/>
                <w:lang w:val="en-US" w:eastAsia="zh-CN"/>
              </w:rPr>
              <w:t>管道作业中产生的废焊条属于一般固废，按150kg/km计算，本项目产生的废焊条约为0.1t。经分类收集后外售物资回收公司。</w:t>
            </w:r>
          </w:p>
          <w:p w14:paraId="54A21320">
            <w:pPr>
              <w:pStyle w:val="42"/>
              <w:rPr>
                <w:rFonts w:hint="eastAsia" w:cs="Times New Roman"/>
                <w:color w:val="auto"/>
                <w:lang w:val="en-US" w:eastAsia="zh-CN"/>
              </w:rPr>
            </w:pPr>
            <w:r>
              <w:rPr>
                <w:rFonts w:hint="eastAsia" w:cs="Times New Roman"/>
                <w:color w:val="auto"/>
                <w:lang w:val="en-US" w:eastAsia="zh-CN"/>
              </w:rPr>
              <w:t>（3）废油漆桶/刷</w:t>
            </w:r>
          </w:p>
          <w:p w14:paraId="73FAC23E">
            <w:pPr>
              <w:pStyle w:val="42"/>
              <w:rPr>
                <w:rFonts w:hint="eastAsia" w:cs="Times New Roman"/>
                <w:color w:val="auto"/>
                <w:lang w:val="en-US" w:eastAsia="zh-CN"/>
              </w:rPr>
            </w:pPr>
            <w:r>
              <w:rPr>
                <w:rFonts w:hint="eastAsia" w:cs="Times New Roman"/>
                <w:color w:val="auto"/>
                <w:lang w:val="en-US" w:eastAsia="zh-CN"/>
              </w:rPr>
              <w:t>本项目管道焊接处需补漆进行防腐处理，产生少量的废油漆桶/刷，其产生量约为7.2kg，属于危险废物，废物类别为HW49，废物代码为900-041-49，集中收集后暂存于润土公司厂区内现有危废库，委托具有相应危险废物处置资质的单位进行处理。</w:t>
            </w:r>
          </w:p>
          <w:p w14:paraId="5928C1B8">
            <w:pPr>
              <w:pStyle w:val="42"/>
              <w:rPr>
                <w:rFonts w:hint="eastAsia" w:cs="Times New Roman"/>
                <w:color w:val="auto"/>
                <w:lang w:val="en-US" w:eastAsia="zh-CN"/>
              </w:rPr>
            </w:pPr>
            <w:r>
              <w:rPr>
                <w:rFonts w:hint="eastAsia" w:cs="Times New Roman"/>
                <w:color w:val="auto"/>
                <w:lang w:val="en-US" w:eastAsia="zh-CN"/>
              </w:rPr>
              <w:t>采取上述措施后，可以避免施工期固体废物对环境的影响。</w:t>
            </w:r>
          </w:p>
          <w:p w14:paraId="1527743E">
            <w:pPr>
              <w:pStyle w:val="42"/>
              <w:rPr>
                <w:rFonts w:hint="eastAsia" w:cs="Times New Roman"/>
                <w:b/>
                <w:bCs/>
                <w:color w:val="auto"/>
                <w:lang w:val="en-US" w:eastAsia="zh-CN"/>
              </w:rPr>
            </w:pPr>
            <w:r>
              <w:rPr>
                <w:rFonts w:hint="eastAsia" w:cs="Times New Roman"/>
                <w:b/>
                <w:bCs/>
                <w:color w:val="auto"/>
                <w:lang w:val="en-US" w:eastAsia="zh-CN"/>
              </w:rPr>
              <w:t>依托现有危废库可行性分析</w:t>
            </w:r>
          </w:p>
          <w:p w14:paraId="548789A4">
            <w:pPr>
              <w:pStyle w:val="42"/>
              <w:ind w:left="0" w:leftChars="0" w:firstLine="480" w:firstLineChars="200"/>
              <w:jc w:val="both"/>
              <w:rPr>
                <w:rFonts w:hint="default" w:cs="Times New Roman"/>
                <w:b/>
                <w:bCs/>
                <w:color w:val="auto"/>
                <w:lang w:val="en-US" w:eastAsia="zh-CN"/>
              </w:rPr>
            </w:pPr>
            <w:r>
              <w:rPr>
                <w:rFonts w:hint="eastAsia" w:cs="Times New Roman"/>
                <w:b w:val="0"/>
                <w:bCs w:val="0"/>
                <w:color w:val="auto"/>
                <w:lang w:val="en-US" w:eastAsia="zh-CN"/>
              </w:rPr>
              <w:t>依托润土公司厂区内现有危废暂存库，其面积247.5m</w:t>
            </w:r>
            <w:r>
              <w:rPr>
                <w:rFonts w:hint="eastAsia" w:cs="Times New Roman"/>
                <w:b w:val="0"/>
                <w:bCs w:val="0"/>
                <w:color w:val="auto"/>
                <w:vertAlign w:val="superscript"/>
                <w:lang w:val="en-US" w:eastAsia="zh-CN"/>
              </w:rPr>
              <w:t>2</w:t>
            </w:r>
            <w:r>
              <w:rPr>
                <w:rFonts w:hint="eastAsia" w:cs="Times New Roman"/>
                <w:b w:val="0"/>
                <w:bCs w:val="0"/>
                <w:color w:val="auto"/>
                <w:lang w:val="en-US" w:eastAsia="zh-CN"/>
              </w:rPr>
              <w:t>。现有项目危废最大年产量630.74t/a，</w:t>
            </w:r>
            <w:r>
              <w:rPr>
                <w:rFonts w:hint="eastAsia" w:ascii="Times New Roman" w:hAnsi="Times New Roman" w:eastAsia="仿宋_GB2312" w:cs="Times New Roman"/>
                <w:color w:val="auto"/>
                <w:kern w:val="0"/>
                <w:sz w:val="24"/>
                <w:szCs w:val="24"/>
                <w:lang w:val="en-US" w:eastAsia="zh-CN" w:bidi="ar-SA"/>
              </w:rPr>
              <w:t>占地面积为1</w:t>
            </w:r>
            <w:r>
              <w:rPr>
                <w:rFonts w:hint="eastAsia" w:cs="Times New Roman"/>
                <w:color w:val="auto"/>
                <w:kern w:val="0"/>
                <w:sz w:val="24"/>
                <w:szCs w:val="24"/>
                <w:lang w:val="en-US" w:eastAsia="zh-CN" w:bidi="ar-SA"/>
              </w:rPr>
              <w:t>80</w:t>
            </w:r>
            <w:r>
              <w:rPr>
                <w:rFonts w:hint="eastAsia" w:ascii="Times New Roman" w:hAnsi="Times New Roman" w:eastAsia="仿宋_GB2312" w:cs="Times New Roman"/>
                <w:color w:val="auto"/>
                <w:kern w:val="0"/>
                <w:sz w:val="24"/>
                <w:szCs w:val="24"/>
                <w:lang w:val="en-US" w:eastAsia="zh-CN" w:bidi="ar-SA"/>
              </w:rPr>
              <w:t>m</w:t>
            </w:r>
            <w:r>
              <w:rPr>
                <w:rFonts w:hint="eastAsia" w:ascii="Times New Roman" w:hAnsi="Times New Roman" w:eastAsia="仿宋_GB2312" w:cs="Times New Roman"/>
                <w:color w:val="auto"/>
                <w:kern w:val="0"/>
                <w:sz w:val="24"/>
                <w:szCs w:val="24"/>
                <w:vertAlign w:val="superscript"/>
                <w:lang w:val="en-US" w:eastAsia="zh-CN" w:bidi="ar-SA"/>
              </w:rPr>
              <w:t>2</w:t>
            </w:r>
            <w:r>
              <w:rPr>
                <w:rFonts w:hint="eastAsia" w:ascii="Times New Roman" w:hAnsi="Times New Roman" w:cs="Times New Roman"/>
                <w:color w:val="auto"/>
                <w:kern w:val="0"/>
                <w:sz w:val="24"/>
                <w:szCs w:val="24"/>
                <w:lang w:val="en-US" w:eastAsia="zh-CN" w:bidi="ar-SA"/>
              </w:rPr>
              <w:t>，剩余可用面积约</w:t>
            </w:r>
            <w:r>
              <w:rPr>
                <w:rFonts w:hint="eastAsia" w:cs="Times New Roman"/>
                <w:color w:val="auto"/>
                <w:kern w:val="0"/>
                <w:sz w:val="24"/>
                <w:szCs w:val="24"/>
                <w:lang w:val="en-US" w:eastAsia="zh-CN" w:bidi="ar-SA"/>
              </w:rPr>
              <w:t>67.5</w:t>
            </w:r>
            <w:r>
              <w:rPr>
                <w:rFonts w:hint="eastAsia" w:ascii="Times New Roman" w:hAnsi="Times New Roman" w:cs="Times New Roman"/>
                <w:color w:val="auto"/>
                <w:kern w:val="0"/>
                <w:sz w:val="24"/>
                <w:szCs w:val="24"/>
                <w:lang w:val="en-US" w:eastAsia="zh-CN" w:bidi="ar-SA"/>
              </w:rPr>
              <w:t>m</w:t>
            </w:r>
            <w:r>
              <w:rPr>
                <w:rFonts w:hint="eastAsia" w:ascii="Times New Roman" w:hAnsi="Times New Roman" w:cs="Times New Roman"/>
                <w:color w:val="auto"/>
                <w:kern w:val="0"/>
                <w:sz w:val="24"/>
                <w:szCs w:val="24"/>
                <w:vertAlign w:val="superscript"/>
                <w:lang w:val="en-US" w:eastAsia="zh-CN" w:bidi="ar-SA"/>
              </w:rPr>
              <w:t>2</w:t>
            </w:r>
            <w:r>
              <w:rPr>
                <w:rFonts w:hint="eastAsia" w:ascii="Times New Roman" w:hAnsi="Times New Roman" w:cs="Times New Roman"/>
                <w:color w:val="auto"/>
                <w:kern w:val="0"/>
                <w:sz w:val="24"/>
                <w:szCs w:val="24"/>
                <w:lang w:val="en-US" w:eastAsia="zh-CN" w:bidi="ar-SA"/>
              </w:rPr>
              <w:t>。</w:t>
            </w:r>
            <w:r>
              <w:rPr>
                <w:rFonts w:hint="eastAsia" w:cs="Times New Roman"/>
                <w:b w:val="0"/>
                <w:bCs w:val="0"/>
                <w:color w:val="auto"/>
                <w:lang w:val="en-US" w:eastAsia="zh-CN"/>
              </w:rPr>
              <w:t>本项目施工期间产生的危废量为7.2kg（废油漆桶/刷），采用叠放方式贮存于防泄漏托盘上，预估新增占地面积约1m</w:t>
            </w:r>
            <w:r>
              <w:rPr>
                <w:rFonts w:hint="eastAsia" w:cs="Times New Roman"/>
                <w:b w:val="0"/>
                <w:bCs w:val="0"/>
                <w:color w:val="auto"/>
                <w:vertAlign w:val="superscript"/>
                <w:lang w:val="en-US" w:eastAsia="zh-CN"/>
              </w:rPr>
              <w:t>2</w:t>
            </w:r>
            <w:r>
              <w:rPr>
                <w:rFonts w:hint="eastAsia" w:cs="Times New Roman"/>
                <w:b w:val="0"/>
                <w:bCs w:val="0"/>
                <w:color w:val="auto"/>
                <w:lang w:val="en-US" w:eastAsia="zh-CN"/>
              </w:rPr>
              <w:t>，危废库剩余库容可满足本项目危废暂存需求。</w:t>
            </w:r>
          </w:p>
        </w:tc>
      </w:tr>
      <w:tr w14:paraId="07D4B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475" w:type="pct"/>
            <w:noWrap w:val="0"/>
            <w:tcMar>
              <w:left w:w="28" w:type="dxa"/>
              <w:right w:w="28" w:type="dxa"/>
            </w:tcMar>
            <w:vAlign w:val="center"/>
          </w:tcPr>
          <w:p w14:paraId="491A2D00">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运营期生态环境影响分析</w:t>
            </w:r>
          </w:p>
        </w:tc>
        <w:tc>
          <w:tcPr>
            <w:tcW w:w="4524" w:type="pct"/>
            <w:noWrap w:val="0"/>
            <w:vAlign w:val="top"/>
          </w:tcPr>
          <w:p w14:paraId="5FB46B32">
            <w:pPr>
              <w:pStyle w:val="32"/>
              <w:ind w:firstLine="480"/>
              <w:rPr>
                <w:rFonts w:hint="default" w:ascii="Times New Roman" w:hAnsi="Times New Roman" w:eastAsia="仿宋_GB2312" w:cs="Times New Roman"/>
                <w:b/>
                <w:bCs/>
                <w:color w:val="auto"/>
                <w:lang w:val="en-US" w:eastAsia="zh-CN"/>
              </w:rPr>
            </w:pPr>
            <w:r>
              <w:rPr>
                <w:rFonts w:hint="eastAsia" w:cs="Times New Roman"/>
                <w:b/>
                <w:bCs/>
                <w:color w:val="auto"/>
                <w:lang w:val="en-US" w:eastAsia="zh-CN"/>
              </w:rPr>
              <w:t>4.2.1 运营期废气影响分析</w:t>
            </w:r>
          </w:p>
          <w:p w14:paraId="2D35B694">
            <w:pPr>
              <w:pStyle w:val="32"/>
              <w:ind w:firstLine="480"/>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rPr>
              <w:t>本项目运营期正常工况下无废气排放。</w:t>
            </w:r>
          </w:p>
          <w:p w14:paraId="129DB592">
            <w:pPr>
              <w:pStyle w:val="32"/>
              <w:ind w:firstLine="48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4.2.2</w:t>
            </w:r>
            <w:r>
              <w:rPr>
                <w:rFonts w:hint="eastAsia" w:cs="Times New Roman"/>
                <w:b/>
                <w:bCs/>
                <w:color w:val="auto"/>
                <w:lang w:val="en-US" w:eastAsia="zh-CN"/>
              </w:rPr>
              <w:t xml:space="preserve"> </w:t>
            </w:r>
            <w:r>
              <w:rPr>
                <w:rFonts w:hint="default" w:ascii="Times New Roman" w:hAnsi="Times New Roman" w:eastAsia="仿宋_GB2312" w:cs="Times New Roman"/>
                <w:b/>
                <w:bCs/>
                <w:color w:val="auto"/>
              </w:rPr>
              <w:t>运营期废水影响分析</w:t>
            </w:r>
          </w:p>
          <w:p w14:paraId="19F5DA3B">
            <w:pPr>
              <w:pStyle w:val="32"/>
              <w:ind w:firstLine="480"/>
              <w:rPr>
                <w:rFonts w:hint="default" w:ascii="Times New Roman" w:hAnsi="Times New Roman" w:eastAsia="仿宋_GB2312" w:cs="Times New Roman"/>
                <w:b w:val="0"/>
                <w:bCs w:val="0"/>
                <w:color w:val="auto"/>
              </w:rPr>
            </w:pPr>
            <w:r>
              <w:rPr>
                <w:rFonts w:hint="default" w:ascii="Times New Roman" w:hAnsi="Times New Roman" w:eastAsia="仿宋_GB2312" w:cs="Times New Roman"/>
                <w:b w:val="0"/>
                <w:bCs w:val="0"/>
                <w:color w:val="auto"/>
              </w:rPr>
              <w:t>本项目不涉及站场、阀站等，运营期无废水产生。</w:t>
            </w:r>
          </w:p>
          <w:p w14:paraId="697D6CAC">
            <w:pPr>
              <w:pStyle w:val="32"/>
              <w:ind w:firstLine="48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4.2.3</w:t>
            </w:r>
            <w:r>
              <w:rPr>
                <w:rFonts w:hint="eastAsia" w:cs="Times New Roman"/>
                <w:b/>
                <w:bCs/>
                <w:color w:val="auto"/>
                <w:lang w:val="en-US" w:eastAsia="zh-CN"/>
              </w:rPr>
              <w:t xml:space="preserve"> </w:t>
            </w:r>
            <w:r>
              <w:rPr>
                <w:rFonts w:hint="default" w:ascii="Times New Roman" w:hAnsi="Times New Roman" w:eastAsia="仿宋_GB2312" w:cs="Times New Roman"/>
                <w:b/>
                <w:bCs/>
                <w:color w:val="auto"/>
              </w:rPr>
              <w:t>运营期噪声影响分析</w:t>
            </w:r>
          </w:p>
          <w:p w14:paraId="2C433C28">
            <w:pPr>
              <w:pStyle w:val="32"/>
              <w:ind w:firstLine="480"/>
              <w:rPr>
                <w:rFonts w:hint="default" w:eastAsia="仿宋_GB2312" w:cs="Times New Roman"/>
                <w:b w:val="0"/>
                <w:bCs w:val="0"/>
                <w:color w:val="auto"/>
                <w:lang w:val="en-US" w:eastAsia="zh-CN"/>
              </w:rPr>
            </w:pPr>
            <w:r>
              <w:rPr>
                <w:rFonts w:hint="default" w:ascii="Times New Roman" w:hAnsi="Times New Roman" w:eastAsia="仿宋_GB2312" w:cs="Times New Roman"/>
                <w:b w:val="0"/>
                <w:bCs w:val="0"/>
                <w:color w:val="auto"/>
              </w:rPr>
              <w:t>本项目管线为全密闭管线，运营期正常工况无噪声排放</w:t>
            </w:r>
            <w:r>
              <w:rPr>
                <w:rFonts w:hint="eastAsia" w:cs="Times New Roman"/>
                <w:b w:val="0"/>
                <w:bCs w:val="0"/>
                <w:color w:val="auto"/>
                <w:lang w:eastAsia="zh-CN"/>
              </w:rPr>
              <w:t>，</w:t>
            </w:r>
            <w:r>
              <w:rPr>
                <w:rFonts w:hint="eastAsia" w:cs="Times New Roman"/>
                <w:b w:val="0"/>
                <w:bCs w:val="0"/>
                <w:color w:val="auto"/>
                <w:lang w:val="en-US" w:eastAsia="zh-CN"/>
              </w:rPr>
              <w:t>管道检维修时会产生放空噪声，</w:t>
            </w:r>
            <w:r>
              <w:rPr>
                <w:rFonts w:hint="default" w:ascii="Times New Roman" w:hAnsi="Times New Roman" w:eastAsia="仿宋_GB2312" w:cs="Times New Roman"/>
                <w:b w:val="0"/>
                <w:bCs w:val="0"/>
                <w:color w:val="auto"/>
              </w:rPr>
              <w:t>声源约80dB</w:t>
            </w:r>
            <w:r>
              <w:rPr>
                <w:rFonts w:hint="eastAsia" w:ascii="Times New Roman" w:hAnsi="Times New Roman" w:cs="Times New Roman"/>
                <w:b w:val="0"/>
                <w:bCs w:val="0"/>
                <w:color w:val="auto"/>
                <w:lang w:eastAsia="zh-CN"/>
              </w:rPr>
              <w:t>，</w:t>
            </w:r>
            <w:r>
              <w:rPr>
                <w:rFonts w:hint="eastAsia" w:ascii="Times New Roman" w:hAnsi="Times New Roman" w:cs="Times New Roman"/>
                <w:b w:val="0"/>
                <w:bCs w:val="0"/>
                <w:color w:val="auto"/>
                <w:lang w:val="en-US" w:eastAsia="zh-CN"/>
              </w:rPr>
              <w:t>拟采取综合降噪措施，包括在放空管道上安装消声器、采用隔音材料包裹管道以及使用隔音支架等。</w:t>
            </w:r>
          </w:p>
          <w:p w14:paraId="2407BAB5">
            <w:pPr>
              <w:pStyle w:val="32"/>
              <w:ind w:firstLine="48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4.2.4</w:t>
            </w:r>
            <w:r>
              <w:rPr>
                <w:rFonts w:hint="eastAsia" w:cs="Times New Roman"/>
                <w:b/>
                <w:bCs/>
                <w:color w:val="auto"/>
                <w:lang w:val="en-US" w:eastAsia="zh-CN"/>
              </w:rPr>
              <w:t xml:space="preserve"> </w:t>
            </w:r>
            <w:r>
              <w:rPr>
                <w:rFonts w:hint="default" w:ascii="Times New Roman" w:hAnsi="Times New Roman" w:eastAsia="仿宋_GB2312" w:cs="Times New Roman"/>
                <w:b/>
                <w:bCs/>
                <w:color w:val="auto"/>
              </w:rPr>
              <w:t>运营期固废影响分析</w:t>
            </w:r>
          </w:p>
          <w:p w14:paraId="20FE2C7F">
            <w:pPr>
              <w:pStyle w:val="32"/>
              <w:ind w:firstLine="480"/>
              <w:rPr>
                <w:rFonts w:hint="eastAsia" w:ascii="Times New Roman" w:hAnsi="Times New Roman" w:eastAsia="仿宋_GB2312" w:cs="Times New Roman"/>
                <w:b w:val="0"/>
                <w:bCs w:val="0"/>
                <w:color w:val="auto"/>
                <w:lang w:val="en-US" w:eastAsia="zh-CN"/>
              </w:rPr>
            </w:pPr>
            <w:r>
              <w:rPr>
                <w:rFonts w:hint="eastAsia" w:cs="Times New Roman"/>
                <w:b w:val="0"/>
                <w:bCs w:val="0"/>
                <w:color w:val="auto"/>
                <w:lang w:val="en-US" w:eastAsia="zh-CN"/>
              </w:rPr>
              <w:t>本项目运行情况下，因管道内运输的为氢气，且为密闭空间，运营期管道内无腐蚀，不需进行清洁处理，且日常巡线维护工作从润土公司现有工作人员中抽调，不新增工作人员，不新增生活垃圾。</w:t>
            </w:r>
          </w:p>
          <w:p w14:paraId="7F4C438E">
            <w:pPr>
              <w:pStyle w:val="32"/>
              <w:ind w:firstLine="48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4.2.</w:t>
            </w:r>
            <w:r>
              <w:rPr>
                <w:rFonts w:hint="eastAsia" w:ascii="Times New Roman" w:hAnsi="Times New Roman" w:cs="Times New Roman"/>
                <w:b/>
                <w:bCs/>
                <w:color w:val="auto"/>
                <w:lang w:val="en-US" w:eastAsia="zh-CN"/>
              </w:rPr>
              <w:t xml:space="preserve">5 </w:t>
            </w:r>
            <w:r>
              <w:rPr>
                <w:rFonts w:hint="default" w:ascii="Times New Roman" w:hAnsi="Times New Roman" w:eastAsia="仿宋_GB2312" w:cs="Times New Roman"/>
                <w:b/>
                <w:bCs/>
                <w:color w:val="auto"/>
              </w:rPr>
              <w:t>运营期</w:t>
            </w:r>
            <w:r>
              <w:rPr>
                <w:rFonts w:hint="eastAsia" w:ascii="Times New Roman" w:hAnsi="Times New Roman" w:cs="Times New Roman"/>
                <w:b/>
                <w:bCs/>
                <w:color w:val="auto"/>
                <w:lang w:val="en-US" w:eastAsia="zh-CN"/>
              </w:rPr>
              <w:t>环境风险</w:t>
            </w:r>
            <w:r>
              <w:rPr>
                <w:rFonts w:hint="default" w:ascii="Times New Roman" w:hAnsi="Times New Roman" w:eastAsia="仿宋_GB2312" w:cs="Times New Roman"/>
                <w:b/>
                <w:bCs/>
                <w:color w:val="auto"/>
              </w:rPr>
              <w:t>影响分析</w:t>
            </w:r>
          </w:p>
          <w:p w14:paraId="2C9D31F7">
            <w:pPr>
              <w:pStyle w:val="32"/>
              <w:ind w:firstLine="480"/>
              <w:rPr>
                <w:rFonts w:hint="default" w:ascii="Times New Roman" w:hAnsi="Times New Roman" w:eastAsia="仿宋_GB2312" w:cs="Times New Roman"/>
                <w:color w:val="auto"/>
              </w:rPr>
            </w:pPr>
            <w:r>
              <w:rPr>
                <w:rFonts w:hint="eastAsia" w:cs="Times New Roman"/>
                <w:b w:val="0"/>
                <w:bCs w:val="0"/>
                <w:color w:val="auto"/>
                <w:lang w:val="en-US" w:eastAsia="zh-CN"/>
              </w:rPr>
              <w:t>详见本项目环境风险评价专项分析。</w:t>
            </w:r>
          </w:p>
        </w:tc>
      </w:tr>
      <w:tr w14:paraId="2ABF9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75" w:type="pct"/>
            <w:noWrap w:val="0"/>
            <w:vAlign w:val="center"/>
          </w:tcPr>
          <w:p w14:paraId="26227AE9">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选址选线环境合理性分析</w:t>
            </w:r>
          </w:p>
        </w:tc>
        <w:tc>
          <w:tcPr>
            <w:tcW w:w="4524" w:type="pct"/>
            <w:noWrap w:val="0"/>
            <w:vAlign w:val="top"/>
          </w:tcPr>
          <w:p w14:paraId="52425246">
            <w:pPr>
              <w:pStyle w:val="32"/>
              <w:ind w:firstLine="480"/>
              <w:rPr>
                <w:rFonts w:hint="eastAsia" w:cs="Times New Roman"/>
                <w:color w:val="auto"/>
                <w:lang w:val="en-US" w:eastAsia="zh-CN"/>
              </w:rPr>
            </w:pPr>
            <w:r>
              <w:rPr>
                <w:rFonts w:hint="eastAsia" w:cs="Times New Roman"/>
                <w:color w:val="auto"/>
                <w:lang w:val="en-US" w:eastAsia="zh-CN"/>
              </w:rPr>
              <w:t>本项目管线拟依托园区既有公共管廊及管墩，分别采用管廊架空敷设与管墩敷设方式。本项目关于管廊、管墩的管位规划与使用申请，已获得淮北市浍铚工业管廊运营有限公司的批准（详见附件4）。项目用地符合相关规划要求。</w:t>
            </w:r>
          </w:p>
          <w:p w14:paraId="5FA662BA">
            <w:pPr>
              <w:pStyle w:val="32"/>
              <w:ind w:firstLine="480"/>
              <w:rPr>
                <w:rFonts w:hint="default" w:ascii="Times New Roman" w:hAnsi="Times New Roman" w:eastAsia="仿宋_GB2312" w:cs="Times New Roman"/>
                <w:color w:val="auto"/>
              </w:rPr>
            </w:pPr>
            <w:r>
              <w:rPr>
                <w:rFonts w:hint="eastAsia" w:ascii="Times New Roman" w:hAnsi="Times New Roman" w:eastAsia="仿宋_GB2312" w:cs="Times New Roman"/>
                <w:color w:val="auto"/>
                <w:lang w:val="en-US" w:eastAsia="zh-CN"/>
              </w:rPr>
              <w:t>项目</w:t>
            </w:r>
            <w:r>
              <w:rPr>
                <w:rFonts w:hint="eastAsia" w:cs="Times New Roman"/>
                <w:color w:val="auto"/>
                <w:lang w:val="en-US" w:eastAsia="zh-CN"/>
              </w:rPr>
              <w:t>管线两侧外5</w:t>
            </w:r>
            <w:r>
              <w:rPr>
                <w:rFonts w:hint="eastAsia" w:ascii="Times New Roman" w:hAnsi="Times New Roman" w:eastAsia="仿宋_GB2312" w:cs="Times New Roman"/>
                <w:color w:val="auto"/>
                <w:lang w:val="en-US" w:eastAsia="zh-CN"/>
              </w:rPr>
              <w:t>0m范围内无声环境保护目标，施工期及运营期落实相关环保措施后，对环境的影响较小；项目管线两侧外500米范围内无地下水集中式饮用水水源和热水、矿泉水、温泉等特殊地下水资源</w:t>
            </w:r>
            <w:r>
              <w:rPr>
                <w:rFonts w:hint="eastAsia" w:cs="Times New Roman"/>
                <w:color w:val="auto"/>
                <w:lang w:val="en-US" w:eastAsia="zh-CN"/>
              </w:rPr>
              <w:t>；</w:t>
            </w:r>
            <w:r>
              <w:rPr>
                <w:rFonts w:hint="eastAsia" w:ascii="Times New Roman" w:hAnsi="Times New Roman" w:eastAsia="仿宋_GB2312" w:cs="Times New Roman"/>
                <w:color w:val="auto"/>
                <w:lang w:val="en-US" w:eastAsia="zh-CN"/>
              </w:rPr>
              <w:t>项目沿线植被类型多为人工栽种的绿化树种，沿线周边300m范围内无国家、地方保护类野生动植物和古树名木。因此，从生态环境影响角度分析本项目管线布设方案是合理的。</w:t>
            </w:r>
          </w:p>
        </w:tc>
      </w:tr>
    </w:tbl>
    <w:p w14:paraId="04B3D52C">
      <w:pPr>
        <w:jc w:val="center"/>
        <w:rPr>
          <w:rFonts w:hint="default" w:ascii="Times New Roman" w:hAnsi="Times New Roman" w:eastAsia="仿宋_GB2312" w:cs="Times New Roman"/>
          <w:snapToGrid w:val="0"/>
          <w:color w:val="000000"/>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42A97EFD">
      <w:pPr>
        <w:pStyle w:val="3"/>
        <w:spacing w:before="24" w:after="24"/>
        <w:rPr>
          <w:rFonts w:hint="default" w:ascii="Times New Roman" w:hAnsi="Times New Roman" w:eastAsia="仿宋_GB2312" w:cs="Times New Roman"/>
        </w:rPr>
      </w:pPr>
      <w:bookmarkStart w:id="13" w:name="_Toc3052"/>
      <w:r>
        <w:rPr>
          <w:rFonts w:hint="default" w:ascii="Times New Roman" w:hAnsi="Times New Roman" w:eastAsia="仿宋_GB2312" w:cs="Times New Roman"/>
        </w:rPr>
        <w:t>五、主要生态环境保护措施</w:t>
      </w:r>
      <w:bookmarkEnd w:id="13"/>
    </w:p>
    <w:tbl>
      <w:tblPr>
        <w:tblStyle w:val="1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6"/>
        <w:gridCol w:w="8274"/>
      </w:tblGrid>
      <w:tr w14:paraId="70C47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4" w:hRule="atLeast"/>
          <w:jc w:val="center"/>
        </w:trPr>
        <w:tc>
          <w:tcPr>
            <w:tcW w:w="936" w:type="dxa"/>
            <w:noWrap w:val="0"/>
            <w:tcMar>
              <w:left w:w="28" w:type="dxa"/>
              <w:right w:w="28" w:type="dxa"/>
            </w:tcMar>
            <w:vAlign w:val="center"/>
          </w:tcPr>
          <w:p w14:paraId="57706600">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施工期生态环境保护措施</w:t>
            </w:r>
          </w:p>
        </w:tc>
        <w:tc>
          <w:tcPr>
            <w:tcW w:w="8274" w:type="dxa"/>
            <w:noWrap w:val="0"/>
            <w:vAlign w:val="top"/>
          </w:tcPr>
          <w:p w14:paraId="0AFF1661">
            <w:pPr>
              <w:pStyle w:val="32"/>
              <w:ind w:firstLine="480"/>
              <w:rPr>
                <w:rFonts w:hint="default" w:ascii="Times New Roman" w:hAnsi="Times New Roman" w:eastAsia="仿宋_GB2312" w:cs="Times New Roman"/>
                <w:b/>
                <w:bCs/>
                <w:color w:val="auto"/>
              </w:rPr>
            </w:pPr>
            <w:r>
              <w:rPr>
                <w:rFonts w:hint="eastAsia" w:cs="Times New Roman"/>
                <w:b/>
                <w:bCs/>
                <w:color w:val="auto"/>
                <w:lang w:val="en-US" w:eastAsia="zh-CN"/>
              </w:rPr>
              <w:t xml:space="preserve">5.1.1 </w:t>
            </w:r>
            <w:r>
              <w:rPr>
                <w:rFonts w:hint="default" w:ascii="Times New Roman" w:hAnsi="Times New Roman" w:eastAsia="仿宋_GB2312" w:cs="Times New Roman"/>
                <w:b/>
                <w:bCs/>
                <w:color w:val="auto"/>
              </w:rPr>
              <w:t>施工期生态环境保护措施</w:t>
            </w:r>
          </w:p>
          <w:p w14:paraId="687FBAC6">
            <w:pPr>
              <w:pStyle w:val="32"/>
              <w:ind w:firstLine="480"/>
              <w:rPr>
                <w:rFonts w:hint="eastAsia" w:cs="Times New Roman"/>
                <w:color w:val="auto"/>
                <w:lang w:eastAsia="zh-CN"/>
              </w:rPr>
            </w:pPr>
            <w:r>
              <w:rPr>
                <w:rFonts w:hint="eastAsia" w:cs="Times New Roman"/>
                <w:color w:val="auto"/>
                <w:lang w:eastAsia="zh-CN"/>
              </w:rPr>
              <w:t>结合本项目特点，建议采取以下生态环境保护措施：</w:t>
            </w:r>
          </w:p>
          <w:p w14:paraId="79802529">
            <w:pPr>
              <w:pStyle w:val="32"/>
              <w:ind w:firstLine="480"/>
              <w:rPr>
                <w:rFonts w:hint="eastAsia" w:cs="Times New Roman"/>
                <w:b/>
                <w:bCs/>
                <w:color w:val="auto"/>
                <w:lang w:eastAsia="zh-CN"/>
              </w:rPr>
            </w:pPr>
            <w:r>
              <w:rPr>
                <w:rFonts w:hint="eastAsia" w:cs="Times New Roman"/>
                <w:b/>
                <w:bCs/>
                <w:color w:val="auto"/>
                <w:lang w:eastAsia="zh-CN"/>
              </w:rPr>
              <w:t>5.1.1.1</w:t>
            </w:r>
            <w:r>
              <w:rPr>
                <w:rFonts w:hint="eastAsia" w:cs="Times New Roman"/>
                <w:b/>
                <w:bCs/>
                <w:color w:val="auto"/>
                <w:lang w:val="en-US" w:eastAsia="zh-CN"/>
              </w:rPr>
              <w:t xml:space="preserve"> </w:t>
            </w:r>
            <w:r>
              <w:rPr>
                <w:rFonts w:hint="eastAsia" w:cs="Times New Roman"/>
                <w:b/>
                <w:bCs/>
                <w:color w:val="auto"/>
                <w:lang w:eastAsia="zh-CN"/>
              </w:rPr>
              <w:t>植被保护措施</w:t>
            </w:r>
          </w:p>
          <w:p w14:paraId="71F515F4">
            <w:pPr>
              <w:pStyle w:val="32"/>
              <w:ind w:firstLine="480"/>
              <w:rPr>
                <w:rFonts w:hint="eastAsia" w:cs="Times New Roman"/>
                <w:color w:val="auto"/>
                <w:lang w:eastAsia="zh-CN"/>
              </w:rPr>
            </w:pPr>
            <w:r>
              <w:rPr>
                <w:rFonts w:hint="eastAsia" w:cs="Times New Roman"/>
                <w:color w:val="auto"/>
                <w:lang w:eastAsia="zh-CN"/>
              </w:rPr>
              <w:t>（1）施工期要加强施工人员管理，不得随意破坏沿线及周边的植被；</w:t>
            </w:r>
          </w:p>
          <w:p w14:paraId="08B7567E">
            <w:pPr>
              <w:pStyle w:val="32"/>
              <w:ind w:firstLine="480"/>
              <w:rPr>
                <w:rFonts w:hint="eastAsia" w:cs="Times New Roman"/>
                <w:color w:val="auto"/>
                <w:lang w:eastAsia="zh-CN"/>
              </w:rPr>
            </w:pPr>
            <w:r>
              <w:rPr>
                <w:rFonts w:hint="eastAsia" w:cs="Times New Roman"/>
                <w:color w:val="auto"/>
                <w:lang w:eastAsia="zh-CN"/>
              </w:rPr>
              <w:t>（2）尽量减轻对施工作业带内及作业场外的绿化带的破坏，严格规定施工车辆的行驶路线，防止施工车辆压坏绿化带植被；</w:t>
            </w:r>
          </w:p>
          <w:p w14:paraId="2D3DB10C">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）施工期的各种固体废物均进行收集后妥善处理，不得随意抛弃；</w:t>
            </w:r>
          </w:p>
          <w:p w14:paraId="652FDA87">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4</w:t>
            </w:r>
            <w:r>
              <w:rPr>
                <w:rFonts w:hint="eastAsia" w:cs="Times New Roman"/>
                <w:color w:val="auto"/>
                <w:lang w:eastAsia="zh-CN"/>
              </w:rPr>
              <w:t>）施工结束后要及时对临时占地进行植被恢复工作，原为绿化带的恢复为绿化带，原为道路的恢复为道路。</w:t>
            </w:r>
          </w:p>
          <w:p w14:paraId="2276B94D">
            <w:pPr>
              <w:pStyle w:val="32"/>
              <w:ind w:firstLine="480"/>
              <w:rPr>
                <w:rFonts w:hint="eastAsia" w:cs="Times New Roman"/>
                <w:b/>
                <w:bCs/>
                <w:color w:val="auto"/>
                <w:lang w:eastAsia="zh-CN"/>
              </w:rPr>
            </w:pPr>
            <w:r>
              <w:rPr>
                <w:rFonts w:hint="eastAsia" w:cs="Times New Roman"/>
                <w:b/>
                <w:bCs/>
                <w:color w:val="auto"/>
                <w:lang w:eastAsia="zh-CN"/>
              </w:rPr>
              <w:t>5.1.1.2</w:t>
            </w:r>
            <w:r>
              <w:rPr>
                <w:rFonts w:hint="eastAsia" w:cs="Times New Roman"/>
                <w:b/>
                <w:bCs/>
                <w:color w:val="auto"/>
                <w:lang w:val="en-US" w:eastAsia="zh-CN"/>
              </w:rPr>
              <w:t xml:space="preserve"> </w:t>
            </w:r>
            <w:r>
              <w:rPr>
                <w:rFonts w:hint="eastAsia" w:cs="Times New Roman"/>
                <w:b/>
                <w:bCs/>
                <w:color w:val="auto"/>
                <w:lang w:eastAsia="zh-CN"/>
              </w:rPr>
              <w:t>动物保护措施</w:t>
            </w:r>
          </w:p>
          <w:p w14:paraId="04D3F6C3">
            <w:pPr>
              <w:pStyle w:val="32"/>
              <w:ind w:firstLine="480"/>
              <w:rPr>
                <w:rFonts w:hint="eastAsia" w:cs="Times New Roman"/>
                <w:color w:val="auto"/>
                <w:lang w:eastAsia="zh-CN"/>
              </w:rPr>
            </w:pPr>
            <w:r>
              <w:rPr>
                <w:rFonts w:hint="eastAsia" w:cs="Times New Roman"/>
                <w:color w:val="auto"/>
                <w:lang w:eastAsia="zh-CN"/>
              </w:rPr>
              <w:t>（1）优选施工时间，避开动物活动的高峰时段（早晨、黄昏和晚上），尽量避免在该时段进行高噪声作业；</w:t>
            </w:r>
          </w:p>
          <w:p w14:paraId="2F0332C9">
            <w:pPr>
              <w:pStyle w:val="32"/>
              <w:ind w:firstLine="480"/>
              <w:rPr>
                <w:rFonts w:hint="eastAsia" w:cs="Times New Roman"/>
                <w:color w:val="auto"/>
                <w:lang w:eastAsia="zh-CN"/>
              </w:rPr>
            </w:pPr>
            <w:r>
              <w:rPr>
                <w:rFonts w:hint="eastAsia" w:cs="Times New Roman"/>
                <w:color w:val="auto"/>
                <w:lang w:eastAsia="zh-CN"/>
              </w:rPr>
              <w:t>（2）加强施工人员环保教育，施工过程中严禁伤害动物，为避免伤害可以适度驱赶；</w:t>
            </w:r>
          </w:p>
          <w:p w14:paraId="4984112F">
            <w:pPr>
              <w:pStyle w:val="32"/>
              <w:ind w:firstLine="480"/>
              <w:rPr>
                <w:rFonts w:hint="eastAsia" w:cs="Times New Roman"/>
                <w:color w:val="auto"/>
                <w:lang w:eastAsia="zh-CN"/>
              </w:rPr>
            </w:pPr>
            <w:r>
              <w:rPr>
                <w:rFonts w:hint="eastAsia" w:cs="Times New Roman"/>
                <w:color w:val="auto"/>
                <w:lang w:eastAsia="zh-CN"/>
              </w:rPr>
              <w:t>（3）加强施工期固废管理，统一收集后妥善存储，不得随意抛弃。</w:t>
            </w:r>
          </w:p>
          <w:p w14:paraId="1D334358">
            <w:pPr>
              <w:pStyle w:val="32"/>
              <w:ind w:firstLine="480"/>
              <w:rPr>
                <w:rFonts w:hint="default" w:ascii="Times New Roman" w:hAnsi="Times New Roman" w:eastAsia="仿宋_GB2312" w:cs="Times New Roman"/>
                <w:b/>
                <w:bCs/>
                <w:color w:val="auto"/>
              </w:rPr>
            </w:pPr>
            <w:r>
              <w:rPr>
                <w:rFonts w:hint="eastAsia" w:cs="Times New Roman"/>
                <w:b/>
                <w:bCs/>
                <w:color w:val="auto"/>
                <w:lang w:val="en-US" w:eastAsia="zh-CN"/>
              </w:rPr>
              <w:t xml:space="preserve">5.1.1.3 </w:t>
            </w:r>
            <w:r>
              <w:rPr>
                <w:rFonts w:hint="default" w:ascii="Times New Roman" w:hAnsi="Times New Roman" w:eastAsia="仿宋_GB2312" w:cs="Times New Roman"/>
                <w:b/>
                <w:bCs/>
                <w:color w:val="auto"/>
              </w:rPr>
              <w:t>临时占地设置要求</w:t>
            </w:r>
          </w:p>
          <w:p w14:paraId="3DD156FA">
            <w:pPr>
              <w:pStyle w:val="32"/>
              <w:ind w:firstLine="480"/>
              <w:rPr>
                <w:rFonts w:hint="eastAsia" w:cs="Times New Roman"/>
                <w:color w:val="auto"/>
                <w:lang w:eastAsia="zh-CN"/>
              </w:rPr>
            </w:pPr>
            <w:r>
              <w:rPr>
                <w:rFonts w:hint="default" w:ascii="Times New Roman" w:hAnsi="Times New Roman" w:eastAsia="仿宋_GB2312" w:cs="Times New Roman"/>
                <w:color w:val="auto"/>
              </w:rPr>
              <w:t>临时办公用房、施工便道等临时工程选址的环保要求如下</w:t>
            </w:r>
            <w:r>
              <w:rPr>
                <w:rFonts w:hint="eastAsia" w:cs="Times New Roman"/>
                <w:color w:val="auto"/>
                <w:lang w:eastAsia="zh-CN"/>
              </w:rPr>
              <w:t>：</w:t>
            </w:r>
          </w:p>
          <w:p w14:paraId="49A695D6">
            <w:pPr>
              <w:pStyle w:val="32"/>
              <w:numPr>
                <w:ilvl w:val="0"/>
                <w:numId w:val="4"/>
              </w:num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临时办公用房和管材堆放场等临时用地设置在</w:t>
            </w:r>
            <w:r>
              <w:rPr>
                <w:rFonts w:hint="eastAsia" w:cs="Times New Roman"/>
                <w:color w:val="auto"/>
                <w:lang w:val="en-US" w:eastAsia="zh-CN"/>
              </w:rPr>
              <w:t>润土公司</w:t>
            </w:r>
            <w:r>
              <w:rPr>
                <w:rFonts w:hint="default" w:ascii="Times New Roman" w:hAnsi="Times New Roman" w:eastAsia="仿宋_GB2312" w:cs="Times New Roman"/>
                <w:color w:val="auto"/>
              </w:rPr>
              <w:t>厂区内。</w:t>
            </w:r>
          </w:p>
          <w:p w14:paraId="12FB9A3A">
            <w:pPr>
              <w:pStyle w:val="32"/>
              <w:numPr>
                <w:ilvl w:val="0"/>
                <w:numId w:val="4"/>
              </w:num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施工便道利用现有园区道路，施工运输车辆按照指定运输道路路线行驶，禁止加开新路，减少对地表植被的破坏</w:t>
            </w:r>
            <w:r>
              <w:rPr>
                <w:rFonts w:hint="eastAsia" w:cs="Times New Roman"/>
                <w:color w:val="auto"/>
                <w:lang w:eastAsia="zh-CN"/>
              </w:rPr>
              <w:t>；</w:t>
            </w:r>
            <w:r>
              <w:rPr>
                <w:rFonts w:hint="default" w:ascii="Times New Roman" w:hAnsi="Times New Roman" w:eastAsia="仿宋_GB2312" w:cs="Times New Roman"/>
                <w:color w:val="auto"/>
              </w:rPr>
              <w:t>同时注意做好路面洒水等防尘工作，减少扬尘影响。</w:t>
            </w:r>
          </w:p>
          <w:p w14:paraId="015BA10E">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临时用地为</w:t>
            </w:r>
            <w:r>
              <w:rPr>
                <w:rFonts w:hint="eastAsia" w:cs="Times New Roman"/>
                <w:color w:val="auto"/>
                <w:lang w:val="en-US" w:eastAsia="zh-CN"/>
              </w:rPr>
              <w:t>润土公司</w:t>
            </w:r>
            <w:r>
              <w:rPr>
                <w:rFonts w:hint="default" w:ascii="Times New Roman" w:hAnsi="Times New Roman" w:eastAsia="仿宋_GB2312" w:cs="Times New Roman"/>
                <w:color w:val="auto"/>
              </w:rPr>
              <w:t>厂内现有工业用地，本项目总工期为</w:t>
            </w:r>
            <w:r>
              <w:rPr>
                <w:rFonts w:hint="eastAsia" w:cs="Times New Roman"/>
                <w:color w:val="auto"/>
                <w:lang w:val="en-US" w:eastAsia="zh-CN"/>
              </w:rPr>
              <w:t>1</w:t>
            </w:r>
            <w:r>
              <w:rPr>
                <w:rFonts w:hint="default" w:ascii="Times New Roman" w:hAnsi="Times New Roman" w:eastAsia="仿宋_GB2312" w:cs="Times New Roman"/>
                <w:color w:val="auto"/>
              </w:rPr>
              <w:t>个月，工期较短，项目施工期对临时用地不产生生态环境的不良影响。</w:t>
            </w:r>
          </w:p>
          <w:p w14:paraId="1DA184E0">
            <w:pPr>
              <w:pStyle w:val="32"/>
              <w:ind w:firstLine="480"/>
              <w:rPr>
                <w:rFonts w:hint="eastAsia" w:cs="Times New Roman"/>
                <w:b/>
                <w:bCs/>
                <w:color w:val="auto"/>
                <w:lang w:eastAsia="zh-CN"/>
              </w:rPr>
            </w:pPr>
            <w:r>
              <w:rPr>
                <w:rFonts w:hint="eastAsia" w:cs="Times New Roman"/>
                <w:b/>
                <w:bCs/>
                <w:color w:val="auto"/>
                <w:lang w:eastAsia="zh-CN"/>
              </w:rPr>
              <w:t>5.1.2</w:t>
            </w:r>
            <w:r>
              <w:rPr>
                <w:rFonts w:hint="eastAsia" w:cs="Times New Roman"/>
                <w:b/>
                <w:bCs/>
                <w:color w:val="auto"/>
                <w:lang w:val="en-US" w:eastAsia="zh-CN"/>
              </w:rPr>
              <w:t xml:space="preserve"> </w:t>
            </w:r>
            <w:r>
              <w:rPr>
                <w:rFonts w:hint="eastAsia" w:cs="Times New Roman"/>
                <w:b/>
                <w:bCs/>
                <w:color w:val="auto"/>
                <w:lang w:eastAsia="zh-CN"/>
              </w:rPr>
              <w:t>施工期大气环境保护措施</w:t>
            </w:r>
          </w:p>
          <w:p w14:paraId="122219C7">
            <w:pPr>
              <w:pStyle w:val="32"/>
              <w:ind w:firstLine="480"/>
              <w:rPr>
                <w:rFonts w:hint="eastAsia" w:cs="Times New Roman"/>
                <w:b/>
                <w:bCs/>
                <w:color w:val="auto"/>
                <w:lang w:eastAsia="zh-CN"/>
              </w:rPr>
            </w:pPr>
            <w:r>
              <w:rPr>
                <w:rFonts w:hint="eastAsia" w:cs="Times New Roman"/>
                <w:b/>
                <w:bCs/>
                <w:color w:val="auto"/>
                <w:lang w:eastAsia="zh-CN"/>
              </w:rPr>
              <w:t>5.1.2.1</w:t>
            </w:r>
            <w:r>
              <w:rPr>
                <w:rFonts w:hint="eastAsia" w:cs="Times New Roman"/>
                <w:b/>
                <w:bCs/>
                <w:color w:val="auto"/>
                <w:lang w:val="en-US" w:eastAsia="zh-CN"/>
              </w:rPr>
              <w:t xml:space="preserve"> </w:t>
            </w:r>
            <w:r>
              <w:rPr>
                <w:rFonts w:hint="eastAsia" w:cs="Times New Roman"/>
                <w:b/>
                <w:bCs/>
                <w:color w:val="auto"/>
                <w:lang w:eastAsia="zh-CN"/>
              </w:rPr>
              <w:t>施工扬尘防治措施</w:t>
            </w:r>
          </w:p>
          <w:p w14:paraId="5733C579">
            <w:pPr>
              <w:pStyle w:val="32"/>
              <w:ind w:firstLine="480"/>
              <w:rPr>
                <w:rFonts w:hint="eastAsia" w:cs="Times New Roman"/>
                <w:color w:val="auto"/>
                <w:lang w:eastAsia="zh-CN"/>
              </w:rPr>
            </w:pPr>
            <w:r>
              <w:rPr>
                <w:rFonts w:hint="eastAsia" w:cs="Times New Roman"/>
                <w:color w:val="auto"/>
                <w:lang w:eastAsia="zh-CN"/>
              </w:rPr>
              <w:t>结合《安徽省大气污染防治条例》、《安徽省打赢蓝天保卫战三年行动计划实施方案》、《安徽省大气污染防治行动计划实施方案》、《</w:t>
            </w:r>
            <w:r>
              <w:rPr>
                <w:rFonts w:hint="eastAsia" w:cs="Times New Roman"/>
                <w:color w:val="auto"/>
                <w:lang w:val="en-US" w:eastAsia="zh-CN"/>
              </w:rPr>
              <w:t>淮北</w:t>
            </w:r>
            <w:r>
              <w:rPr>
                <w:rFonts w:hint="eastAsia" w:cs="Times New Roman"/>
                <w:color w:val="auto"/>
                <w:lang w:eastAsia="zh-CN"/>
              </w:rPr>
              <w:t>市扬尘污染防治管理办法》的相关要求，施工期扬尘严格落实六个百分百：</w:t>
            </w:r>
          </w:p>
          <w:p w14:paraId="7CA22E29">
            <w:pPr>
              <w:pStyle w:val="32"/>
              <w:ind w:firstLine="480"/>
              <w:rPr>
                <w:rFonts w:hint="eastAsia" w:cs="Times New Roman"/>
                <w:color w:val="auto"/>
                <w:lang w:eastAsia="zh-CN"/>
              </w:rPr>
            </w:pPr>
            <w:r>
              <w:rPr>
                <w:rFonts w:hint="eastAsia" w:cs="Times New Roman"/>
                <w:color w:val="auto"/>
                <w:lang w:eastAsia="zh-CN"/>
              </w:rPr>
              <w:t>（1）施工现场沿工地四周设置连续围挡100%；</w:t>
            </w:r>
          </w:p>
          <w:p w14:paraId="76DAF1C9">
            <w:pPr>
              <w:pStyle w:val="32"/>
              <w:ind w:firstLine="480"/>
              <w:rPr>
                <w:rFonts w:hint="eastAsia" w:cs="Times New Roman"/>
                <w:color w:val="auto"/>
                <w:lang w:eastAsia="zh-CN"/>
              </w:rPr>
            </w:pPr>
            <w:r>
              <w:rPr>
                <w:rFonts w:hint="eastAsia" w:cs="Times New Roman"/>
                <w:color w:val="auto"/>
                <w:lang w:eastAsia="zh-CN"/>
              </w:rPr>
              <w:t>（2）物料、裸露场地遮盖率100%;</w:t>
            </w:r>
          </w:p>
          <w:p w14:paraId="415E6508">
            <w:pPr>
              <w:pStyle w:val="32"/>
              <w:ind w:firstLine="480"/>
              <w:rPr>
                <w:rFonts w:hint="eastAsia" w:cs="Times New Roman"/>
                <w:color w:val="auto"/>
                <w:lang w:eastAsia="zh-CN"/>
              </w:rPr>
            </w:pPr>
            <w:r>
              <w:rPr>
                <w:rFonts w:hint="eastAsia" w:cs="Times New Roman"/>
                <w:color w:val="auto"/>
                <w:lang w:eastAsia="zh-CN"/>
              </w:rPr>
              <w:t>（3）施工现场出入口，主要道路硬化率100%;</w:t>
            </w:r>
          </w:p>
          <w:p w14:paraId="7B47475C">
            <w:pPr>
              <w:pStyle w:val="32"/>
              <w:ind w:firstLine="480"/>
              <w:rPr>
                <w:rFonts w:hint="eastAsia" w:cs="Times New Roman"/>
                <w:color w:val="auto"/>
                <w:lang w:eastAsia="zh-CN"/>
              </w:rPr>
            </w:pPr>
            <w:r>
              <w:rPr>
                <w:rFonts w:hint="eastAsia" w:cs="Times New Roman"/>
                <w:color w:val="auto"/>
                <w:lang w:eastAsia="zh-CN"/>
              </w:rPr>
              <w:t>（4）出场车辆冲洗设施及冲洗制度落实率100%；</w:t>
            </w:r>
          </w:p>
          <w:p w14:paraId="659C158B">
            <w:pPr>
              <w:pStyle w:val="32"/>
              <w:ind w:firstLine="480"/>
              <w:rPr>
                <w:rFonts w:hint="eastAsia" w:cs="Times New Roman"/>
                <w:color w:val="auto"/>
                <w:lang w:eastAsia="zh-CN"/>
              </w:rPr>
            </w:pPr>
            <w:r>
              <w:rPr>
                <w:rFonts w:hint="eastAsia" w:cs="Times New Roman"/>
                <w:color w:val="auto"/>
                <w:lang w:eastAsia="zh-CN"/>
              </w:rPr>
              <w:t>（5）渣土等运输车辆出场密闭率100%；</w:t>
            </w:r>
          </w:p>
          <w:p w14:paraId="7505F4CE">
            <w:pPr>
              <w:pStyle w:val="32"/>
              <w:ind w:firstLine="480"/>
              <w:rPr>
                <w:rFonts w:hint="eastAsia" w:cs="Times New Roman"/>
                <w:color w:val="auto"/>
                <w:lang w:eastAsia="zh-CN"/>
              </w:rPr>
            </w:pPr>
            <w:r>
              <w:rPr>
                <w:rFonts w:hint="eastAsia" w:cs="Times New Roman"/>
                <w:color w:val="auto"/>
                <w:lang w:eastAsia="zh-CN"/>
              </w:rPr>
              <w:t>（6）施工现场扬尘监测和视频监控措施 100％。</w:t>
            </w:r>
          </w:p>
          <w:p w14:paraId="18A9D7AD">
            <w:pPr>
              <w:pStyle w:val="32"/>
              <w:ind w:firstLine="480"/>
              <w:rPr>
                <w:rFonts w:hint="eastAsia" w:cs="Times New Roman"/>
                <w:b/>
                <w:bCs/>
                <w:color w:val="auto"/>
                <w:lang w:eastAsia="zh-CN"/>
              </w:rPr>
            </w:pPr>
            <w:r>
              <w:rPr>
                <w:rFonts w:hint="eastAsia" w:cs="Times New Roman"/>
                <w:b/>
                <w:bCs/>
                <w:color w:val="auto"/>
                <w:lang w:eastAsia="zh-CN"/>
              </w:rPr>
              <w:t>5.1.2.2</w:t>
            </w:r>
            <w:r>
              <w:rPr>
                <w:rFonts w:hint="eastAsia" w:cs="Times New Roman"/>
                <w:b/>
                <w:bCs/>
                <w:color w:val="auto"/>
                <w:lang w:val="en-US" w:eastAsia="zh-CN"/>
              </w:rPr>
              <w:t xml:space="preserve"> </w:t>
            </w:r>
            <w:r>
              <w:rPr>
                <w:rFonts w:hint="eastAsia" w:cs="Times New Roman"/>
                <w:b/>
                <w:bCs/>
                <w:color w:val="auto"/>
                <w:lang w:eastAsia="zh-CN"/>
              </w:rPr>
              <w:t>焊缝涂漆废气防治措施</w:t>
            </w:r>
          </w:p>
          <w:p w14:paraId="1E2CBB81">
            <w:pPr>
              <w:pStyle w:val="32"/>
              <w:ind w:firstLine="480"/>
              <w:rPr>
                <w:rFonts w:hint="eastAsia" w:cs="Times New Roman"/>
                <w:color w:val="auto"/>
                <w:lang w:eastAsia="zh-CN"/>
              </w:rPr>
            </w:pPr>
            <w:r>
              <w:rPr>
                <w:rFonts w:hint="eastAsia" w:cs="Times New Roman"/>
                <w:color w:val="auto"/>
                <w:lang w:eastAsia="zh-CN"/>
              </w:rPr>
              <w:t>所有碳钢管道在入场前均已刷防腐漆，本项目仅对焊接处和破损处刷防腐漆，防腐漆的使用量较少。对于施工</w:t>
            </w:r>
            <w:r>
              <w:rPr>
                <w:rFonts w:hint="eastAsia" w:cs="Times New Roman"/>
                <w:color w:val="auto"/>
                <w:lang w:val="en-US" w:eastAsia="zh-CN"/>
              </w:rPr>
              <w:t>期间</w:t>
            </w:r>
            <w:r>
              <w:rPr>
                <w:rFonts w:hint="eastAsia" w:cs="Times New Roman"/>
                <w:color w:val="auto"/>
                <w:lang w:eastAsia="zh-CN"/>
              </w:rPr>
              <w:t>的管道焊接和刷防腐漆，由于量少而分散，一般不需要采取特别的防治措施。由于施工工程量小，设备安装周期较短，对环境的影响是短暂的，并将随着施工结束而消失。</w:t>
            </w:r>
          </w:p>
          <w:p w14:paraId="505BAF56">
            <w:pPr>
              <w:pStyle w:val="32"/>
              <w:ind w:firstLine="480"/>
              <w:rPr>
                <w:rFonts w:hint="eastAsia" w:cs="Times New Roman"/>
                <w:color w:val="auto"/>
                <w:lang w:eastAsia="zh-CN"/>
              </w:rPr>
            </w:pPr>
            <w:r>
              <w:rPr>
                <w:rFonts w:hint="eastAsia" w:cs="Times New Roman"/>
                <w:color w:val="auto"/>
                <w:lang w:eastAsia="zh-CN"/>
              </w:rPr>
              <w:t>本项目施工期和运营期使用的机械设备涂料中的VOCs含量应满足《涂料中挥发性有机物限量》（DB 32/T3500-2019）中表6规定、《低挥发性有机化合物含量涂料产品技术要求》（GB/T38597-2020）中表2规定。储存涂料的桶应当盖好，避免挥发。应有通风设备，避免溶剂蒸气积聚以减少溶剂蒸气的浓度；防腐涂装施工过程中选用水性涂料或无溶剂涂料，从而避免溶剂挥发对</w:t>
            </w:r>
            <w:r>
              <w:rPr>
                <w:rFonts w:hint="eastAsia" w:cs="Times New Roman"/>
                <w:color w:val="auto"/>
                <w:lang w:val="en-US" w:eastAsia="zh-CN"/>
              </w:rPr>
              <w:t>环</w:t>
            </w:r>
            <w:r>
              <w:rPr>
                <w:rFonts w:hint="eastAsia" w:cs="Times New Roman"/>
                <w:color w:val="auto"/>
                <w:lang w:eastAsia="zh-CN"/>
              </w:rPr>
              <w:t>境空气的污染。</w:t>
            </w:r>
          </w:p>
          <w:p w14:paraId="0FAD2B2C">
            <w:pPr>
              <w:pStyle w:val="32"/>
              <w:ind w:firstLine="480"/>
              <w:rPr>
                <w:rFonts w:hint="eastAsia" w:cs="Times New Roman"/>
                <w:color w:val="auto"/>
                <w:lang w:eastAsia="zh-CN"/>
              </w:rPr>
            </w:pPr>
            <w:r>
              <w:rPr>
                <w:rFonts w:hint="eastAsia" w:cs="Times New Roman"/>
                <w:color w:val="auto"/>
                <w:lang w:eastAsia="zh-CN"/>
              </w:rPr>
              <w:t>项目施工沿线无集中居民区等敏感目标，在采取以上措施后对大气环境的影响较小。</w:t>
            </w:r>
          </w:p>
          <w:p w14:paraId="0E5688A5">
            <w:pPr>
              <w:pStyle w:val="32"/>
              <w:ind w:firstLine="480"/>
              <w:rPr>
                <w:rFonts w:hint="eastAsia" w:cs="Times New Roman"/>
                <w:b/>
                <w:bCs/>
                <w:color w:val="auto"/>
                <w:lang w:eastAsia="zh-CN"/>
              </w:rPr>
            </w:pPr>
            <w:r>
              <w:rPr>
                <w:rFonts w:hint="eastAsia" w:cs="Times New Roman"/>
                <w:b/>
                <w:bCs/>
                <w:color w:val="auto"/>
                <w:lang w:eastAsia="zh-CN"/>
              </w:rPr>
              <w:t>5.1.2.3</w:t>
            </w:r>
            <w:r>
              <w:rPr>
                <w:rFonts w:hint="eastAsia" w:cs="Times New Roman"/>
                <w:b/>
                <w:bCs/>
                <w:color w:val="auto"/>
                <w:lang w:val="en-US" w:eastAsia="zh-CN"/>
              </w:rPr>
              <w:t xml:space="preserve"> </w:t>
            </w:r>
            <w:r>
              <w:rPr>
                <w:rFonts w:hint="eastAsia" w:cs="Times New Roman"/>
                <w:b/>
                <w:bCs/>
                <w:color w:val="auto"/>
                <w:lang w:eastAsia="zh-CN"/>
              </w:rPr>
              <w:t>其他废气防治措施</w:t>
            </w:r>
          </w:p>
          <w:p w14:paraId="1AD47A17">
            <w:pPr>
              <w:pStyle w:val="32"/>
              <w:ind w:firstLine="480"/>
              <w:rPr>
                <w:rFonts w:hint="eastAsia" w:cs="Times New Roman"/>
                <w:color w:val="auto"/>
                <w:lang w:eastAsia="zh-CN"/>
              </w:rPr>
            </w:pPr>
            <w:r>
              <w:rPr>
                <w:rFonts w:hint="eastAsia" w:cs="Times New Roman"/>
                <w:color w:val="auto"/>
                <w:lang w:eastAsia="zh-CN"/>
              </w:rPr>
              <w:t>施工期焊接烟尘、燃油机械尾气和吹扫废气等由于产生量较少，且施工周期较短，项目所在区域较为开阔，空气扩散条件较好，经自然扩散后，对周边大气环境影响较小。</w:t>
            </w:r>
          </w:p>
          <w:p w14:paraId="4AC54C8A">
            <w:pPr>
              <w:pStyle w:val="32"/>
              <w:ind w:firstLine="480"/>
              <w:rPr>
                <w:rFonts w:hint="eastAsia" w:cs="Times New Roman"/>
                <w:b/>
                <w:bCs/>
                <w:color w:val="auto"/>
                <w:lang w:eastAsia="zh-CN"/>
              </w:rPr>
            </w:pPr>
            <w:r>
              <w:rPr>
                <w:rFonts w:hint="eastAsia" w:cs="Times New Roman"/>
                <w:b/>
                <w:bCs/>
                <w:color w:val="auto"/>
                <w:lang w:eastAsia="zh-CN"/>
              </w:rPr>
              <w:t>5.1.3</w:t>
            </w:r>
            <w:r>
              <w:rPr>
                <w:rFonts w:hint="eastAsia" w:cs="Times New Roman"/>
                <w:b/>
                <w:bCs/>
                <w:color w:val="auto"/>
                <w:lang w:val="en-US" w:eastAsia="zh-CN"/>
              </w:rPr>
              <w:t xml:space="preserve"> </w:t>
            </w:r>
            <w:r>
              <w:rPr>
                <w:rFonts w:hint="eastAsia" w:cs="Times New Roman"/>
                <w:b/>
                <w:bCs/>
                <w:color w:val="auto"/>
                <w:lang w:eastAsia="zh-CN"/>
              </w:rPr>
              <w:t>施工期水环境保护措施</w:t>
            </w:r>
          </w:p>
          <w:p w14:paraId="207CE97E">
            <w:pPr>
              <w:pStyle w:val="32"/>
              <w:ind w:firstLine="480"/>
              <w:rPr>
                <w:rFonts w:hint="default" w:cs="Times New Roman"/>
                <w:color w:val="auto"/>
                <w:lang w:val="en-US" w:eastAsia="zh-CN"/>
              </w:rPr>
            </w:pPr>
            <w:r>
              <w:rPr>
                <w:rFonts w:hint="eastAsia" w:cs="Times New Roman"/>
                <w:color w:val="auto"/>
                <w:lang w:eastAsia="zh-CN"/>
              </w:rPr>
              <w:t>施工期试压废水排入</w:t>
            </w:r>
            <w:r>
              <w:rPr>
                <w:rFonts w:hint="eastAsia" w:cs="Times New Roman"/>
                <w:color w:val="auto"/>
                <w:lang w:val="en-US" w:eastAsia="zh-CN"/>
              </w:rPr>
              <w:t>润土公司厂区废水收集池</w:t>
            </w:r>
            <w:r>
              <w:rPr>
                <w:rFonts w:hint="eastAsia" w:cs="Times New Roman"/>
                <w:color w:val="auto"/>
                <w:lang w:eastAsia="zh-CN"/>
              </w:rPr>
              <w:t>，纳入园区污水管网；</w:t>
            </w:r>
            <w:r>
              <w:rPr>
                <w:rFonts w:hint="eastAsia" w:cs="Times New Roman"/>
                <w:color w:val="auto"/>
                <w:lang w:val="en-US" w:eastAsia="zh-CN"/>
              </w:rPr>
              <w:t>施工期生活污水依托润土公司厂区内现有化粪池，处理后纳入园区污水管网。</w:t>
            </w:r>
          </w:p>
          <w:p w14:paraId="5FC70365">
            <w:pPr>
              <w:pStyle w:val="32"/>
              <w:ind w:firstLine="480"/>
              <w:rPr>
                <w:rFonts w:hint="eastAsia" w:cs="Times New Roman"/>
                <w:b/>
                <w:bCs/>
                <w:color w:val="auto"/>
                <w:lang w:eastAsia="zh-CN"/>
              </w:rPr>
            </w:pPr>
            <w:r>
              <w:rPr>
                <w:rFonts w:hint="eastAsia" w:cs="Times New Roman"/>
                <w:b/>
                <w:bCs/>
                <w:color w:val="auto"/>
                <w:lang w:eastAsia="zh-CN"/>
              </w:rPr>
              <w:t>5.1.4</w:t>
            </w:r>
            <w:r>
              <w:rPr>
                <w:rFonts w:hint="eastAsia" w:cs="Times New Roman"/>
                <w:b/>
                <w:bCs/>
                <w:color w:val="auto"/>
                <w:lang w:val="en-US" w:eastAsia="zh-CN"/>
              </w:rPr>
              <w:t xml:space="preserve"> </w:t>
            </w:r>
            <w:r>
              <w:rPr>
                <w:rFonts w:hint="eastAsia" w:cs="Times New Roman"/>
                <w:b/>
                <w:bCs/>
                <w:color w:val="auto"/>
                <w:lang w:eastAsia="zh-CN"/>
              </w:rPr>
              <w:t>施工期噪声环境保护措施</w:t>
            </w:r>
          </w:p>
          <w:p w14:paraId="3AD06459">
            <w:pPr>
              <w:pStyle w:val="32"/>
              <w:ind w:left="480" w:leftChars="200"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为了减少施工噪声对周边环境的影响，必须采取如下具体污染防治措施。</w:t>
            </w:r>
            <w:r>
              <w:rPr>
                <w:rFonts w:hint="eastAsia" w:cs="Times New Roman"/>
                <w:color w:val="auto"/>
                <w:lang w:val="en-US" w:eastAsia="zh-CN"/>
              </w:rPr>
              <w:t xml:space="preserve"> （1）</w:t>
            </w:r>
            <w:r>
              <w:rPr>
                <w:rFonts w:hint="default" w:ascii="Times New Roman" w:hAnsi="Times New Roman" w:eastAsia="仿宋_GB2312" w:cs="Times New Roman"/>
                <w:color w:val="auto"/>
              </w:rPr>
              <w:t>加强声源噪声控制，尽量采用低噪声设备施工，对个别噪声较大的</w:t>
            </w:r>
          </w:p>
          <w:p w14:paraId="3CBDB60A">
            <w:pPr>
              <w:pStyle w:val="32"/>
              <w:ind w:left="0" w:leftChars="0"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设备应安装消音、减振设备，并对机械设备定期保养、严格按规范操作，尽量降低机械设备噪声源强值。一切动力机械设备都应适时维修，特别对因松动部件的</w:t>
            </w:r>
            <w:r>
              <w:rPr>
                <w:rFonts w:hint="eastAsia" w:cs="Times New Roman"/>
                <w:color w:val="auto"/>
                <w:lang w:val="en-US" w:eastAsia="zh-CN"/>
              </w:rPr>
              <w:t>振动</w:t>
            </w:r>
            <w:r>
              <w:rPr>
                <w:rFonts w:hint="default" w:ascii="Times New Roman" w:hAnsi="Times New Roman" w:eastAsia="仿宋_GB2312" w:cs="Times New Roman"/>
                <w:color w:val="auto"/>
              </w:rPr>
              <w:t>或降低噪声部件的损坏而产生很强的噪声的设备，更应经常检查维护。</w:t>
            </w:r>
          </w:p>
          <w:p w14:paraId="74314B3E">
            <w:pPr>
              <w:pStyle w:val="32"/>
              <w:ind w:left="0" w:leftChars="0" w:firstLine="480" w:firstLineChars="200"/>
              <w:rPr>
                <w:rFonts w:hint="default" w:ascii="Times New Roman" w:hAnsi="Times New Roman" w:eastAsia="仿宋_GB2312" w:cs="Times New Roman"/>
                <w:color w:val="auto"/>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default" w:ascii="Times New Roman" w:hAnsi="Times New Roman" w:eastAsia="仿宋_GB2312" w:cs="Times New Roman"/>
                <w:color w:val="auto"/>
              </w:rPr>
              <w:t>合理规划施工场地，最大限度减少施工噪声对周边环境的影响。</w:t>
            </w:r>
          </w:p>
          <w:p w14:paraId="59D44996">
            <w:pPr>
              <w:pStyle w:val="32"/>
              <w:ind w:firstLine="480"/>
              <w:rPr>
                <w:rFonts w:hint="default" w:ascii="Times New Roman" w:hAnsi="Times New Roman" w:eastAsia="仿宋_GB2312" w:cs="Times New Roman"/>
                <w:color w:val="auto"/>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eastAsia="仿宋_GB2312" w:cs="Times New Roman"/>
                <w:color w:val="auto"/>
              </w:rPr>
              <w:t>合理安排工期，尽量白天施工，杜绝夜间</w:t>
            </w:r>
            <w:r>
              <w:rPr>
                <w:rFonts w:hint="eastAsia" w:cs="Times New Roman"/>
                <w:color w:val="auto"/>
                <w:lang w:eastAsia="zh-CN"/>
              </w:rPr>
              <w:t>（</w:t>
            </w:r>
            <w:r>
              <w:rPr>
                <w:rFonts w:hint="default" w:ascii="Times New Roman" w:hAnsi="Times New Roman" w:eastAsia="仿宋_GB2312" w:cs="Times New Roman"/>
                <w:color w:val="auto"/>
              </w:rPr>
              <w:t>22:00一次日6:00</w:t>
            </w:r>
            <w:r>
              <w:rPr>
                <w:rFonts w:hint="eastAsia" w:cs="Times New Roman"/>
                <w:color w:val="auto"/>
                <w:lang w:eastAsia="zh-CN"/>
              </w:rPr>
              <w:t>）</w:t>
            </w:r>
            <w:r>
              <w:rPr>
                <w:rFonts w:hint="default" w:ascii="Times New Roman" w:hAnsi="Times New Roman" w:eastAsia="仿宋_GB2312" w:cs="Times New Roman"/>
                <w:color w:val="auto"/>
              </w:rPr>
              <w:t>施工噪声扰民。对噪声源强相对较大的设备，应严格限制施工时间，运作时间应避免正常休息时间，对施工时间进行公示。</w:t>
            </w:r>
          </w:p>
          <w:p w14:paraId="7CB357EF">
            <w:pPr>
              <w:pStyle w:val="32"/>
              <w:ind w:firstLine="480"/>
              <w:rPr>
                <w:rFonts w:hint="default" w:ascii="Times New Roman" w:hAnsi="Times New Roman" w:eastAsia="仿宋_GB2312" w:cs="Times New Roman"/>
                <w:color w:val="auto"/>
              </w:rPr>
            </w:pPr>
            <w:r>
              <w:rPr>
                <w:rFonts w:hint="eastAsia" w:cs="Times New Roman"/>
                <w:color w:val="auto"/>
                <w:lang w:eastAsia="zh-CN"/>
              </w:rPr>
              <w:t>（</w:t>
            </w:r>
            <w:r>
              <w:rPr>
                <w:rFonts w:hint="eastAsia" w:cs="Times New Roman"/>
                <w:color w:val="auto"/>
                <w:lang w:val="en-US" w:eastAsia="zh-CN"/>
              </w:rPr>
              <w:t>4</w:t>
            </w:r>
            <w:r>
              <w:rPr>
                <w:rFonts w:hint="eastAsia" w:cs="Times New Roman"/>
                <w:color w:val="auto"/>
                <w:lang w:eastAsia="zh-CN"/>
              </w:rPr>
              <w:t>）</w:t>
            </w:r>
            <w:r>
              <w:rPr>
                <w:rFonts w:hint="default" w:ascii="Times New Roman" w:hAnsi="Times New Roman" w:eastAsia="仿宋_GB2312" w:cs="Times New Roman"/>
                <w:color w:val="auto"/>
              </w:rPr>
              <w:t>合理安排施工顺序，各种运输车辆和施工机械应全部安排在昼间施工，尽量避免</w:t>
            </w:r>
            <w:r>
              <w:rPr>
                <w:rFonts w:hint="eastAsia" w:ascii="Times New Roman" w:hAnsi="Times New Roman" w:cs="Times New Roman"/>
                <w:color w:val="auto"/>
                <w:lang w:val="en-US" w:eastAsia="zh-CN"/>
              </w:rPr>
              <w:t>邻</w:t>
            </w:r>
            <w:r>
              <w:rPr>
                <w:rFonts w:hint="default" w:ascii="Times New Roman" w:hAnsi="Times New Roman" w:eastAsia="仿宋_GB2312" w:cs="Times New Roman"/>
                <w:color w:val="auto"/>
              </w:rPr>
              <w:t>近的几个高噪声机械同时施工，可最大限度减轻噪声对环境的影响。施工机械产生的噪声往往具有突发、无规则、不连续和高强度等特点，施工单位应采取合理安排施工机械操作时间的方法加以缓解，并减少同时作业的高噪施工机械数量，尽可能减轻声源叠加影响。</w:t>
            </w:r>
          </w:p>
          <w:p w14:paraId="1A91B569">
            <w:pPr>
              <w:pStyle w:val="32"/>
              <w:ind w:firstLine="480"/>
              <w:rPr>
                <w:rFonts w:hint="default" w:ascii="Times New Roman" w:hAnsi="Times New Roman" w:eastAsia="仿宋_GB2312" w:cs="Times New Roman"/>
                <w:color w:val="auto"/>
              </w:rPr>
            </w:pPr>
            <w:r>
              <w:rPr>
                <w:rFonts w:hint="eastAsia" w:cs="Times New Roman"/>
                <w:color w:val="auto"/>
                <w:lang w:eastAsia="zh-CN"/>
              </w:rPr>
              <w:t>（</w:t>
            </w:r>
            <w:r>
              <w:rPr>
                <w:rFonts w:hint="eastAsia" w:cs="Times New Roman"/>
                <w:color w:val="auto"/>
                <w:lang w:val="en-US" w:eastAsia="zh-CN"/>
              </w:rPr>
              <w:t>5</w:t>
            </w:r>
            <w:r>
              <w:rPr>
                <w:rFonts w:hint="eastAsia" w:cs="Times New Roman"/>
                <w:color w:val="auto"/>
                <w:lang w:eastAsia="zh-CN"/>
              </w:rPr>
              <w:t>）</w:t>
            </w:r>
            <w:r>
              <w:rPr>
                <w:rFonts w:hint="default" w:ascii="Times New Roman" w:hAnsi="Times New Roman" w:eastAsia="仿宋_GB2312" w:cs="Times New Roman"/>
                <w:color w:val="auto"/>
              </w:rPr>
              <w:t>加压管道放空噪声防治措施</w:t>
            </w:r>
          </w:p>
          <w:p w14:paraId="10916C25">
            <w:pPr>
              <w:pStyle w:val="32"/>
              <w:ind w:firstLine="480"/>
              <w:rPr>
                <w:rFonts w:hint="default" w:ascii="Times New Roman" w:hAnsi="Times New Roman" w:eastAsia="仿宋_GB2312" w:cs="Times New Roman"/>
                <w:color w:val="auto"/>
              </w:rPr>
            </w:pPr>
            <w:r>
              <w:rPr>
                <w:rFonts w:hint="eastAsia" w:cs="Times New Roman"/>
                <w:color w:val="auto"/>
                <w:lang w:val="en-US" w:eastAsia="zh-CN"/>
              </w:rPr>
              <w:t>1）</w:t>
            </w:r>
            <w:r>
              <w:rPr>
                <w:rFonts w:hint="default" w:ascii="Times New Roman" w:hAnsi="Times New Roman" w:eastAsia="仿宋_GB2312" w:cs="Times New Roman"/>
                <w:color w:val="auto"/>
              </w:rPr>
              <w:t>安装消音器</w:t>
            </w:r>
            <w:r>
              <w:rPr>
                <w:rFonts w:hint="eastAsia" w:cs="Times New Roman"/>
                <w:color w:val="auto"/>
                <w:lang w:eastAsia="zh-CN"/>
              </w:rPr>
              <w:t>：</w:t>
            </w:r>
            <w:r>
              <w:rPr>
                <w:rFonts w:hint="default" w:ascii="Times New Roman" w:hAnsi="Times New Roman" w:eastAsia="仿宋_GB2312" w:cs="Times New Roman"/>
                <w:color w:val="auto"/>
              </w:rPr>
              <w:t>在放空管道上安装消音器，通过吸收和减弱声音能量来降低噪声。消音器需满足耐高温、高压和高气流的要求，且消音量应符合</w:t>
            </w:r>
            <w:r>
              <w:rPr>
                <w:rFonts w:hint="eastAsia" w:cs="Times New Roman"/>
                <w:color w:val="auto"/>
                <w:lang w:eastAsia="zh-CN"/>
              </w:rPr>
              <w:t>《工业企业厂界环境噪声排放标准》（GB12348-2008）。</w:t>
            </w:r>
          </w:p>
          <w:p w14:paraId="2DF05497">
            <w:pPr>
              <w:pStyle w:val="32"/>
              <w:ind w:firstLine="480"/>
              <w:rPr>
                <w:rFonts w:hint="default" w:ascii="Times New Roman" w:hAnsi="Times New Roman" w:eastAsia="仿宋_GB2312" w:cs="Times New Roman"/>
                <w:color w:val="auto"/>
              </w:rPr>
            </w:pPr>
            <w:r>
              <w:rPr>
                <w:rFonts w:hint="eastAsia" w:cs="Times New Roman"/>
                <w:color w:val="auto"/>
                <w:lang w:val="en-US" w:eastAsia="zh-CN"/>
              </w:rPr>
              <w:t>2）</w:t>
            </w:r>
            <w:r>
              <w:rPr>
                <w:rFonts w:hint="default" w:ascii="Times New Roman" w:hAnsi="Times New Roman" w:eastAsia="仿宋_GB2312" w:cs="Times New Roman"/>
                <w:color w:val="auto"/>
              </w:rPr>
              <w:t>包裹隔音材料</w:t>
            </w:r>
            <w:r>
              <w:rPr>
                <w:rFonts w:hint="eastAsia" w:cs="Times New Roman"/>
                <w:color w:val="auto"/>
                <w:lang w:eastAsia="zh-CN"/>
              </w:rPr>
              <w:t>：</w:t>
            </w:r>
            <w:r>
              <w:rPr>
                <w:rFonts w:hint="default" w:ascii="Times New Roman" w:hAnsi="Times New Roman" w:eastAsia="仿宋_GB2312" w:cs="Times New Roman"/>
                <w:color w:val="auto"/>
              </w:rPr>
              <w:t>使用隔音毡、隔音棉等材料包裹管道，减少声音传播。需确保材料紧密贴合管道，不留空隙，以阻断噪声传递。</w:t>
            </w:r>
          </w:p>
          <w:p w14:paraId="2DC570A7">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3</w:t>
            </w:r>
            <w:r>
              <w:rPr>
                <w:rFonts w:hint="eastAsia" w:cs="Times New Roman"/>
                <w:color w:val="auto"/>
                <w:lang w:eastAsia="zh-CN"/>
              </w:rPr>
              <w:t>）</w:t>
            </w:r>
            <w:r>
              <w:rPr>
                <w:rFonts w:hint="default" w:ascii="Times New Roman" w:hAnsi="Times New Roman" w:eastAsia="仿宋_GB2312" w:cs="Times New Roman"/>
                <w:color w:val="auto"/>
              </w:rPr>
              <w:t>安装隔音支架</w:t>
            </w:r>
            <w:r>
              <w:rPr>
                <w:rFonts w:hint="eastAsia" w:cs="Times New Roman"/>
                <w:color w:val="auto"/>
                <w:lang w:eastAsia="zh-CN"/>
              </w:rPr>
              <w:t>：</w:t>
            </w:r>
            <w:r>
              <w:rPr>
                <w:rFonts w:hint="default" w:ascii="Times New Roman" w:hAnsi="Times New Roman" w:eastAsia="仿宋_GB2312" w:cs="Times New Roman"/>
                <w:color w:val="auto"/>
              </w:rPr>
              <w:t>在管道与支架之间加装减振器或隔音支架，采用橡胶等减</w:t>
            </w:r>
            <w:r>
              <w:rPr>
                <w:rFonts w:hint="eastAsia" w:ascii="Times New Roman" w:hAnsi="Times New Roman" w:cs="Times New Roman"/>
                <w:color w:val="auto"/>
                <w:lang w:val="en-US" w:eastAsia="zh-CN"/>
              </w:rPr>
              <w:t>振</w:t>
            </w:r>
            <w:r>
              <w:rPr>
                <w:rFonts w:hint="default" w:ascii="Times New Roman" w:hAnsi="Times New Roman" w:eastAsia="仿宋_GB2312" w:cs="Times New Roman"/>
                <w:color w:val="auto"/>
              </w:rPr>
              <w:t>材料，降低振动噪声。</w:t>
            </w:r>
          </w:p>
          <w:p w14:paraId="777D99F9">
            <w:pPr>
              <w:pStyle w:val="32"/>
              <w:ind w:firstLine="480"/>
              <w:rPr>
                <w:rFonts w:hint="eastAsia" w:cs="Times New Roman"/>
                <w:b/>
                <w:bCs/>
                <w:color w:val="auto"/>
                <w:lang w:eastAsia="zh-CN"/>
              </w:rPr>
            </w:pPr>
            <w:r>
              <w:rPr>
                <w:rFonts w:hint="default" w:ascii="Times New Roman" w:hAnsi="Times New Roman" w:eastAsia="仿宋_GB2312" w:cs="Times New Roman"/>
                <w:color w:val="auto"/>
              </w:rPr>
              <w:t>4</w:t>
            </w:r>
            <w:r>
              <w:rPr>
                <w:rFonts w:hint="eastAsia" w:cs="Times New Roman"/>
                <w:color w:val="auto"/>
                <w:lang w:eastAsia="zh-CN"/>
              </w:rPr>
              <w:t>）</w:t>
            </w:r>
            <w:r>
              <w:rPr>
                <w:rFonts w:hint="default" w:ascii="Times New Roman" w:hAnsi="Times New Roman" w:eastAsia="仿宋_GB2312" w:cs="Times New Roman"/>
                <w:color w:val="auto"/>
              </w:rPr>
              <w:t>定期排气维护</w:t>
            </w:r>
            <w:r>
              <w:rPr>
                <w:rFonts w:hint="eastAsia" w:cs="Times New Roman"/>
                <w:color w:val="auto"/>
                <w:lang w:eastAsia="zh-CN"/>
              </w:rPr>
              <w:t>：</w:t>
            </w:r>
            <w:r>
              <w:rPr>
                <w:rFonts w:hint="default" w:ascii="Times New Roman" w:hAnsi="Times New Roman" w:eastAsia="仿宋_GB2312" w:cs="Times New Roman"/>
                <w:color w:val="auto"/>
              </w:rPr>
              <w:t>检查管道内是否存在积气或松动，定期排气并紧固组件，避免因气流波动引发异响。</w:t>
            </w:r>
          </w:p>
          <w:p w14:paraId="6E72C1BF">
            <w:pPr>
              <w:pStyle w:val="32"/>
              <w:ind w:firstLine="480"/>
              <w:rPr>
                <w:rFonts w:hint="eastAsia" w:cs="Times New Roman"/>
                <w:b/>
                <w:bCs/>
                <w:color w:val="auto"/>
                <w:lang w:eastAsia="zh-CN"/>
              </w:rPr>
            </w:pPr>
            <w:r>
              <w:rPr>
                <w:rFonts w:hint="eastAsia" w:cs="Times New Roman"/>
                <w:b/>
                <w:bCs/>
                <w:color w:val="auto"/>
                <w:lang w:eastAsia="zh-CN"/>
              </w:rPr>
              <w:t>5.1.5</w:t>
            </w:r>
            <w:r>
              <w:rPr>
                <w:rFonts w:hint="eastAsia" w:cs="Times New Roman"/>
                <w:b/>
                <w:bCs/>
                <w:color w:val="auto"/>
                <w:lang w:val="en-US" w:eastAsia="zh-CN"/>
              </w:rPr>
              <w:t xml:space="preserve"> </w:t>
            </w:r>
            <w:r>
              <w:rPr>
                <w:rFonts w:hint="eastAsia" w:cs="Times New Roman"/>
                <w:b/>
                <w:bCs/>
                <w:color w:val="auto"/>
                <w:lang w:eastAsia="zh-CN"/>
              </w:rPr>
              <w:t>施工期固废保护措施</w:t>
            </w:r>
          </w:p>
          <w:p w14:paraId="6E0ED3BA">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）废焊材</w:t>
            </w:r>
          </w:p>
          <w:p w14:paraId="274DDCAC">
            <w:pPr>
              <w:pStyle w:val="32"/>
              <w:ind w:firstLine="480"/>
              <w:rPr>
                <w:rFonts w:hint="eastAsia" w:cs="Times New Roman"/>
                <w:color w:val="auto"/>
                <w:lang w:eastAsia="zh-CN"/>
              </w:rPr>
            </w:pPr>
            <w:r>
              <w:rPr>
                <w:rFonts w:hint="eastAsia" w:cs="Times New Roman"/>
                <w:color w:val="auto"/>
                <w:lang w:eastAsia="zh-CN"/>
              </w:rPr>
              <w:t>施工期废焊材收集后统一外售回收公司。</w:t>
            </w:r>
          </w:p>
          <w:p w14:paraId="290881AA">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）废油漆桶</w:t>
            </w:r>
            <w:r>
              <w:rPr>
                <w:rFonts w:hint="eastAsia" w:cs="Times New Roman"/>
                <w:color w:val="auto"/>
                <w:lang w:val="en-US" w:eastAsia="zh-CN"/>
              </w:rPr>
              <w:t>/刷</w:t>
            </w:r>
          </w:p>
          <w:p w14:paraId="32421F84">
            <w:pPr>
              <w:pStyle w:val="32"/>
              <w:ind w:firstLine="480"/>
              <w:rPr>
                <w:rFonts w:hint="eastAsia" w:cs="Times New Roman"/>
                <w:color w:val="auto"/>
                <w:lang w:eastAsia="zh-CN"/>
              </w:rPr>
            </w:pPr>
            <w:r>
              <w:rPr>
                <w:rFonts w:hint="eastAsia" w:cs="Times New Roman"/>
                <w:color w:val="auto"/>
                <w:lang w:eastAsia="zh-CN"/>
              </w:rPr>
              <w:t>废油漆桶</w:t>
            </w:r>
            <w:r>
              <w:rPr>
                <w:rFonts w:hint="eastAsia" w:cs="Times New Roman"/>
                <w:color w:val="auto"/>
                <w:lang w:val="en-US" w:eastAsia="zh-CN"/>
              </w:rPr>
              <w:t>/刷</w:t>
            </w:r>
            <w:r>
              <w:rPr>
                <w:rFonts w:hint="eastAsia" w:cs="Times New Roman"/>
                <w:color w:val="auto"/>
                <w:lang w:eastAsia="zh-CN"/>
              </w:rPr>
              <w:t>属于危险废物，拟依托</w:t>
            </w:r>
            <w:r>
              <w:rPr>
                <w:rFonts w:hint="eastAsia" w:cs="Times New Roman"/>
                <w:color w:val="auto"/>
                <w:lang w:val="en-US" w:eastAsia="zh-CN"/>
              </w:rPr>
              <w:t>润土公司</w:t>
            </w:r>
            <w:r>
              <w:rPr>
                <w:rFonts w:hint="eastAsia" w:cs="Times New Roman"/>
                <w:color w:val="auto"/>
                <w:lang w:eastAsia="zh-CN"/>
              </w:rPr>
              <w:t>已建成的危废库进行贮存，委托资质单位进行处理。</w:t>
            </w:r>
          </w:p>
          <w:p w14:paraId="3582ADB7">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）生活垃圾</w:t>
            </w:r>
          </w:p>
          <w:p w14:paraId="75BC36D2">
            <w:pPr>
              <w:pStyle w:val="32"/>
              <w:ind w:firstLine="480"/>
              <w:rPr>
                <w:rFonts w:hint="eastAsia" w:cs="Times New Roman"/>
                <w:color w:val="auto"/>
                <w:lang w:eastAsia="zh-CN"/>
              </w:rPr>
            </w:pPr>
            <w:r>
              <w:rPr>
                <w:rFonts w:hint="eastAsia" w:cs="Times New Roman"/>
                <w:color w:val="auto"/>
                <w:lang w:eastAsia="zh-CN"/>
              </w:rPr>
              <w:t>施工人员产生的生活垃圾依托周边垃圾桶收集，交由环卫部门统一进行处理。</w:t>
            </w:r>
          </w:p>
          <w:p w14:paraId="383B536E">
            <w:pPr>
              <w:pStyle w:val="32"/>
              <w:ind w:firstLine="480"/>
              <w:rPr>
                <w:rFonts w:hint="eastAsia" w:cs="Times New Roman"/>
                <w:color w:val="auto"/>
                <w:lang w:eastAsia="zh-CN"/>
              </w:rPr>
            </w:pPr>
            <w:r>
              <w:rPr>
                <w:rFonts w:hint="eastAsia" w:cs="Times New Roman"/>
                <w:color w:val="auto"/>
                <w:lang w:eastAsia="zh-CN"/>
              </w:rPr>
              <w:t>在落实以上固废处理措施后，各类固废均可以得到合理处置，不会造成二次污染。</w:t>
            </w:r>
          </w:p>
          <w:p w14:paraId="4D496451">
            <w:pPr>
              <w:pStyle w:val="32"/>
              <w:ind w:firstLine="480"/>
              <w:rPr>
                <w:rFonts w:hint="default" w:ascii="Times New Roman" w:hAnsi="Times New Roman" w:eastAsia="仿宋_GB2312" w:cs="Times New Roman"/>
                <w:b/>
                <w:bCs/>
                <w:color w:val="auto"/>
              </w:rPr>
            </w:pPr>
            <w:r>
              <w:rPr>
                <w:rFonts w:hint="eastAsia" w:cs="Times New Roman"/>
                <w:b/>
                <w:bCs/>
                <w:color w:val="auto"/>
                <w:lang w:val="en-US" w:eastAsia="zh-CN"/>
              </w:rPr>
              <w:t xml:space="preserve">5.1.6 </w:t>
            </w:r>
            <w:r>
              <w:rPr>
                <w:rFonts w:hint="default" w:ascii="Times New Roman" w:hAnsi="Times New Roman" w:eastAsia="仿宋_GB2312" w:cs="Times New Roman"/>
                <w:b/>
                <w:bCs/>
                <w:color w:val="auto"/>
              </w:rPr>
              <w:t>施工期风险防范措施</w:t>
            </w:r>
          </w:p>
          <w:p w14:paraId="13CF4B73">
            <w:pPr>
              <w:pStyle w:val="32"/>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default" w:ascii="Times New Roman" w:hAnsi="Times New Roman" w:eastAsia="仿宋_GB2312" w:cs="Times New Roman"/>
                <w:color w:val="auto"/>
              </w:rPr>
              <w:t>建立施工质量保证体系，提高施工检验人员的水平，加强检验手段</w:t>
            </w:r>
            <w:r>
              <w:rPr>
                <w:rFonts w:hint="eastAsia" w:cs="Times New Roman"/>
                <w:color w:val="auto"/>
                <w:lang w:eastAsia="zh-CN"/>
              </w:rPr>
              <w:t>；</w:t>
            </w:r>
          </w:p>
          <w:p w14:paraId="52A5FDA4">
            <w:pPr>
              <w:pStyle w:val="32"/>
              <w:ind w:firstLine="480"/>
              <w:rPr>
                <w:rFonts w:hint="default" w:ascii="Times New Roman" w:hAnsi="Times New Roman" w:eastAsia="仿宋_GB2312" w:cs="Times New Roman"/>
                <w:color w:val="auto"/>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default" w:ascii="Times New Roman" w:hAnsi="Times New Roman" w:eastAsia="仿宋_GB2312" w:cs="Times New Roman"/>
                <w:color w:val="auto"/>
              </w:rPr>
              <w:t>制定严格的规章制度，发现缺陷及时正确修补并做好记录;</w:t>
            </w:r>
          </w:p>
          <w:p w14:paraId="1D983B9C">
            <w:pPr>
              <w:pStyle w:val="32"/>
              <w:ind w:firstLine="480"/>
              <w:rPr>
                <w:rFonts w:hint="default" w:ascii="Times New Roman" w:hAnsi="Times New Roman" w:eastAsia="仿宋_GB2312" w:cs="Times New Roman"/>
                <w:color w:val="auto"/>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eastAsia="仿宋_GB2312" w:cs="Times New Roman"/>
                <w:color w:val="auto"/>
              </w:rPr>
              <w:t>进行气压试验，排除存在于焊缝和母材的缺陷，增加管道的安全性;</w:t>
            </w:r>
          </w:p>
          <w:p w14:paraId="4650E64B">
            <w:pPr>
              <w:pStyle w:val="32"/>
              <w:ind w:firstLine="480"/>
              <w:rPr>
                <w:rFonts w:hint="eastAsia" w:ascii="Times New Roman" w:hAnsi="Times New Roman" w:eastAsia="仿宋_GB2312" w:cs="Times New Roman"/>
                <w:color w:val="auto"/>
                <w:lang w:eastAsia="zh-CN"/>
              </w:rPr>
            </w:pPr>
            <w:r>
              <w:rPr>
                <w:rFonts w:hint="eastAsia" w:cs="Times New Roman"/>
                <w:color w:val="auto"/>
                <w:lang w:eastAsia="zh-CN"/>
              </w:rPr>
              <w:t>（</w:t>
            </w:r>
            <w:r>
              <w:rPr>
                <w:rFonts w:hint="eastAsia" w:cs="Times New Roman"/>
                <w:color w:val="auto"/>
                <w:lang w:val="en-US" w:eastAsia="zh-CN"/>
              </w:rPr>
              <w:t>4</w:t>
            </w:r>
            <w:r>
              <w:rPr>
                <w:rFonts w:hint="eastAsia" w:cs="Times New Roman"/>
                <w:color w:val="auto"/>
                <w:lang w:eastAsia="zh-CN"/>
              </w:rPr>
              <w:t>）</w:t>
            </w:r>
            <w:r>
              <w:rPr>
                <w:rFonts w:hint="default" w:ascii="Times New Roman" w:hAnsi="Times New Roman" w:eastAsia="仿宋_GB2312" w:cs="Times New Roman"/>
                <w:color w:val="auto"/>
              </w:rPr>
              <w:t>选择有丰富经验的单位进行施工</w:t>
            </w:r>
            <w:r>
              <w:rPr>
                <w:rFonts w:hint="eastAsia" w:cs="Times New Roman"/>
                <w:color w:val="auto"/>
                <w:lang w:eastAsia="zh-CN"/>
              </w:rPr>
              <w:t>，</w:t>
            </w:r>
            <w:r>
              <w:rPr>
                <w:rFonts w:hint="default" w:ascii="Times New Roman" w:hAnsi="Times New Roman" w:eastAsia="仿宋_GB2312" w:cs="Times New Roman"/>
                <w:color w:val="auto"/>
              </w:rPr>
              <w:t>确保施工质量</w:t>
            </w:r>
            <w:r>
              <w:rPr>
                <w:rFonts w:hint="eastAsia" w:cs="Times New Roman"/>
                <w:color w:val="auto"/>
                <w:lang w:eastAsia="zh-CN"/>
              </w:rPr>
              <w:t>；</w:t>
            </w:r>
          </w:p>
          <w:p w14:paraId="04E40FC2">
            <w:pPr>
              <w:pStyle w:val="32"/>
              <w:ind w:firstLine="480"/>
              <w:rPr>
                <w:rFonts w:hint="default" w:ascii="Times New Roman" w:hAnsi="Times New Roman" w:eastAsia="仿宋_GB2312" w:cs="Times New Roman"/>
                <w:color w:val="auto"/>
              </w:rPr>
            </w:pPr>
            <w:r>
              <w:rPr>
                <w:rFonts w:hint="eastAsia" w:cs="Times New Roman"/>
                <w:color w:val="auto"/>
                <w:lang w:eastAsia="zh-CN"/>
              </w:rPr>
              <w:t>（</w:t>
            </w:r>
            <w:r>
              <w:rPr>
                <w:rFonts w:hint="eastAsia" w:cs="Times New Roman"/>
                <w:color w:val="auto"/>
                <w:lang w:val="en-US" w:eastAsia="zh-CN"/>
              </w:rPr>
              <w:t>5</w:t>
            </w:r>
            <w:r>
              <w:rPr>
                <w:rFonts w:hint="eastAsia" w:cs="Times New Roman"/>
                <w:color w:val="auto"/>
                <w:lang w:eastAsia="zh-CN"/>
              </w:rPr>
              <w:t>）</w:t>
            </w:r>
            <w:r>
              <w:rPr>
                <w:rFonts w:hint="default" w:ascii="Times New Roman" w:hAnsi="Times New Roman" w:eastAsia="仿宋_GB2312" w:cs="Times New Roman"/>
                <w:color w:val="auto"/>
              </w:rPr>
              <w:t>焊接时选择空旷地带，由专业的施工团队设计专业的焊接流程，焊接区域远离易燃易爆管线;</w:t>
            </w:r>
          </w:p>
          <w:p w14:paraId="656B0B6B">
            <w:pPr>
              <w:pStyle w:val="32"/>
              <w:ind w:firstLine="480"/>
              <w:rPr>
                <w:rFonts w:hint="default" w:ascii="Times New Roman" w:hAnsi="Times New Roman" w:eastAsia="仿宋_GB2312" w:cs="Times New Roman"/>
                <w:color w:val="auto"/>
              </w:rPr>
            </w:pPr>
            <w:r>
              <w:rPr>
                <w:rFonts w:hint="eastAsia" w:cs="Times New Roman"/>
                <w:color w:val="auto"/>
                <w:lang w:eastAsia="zh-CN"/>
              </w:rPr>
              <w:t>（</w:t>
            </w:r>
            <w:r>
              <w:rPr>
                <w:rFonts w:hint="eastAsia" w:cs="Times New Roman"/>
                <w:color w:val="auto"/>
                <w:lang w:val="en-US" w:eastAsia="zh-CN"/>
              </w:rPr>
              <w:t>6</w:t>
            </w:r>
            <w:r>
              <w:rPr>
                <w:rFonts w:hint="eastAsia" w:cs="Times New Roman"/>
                <w:color w:val="auto"/>
                <w:lang w:eastAsia="zh-CN"/>
              </w:rPr>
              <w:t>）</w:t>
            </w:r>
            <w:r>
              <w:rPr>
                <w:rFonts w:hint="eastAsia" w:cs="Times New Roman"/>
                <w:color w:val="auto"/>
                <w:lang w:val="en-US" w:eastAsia="zh-CN"/>
              </w:rPr>
              <w:t>施工期做好防护工作，严防碰到其他管道，引发事故。</w:t>
            </w:r>
          </w:p>
        </w:tc>
      </w:tr>
      <w:tr w14:paraId="745F9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936" w:type="dxa"/>
            <w:noWrap w:val="0"/>
            <w:tcMar>
              <w:left w:w="28" w:type="dxa"/>
              <w:right w:w="28" w:type="dxa"/>
            </w:tcMar>
            <w:vAlign w:val="center"/>
          </w:tcPr>
          <w:p w14:paraId="5EA01BA7">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运营期生态环境保护措施</w:t>
            </w:r>
          </w:p>
        </w:tc>
        <w:tc>
          <w:tcPr>
            <w:tcW w:w="8274" w:type="dxa"/>
            <w:noWrap w:val="0"/>
            <w:vAlign w:val="top"/>
          </w:tcPr>
          <w:p w14:paraId="7FBFF8E6">
            <w:pPr>
              <w:pStyle w:val="32"/>
              <w:ind w:firstLine="480"/>
              <w:rPr>
                <w:rFonts w:hint="default" w:ascii="Times New Roman" w:hAnsi="Times New Roman" w:eastAsia="仿宋_GB2312" w:cs="Times New Roman"/>
                <w:b/>
                <w:bCs/>
                <w:color w:val="auto"/>
              </w:rPr>
            </w:pPr>
            <w:r>
              <w:rPr>
                <w:rFonts w:hint="eastAsia" w:cs="Times New Roman"/>
                <w:b/>
                <w:bCs/>
                <w:color w:val="auto"/>
                <w:lang w:val="en-US" w:eastAsia="zh-CN"/>
              </w:rPr>
              <w:t>5.2.1 废气</w:t>
            </w:r>
          </w:p>
          <w:p w14:paraId="063727C7">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本项目营运期正常工况下无废气污染物产生。非正常工况下，当管道发生非正常超压时，设置于管道上的安全阀将会启动，排出</w:t>
            </w:r>
            <w:r>
              <w:rPr>
                <w:rFonts w:hint="eastAsia" w:cs="Times New Roman"/>
                <w:color w:val="auto"/>
                <w:lang w:val="en-US" w:eastAsia="zh-CN"/>
              </w:rPr>
              <w:t>气体</w:t>
            </w:r>
            <w:r>
              <w:rPr>
                <w:rFonts w:hint="default" w:ascii="Times New Roman" w:hAnsi="Times New Roman" w:eastAsia="仿宋_GB2312" w:cs="Times New Roman"/>
                <w:color w:val="auto"/>
              </w:rPr>
              <w:t>。</w:t>
            </w:r>
          </w:p>
          <w:p w14:paraId="564717CE">
            <w:pPr>
              <w:pStyle w:val="32"/>
              <w:ind w:firstLine="48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5.2.2</w:t>
            </w:r>
            <w:r>
              <w:rPr>
                <w:rFonts w:hint="eastAsia" w:cs="Times New Roman"/>
                <w:b/>
                <w:bCs/>
                <w:color w:val="auto"/>
                <w:lang w:val="en-US" w:eastAsia="zh-CN"/>
              </w:rPr>
              <w:t xml:space="preserve"> </w:t>
            </w:r>
            <w:r>
              <w:rPr>
                <w:rFonts w:hint="default" w:ascii="Times New Roman" w:hAnsi="Times New Roman" w:eastAsia="仿宋_GB2312" w:cs="Times New Roman"/>
                <w:b/>
                <w:bCs/>
                <w:color w:val="auto"/>
              </w:rPr>
              <w:t>废水</w:t>
            </w:r>
          </w:p>
          <w:p w14:paraId="76BB6D41">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本项目不涉及站场、阀站等，运营期无废水产生。</w:t>
            </w:r>
          </w:p>
          <w:p w14:paraId="4DA46E59">
            <w:pPr>
              <w:pStyle w:val="32"/>
              <w:ind w:firstLine="48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5.2.3</w:t>
            </w:r>
            <w:r>
              <w:rPr>
                <w:rFonts w:hint="eastAsia" w:cs="Times New Roman"/>
                <w:b/>
                <w:bCs/>
                <w:color w:val="auto"/>
                <w:lang w:val="en-US" w:eastAsia="zh-CN"/>
              </w:rPr>
              <w:t xml:space="preserve"> </w:t>
            </w:r>
            <w:r>
              <w:rPr>
                <w:rFonts w:hint="default" w:ascii="Times New Roman" w:hAnsi="Times New Roman" w:eastAsia="仿宋_GB2312" w:cs="Times New Roman"/>
                <w:b/>
                <w:bCs/>
                <w:color w:val="auto"/>
              </w:rPr>
              <w:t>噪声</w:t>
            </w:r>
          </w:p>
          <w:p w14:paraId="4FD2F0D9">
            <w:pPr>
              <w:pStyle w:val="32"/>
              <w:ind w:firstLine="480"/>
              <w:rPr>
                <w:rFonts w:hint="default" w:ascii="Times New Roman" w:hAnsi="Times New Roman" w:eastAsia="仿宋_GB2312" w:cs="Times New Roman"/>
                <w:color w:val="auto"/>
                <w:lang w:val="en-US" w:eastAsia="zh-CN"/>
              </w:rPr>
            </w:pPr>
            <w:r>
              <w:rPr>
                <w:rFonts w:hint="eastAsia" w:cs="Times New Roman"/>
                <w:color w:val="auto"/>
                <w:lang w:val="en-US" w:eastAsia="zh-CN"/>
              </w:rPr>
              <w:t>本项目运营期正常工况无噪声排放，管道检维修时会产生放空噪声。本项目拟采取综合防治措施：在放空管道末端安装阻抗复合式消声器（氢气放空口同时设置阻火器），对放空管道及阀门采用隔音材料进行包裹，并安装带减震垫的隔音支架以降低结构传声；同时通过选用低噪声放空阀、控制放空流速、优化放空口朝向等管理措施，进一步降低噪声影响。采取上述措施后，放空噪声可得到有效控制。</w:t>
            </w:r>
          </w:p>
          <w:p w14:paraId="71A9E883">
            <w:pPr>
              <w:pStyle w:val="32"/>
              <w:ind w:firstLine="48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5.2.4</w:t>
            </w:r>
            <w:r>
              <w:rPr>
                <w:rFonts w:hint="eastAsia" w:cs="Times New Roman"/>
                <w:b/>
                <w:bCs/>
                <w:color w:val="auto"/>
                <w:lang w:val="en-US" w:eastAsia="zh-CN"/>
              </w:rPr>
              <w:t xml:space="preserve"> </w:t>
            </w:r>
            <w:r>
              <w:rPr>
                <w:rFonts w:hint="default" w:ascii="Times New Roman" w:hAnsi="Times New Roman" w:eastAsia="仿宋_GB2312" w:cs="Times New Roman"/>
                <w:b/>
                <w:bCs/>
                <w:color w:val="auto"/>
              </w:rPr>
              <w:t>固废</w:t>
            </w:r>
          </w:p>
          <w:p w14:paraId="35CC76FA">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w:t>
            </w:r>
            <w:r>
              <w:rPr>
                <w:rFonts w:hint="eastAsia" w:cs="Times New Roman"/>
                <w:color w:val="auto"/>
                <w:lang w:val="en-US" w:eastAsia="zh-CN"/>
              </w:rPr>
              <w:t>营运期没有固废产生。</w:t>
            </w:r>
          </w:p>
          <w:p w14:paraId="3CDBCA9F">
            <w:pPr>
              <w:pStyle w:val="32"/>
              <w:ind w:firstLine="48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5.2.5</w:t>
            </w:r>
            <w:r>
              <w:rPr>
                <w:rFonts w:hint="eastAsia" w:cs="Times New Roman"/>
                <w:b/>
                <w:bCs/>
                <w:color w:val="auto"/>
                <w:lang w:val="en-US" w:eastAsia="zh-CN"/>
              </w:rPr>
              <w:t xml:space="preserve"> </w:t>
            </w:r>
            <w:r>
              <w:rPr>
                <w:rFonts w:hint="default" w:ascii="Times New Roman" w:hAnsi="Times New Roman" w:eastAsia="仿宋_GB2312" w:cs="Times New Roman"/>
                <w:b/>
                <w:bCs/>
                <w:color w:val="auto"/>
              </w:rPr>
              <w:t>地下水与土壤污染防治措施</w:t>
            </w:r>
          </w:p>
          <w:p w14:paraId="5B715B08">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严格按照国家相关规范要求，对管道、设备采取相应的措施，以防止和降低废水的跑、冒、滴、漏，将物料泄漏的环境风险事故降低到最低程度：</w:t>
            </w:r>
          </w:p>
          <w:p w14:paraId="4AB8B53C">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①本项目物料输送管道除与阀门、仪表、设备等连接可采用法兰外，均采用焊接工艺；</w:t>
            </w:r>
          </w:p>
          <w:p w14:paraId="1488C69E">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②对于所有与含污染物的易爆、腐蚀性介质或有毒介质连通的管道和设备日常使用的排净口应配备法兰盖；</w:t>
            </w:r>
          </w:p>
          <w:p w14:paraId="44817EF2">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③输送含有污染物的危险、有毒、腐蚀性介质的管道螺纹连接处要密封；</w:t>
            </w:r>
          </w:p>
          <w:p w14:paraId="027C654B">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④输送危险、有毒、腐蚀性等介质的管道上所有安装后不需要拆卸的螺纹连接部位均应密封焊，需要经常拆装的螺纹连接部位均应有可靠的密封措施；</w:t>
            </w:r>
          </w:p>
          <w:p w14:paraId="49B97A3F">
            <w:pPr>
              <w:pStyle w:val="32"/>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⑤穿越园区内道路时，跨越段管道不得装设阀门、法兰和螺纹接头等管件。</w:t>
            </w:r>
          </w:p>
          <w:p w14:paraId="40BB0455">
            <w:pPr>
              <w:pStyle w:val="32"/>
              <w:ind w:firstLine="48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5.2.6</w:t>
            </w:r>
            <w:r>
              <w:rPr>
                <w:rFonts w:hint="eastAsia" w:cs="Times New Roman"/>
                <w:b/>
                <w:bCs/>
                <w:color w:val="auto"/>
                <w:lang w:val="en-US" w:eastAsia="zh-CN"/>
              </w:rPr>
              <w:t xml:space="preserve"> </w:t>
            </w:r>
            <w:r>
              <w:rPr>
                <w:rFonts w:hint="default" w:ascii="Times New Roman" w:hAnsi="Times New Roman" w:eastAsia="仿宋_GB2312" w:cs="Times New Roman"/>
                <w:b/>
                <w:bCs/>
                <w:color w:val="auto"/>
              </w:rPr>
              <w:t>风险防范措施</w:t>
            </w:r>
          </w:p>
          <w:p w14:paraId="17941AB0">
            <w:pPr>
              <w:pStyle w:val="32"/>
              <w:ind w:firstLine="480"/>
              <w:rPr>
                <w:rFonts w:hint="default" w:ascii="Times New Roman" w:hAnsi="Times New Roman" w:eastAsia="仿宋_GB2312" w:cs="Times New Roman"/>
                <w:bCs/>
                <w:color w:val="auto"/>
                <w:spacing w:val="10"/>
                <w:szCs w:val="21"/>
              </w:rPr>
            </w:pPr>
            <w:r>
              <w:rPr>
                <w:rFonts w:hint="default" w:ascii="Times New Roman" w:hAnsi="Times New Roman" w:eastAsia="仿宋_GB2312" w:cs="Times New Roman"/>
                <w:color w:val="auto"/>
              </w:rPr>
              <w:t>详见本项目环境风险专项分析</w:t>
            </w:r>
            <w:r>
              <w:rPr>
                <w:rFonts w:hint="eastAsia" w:cs="Times New Roman"/>
                <w:color w:val="auto"/>
                <w:lang w:eastAsia="zh-CN"/>
              </w:rPr>
              <w:t>。</w:t>
            </w:r>
          </w:p>
        </w:tc>
      </w:tr>
      <w:tr w14:paraId="34B61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0" w:hRule="atLeast"/>
          <w:jc w:val="center"/>
        </w:trPr>
        <w:tc>
          <w:tcPr>
            <w:tcW w:w="936" w:type="dxa"/>
            <w:noWrap w:val="0"/>
            <w:vAlign w:val="center"/>
          </w:tcPr>
          <w:p w14:paraId="698121B3">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环保</w:t>
            </w:r>
          </w:p>
          <w:p w14:paraId="2F94090C">
            <w:pPr>
              <w:pStyle w:val="34"/>
              <w:rPr>
                <w:rFonts w:hint="default" w:ascii="Times New Roman" w:hAnsi="Times New Roman" w:eastAsia="仿宋_GB2312" w:cs="Times New Roman"/>
                <w:color w:val="auto"/>
              </w:rPr>
            </w:pPr>
            <w:r>
              <w:rPr>
                <w:rFonts w:hint="default" w:ascii="Times New Roman" w:hAnsi="Times New Roman" w:eastAsia="仿宋_GB2312" w:cs="Times New Roman"/>
                <w:color w:val="auto"/>
              </w:rPr>
              <w:t>投资</w:t>
            </w:r>
          </w:p>
        </w:tc>
        <w:tc>
          <w:tcPr>
            <w:tcW w:w="8274" w:type="dxa"/>
            <w:noWrap w:val="0"/>
            <w:vAlign w:val="top"/>
          </w:tcPr>
          <w:p w14:paraId="4F3C366B">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建设项目总投资</w:t>
            </w:r>
            <w:r>
              <w:rPr>
                <w:rFonts w:hint="eastAsia" w:cs="Times New Roman"/>
                <w:color w:val="auto"/>
                <w:lang w:val="en-US" w:eastAsia="zh-CN"/>
              </w:rPr>
              <w:t>50</w:t>
            </w:r>
            <w:r>
              <w:rPr>
                <w:rFonts w:hint="default" w:ascii="Times New Roman" w:hAnsi="Times New Roman" w:eastAsia="仿宋_GB2312" w:cs="Times New Roman"/>
                <w:color w:val="auto"/>
              </w:rPr>
              <w:t>万元，其中环保投</w:t>
            </w:r>
            <w:r>
              <w:rPr>
                <w:rFonts w:hint="default" w:ascii="Times New Roman" w:hAnsi="Times New Roman" w:eastAsia="仿宋_GB2312" w:cs="Times New Roman"/>
                <w:color w:val="auto"/>
                <w:highlight w:val="none"/>
              </w:rPr>
              <w:t>资</w:t>
            </w:r>
            <w:r>
              <w:rPr>
                <w:rFonts w:hint="eastAsia" w:cs="Times New Roman"/>
                <w:color w:val="auto"/>
                <w:highlight w:val="none"/>
                <w:lang w:val="en-US" w:eastAsia="zh-CN"/>
              </w:rPr>
              <w:t>5.2</w:t>
            </w:r>
            <w:r>
              <w:rPr>
                <w:rFonts w:hint="default" w:ascii="Times New Roman" w:hAnsi="Times New Roman" w:eastAsia="仿宋_GB2312" w:cs="Times New Roman"/>
                <w:color w:val="auto"/>
              </w:rPr>
              <w:t>万元，占总投资</w:t>
            </w:r>
            <w:r>
              <w:rPr>
                <w:rFonts w:hint="eastAsia" w:cs="Times New Roman"/>
                <w:color w:val="auto"/>
                <w:lang w:val="en-US" w:eastAsia="zh-CN"/>
              </w:rPr>
              <w:t>10.4</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rPr>
              <w:t>，主要包括施工期及运行期的各项环境污染治理投资、生态保护及水土保持投资，项目环境保护投资估算见下表。</w:t>
            </w:r>
          </w:p>
          <w:p w14:paraId="5CD2F039">
            <w:pPr>
              <w:pStyle w:val="29"/>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表5-1  建设项目环保投资一览表</w:t>
            </w:r>
          </w:p>
          <w:tbl>
            <w:tblPr>
              <w:tblStyle w:val="14"/>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8"/>
              <w:gridCol w:w="726"/>
              <w:gridCol w:w="1693"/>
              <w:gridCol w:w="4343"/>
              <w:gridCol w:w="792"/>
            </w:tblGrid>
            <w:tr w14:paraId="6325BA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309" w:type="pct"/>
                  <w:tcBorders>
                    <w:tl2br w:val="nil"/>
                    <w:tr2bl w:val="nil"/>
                  </w:tcBorders>
                  <w:noWrap w:val="0"/>
                  <w:vAlign w:val="center"/>
                </w:tcPr>
                <w:p w14:paraId="0B2D786E">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类型</w:t>
                  </w:r>
                </w:p>
              </w:tc>
              <w:tc>
                <w:tcPr>
                  <w:tcW w:w="1502" w:type="pct"/>
                  <w:gridSpan w:val="2"/>
                  <w:tcBorders>
                    <w:tl2br w:val="nil"/>
                    <w:tr2bl w:val="nil"/>
                  </w:tcBorders>
                  <w:noWrap w:val="0"/>
                  <w:vAlign w:val="center"/>
                </w:tcPr>
                <w:p w14:paraId="70C4F18A">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污染工序</w:t>
                  </w:r>
                </w:p>
              </w:tc>
              <w:tc>
                <w:tcPr>
                  <w:tcW w:w="2696" w:type="pct"/>
                  <w:tcBorders>
                    <w:tl2br w:val="nil"/>
                    <w:tr2bl w:val="nil"/>
                  </w:tcBorders>
                  <w:noWrap w:val="0"/>
                  <w:vAlign w:val="center"/>
                </w:tcPr>
                <w:p w14:paraId="24173A70">
                  <w:pPr>
                    <w:pStyle w:val="30"/>
                    <w:rPr>
                      <w:rFonts w:hint="default" w:ascii="Times New Roman" w:hAnsi="Times New Roman"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治理措施或设备</w:t>
                  </w:r>
                </w:p>
              </w:tc>
              <w:tc>
                <w:tcPr>
                  <w:tcW w:w="491" w:type="pct"/>
                  <w:tcBorders>
                    <w:tl2br w:val="nil"/>
                    <w:tr2bl w:val="nil"/>
                  </w:tcBorders>
                  <w:noWrap w:val="0"/>
                  <w:vAlign w:val="center"/>
                </w:tcPr>
                <w:p w14:paraId="37B3B465">
                  <w:pPr>
                    <w:pStyle w:val="30"/>
                    <w:rPr>
                      <w:rFonts w:hint="default" w:ascii="Times New Roman" w:hAnsi="Times New Roman" w:eastAsia="仿宋_GB2312" w:cs="Times New Roman"/>
                      <w:b/>
                      <w:bCs/>
                      <w:color w:val="auto"/>
                      <w:sz w:val="18"/>
                      <w:szCs w:val="18"/>
                      <w:highlight w:val="none"/>
                      <w:lang w:val="en-US" w:eastAsia="zh-CN"/>
                    </w:rPr>
                  </w:pPr>
                  <w:r>
                    <w:rPr>
                      <w:rFonts w:hint="eastAsia" w:eastAsia="仿宋_GB2312" w:cs="Times New Roman"/>
                      <w:b/>
                      <w:bCs/>
                      <w:color w:val="auto"/>
                      <w:sz w:val="18"/>
                      <w:szCs w:val="18"/>
                      <w:highlight w:val="none"/>
                      <w:lang w:val="en-US" w:eastAsia="zh-CN"/>
                    </w:rPr>
                    <w:t>环保投资（万元）</w:t>
                  </w:r>
                </w:p>
              </w:tc>
            </w:tr>
            <w:tr w14:paraId="71BFA8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restart"/>
                  <w:tcBorders>
                    <w:tl2br w:val="nil"/>
                    <w:tr2bl w:val="nil"/>
                  </w:tcBorders>
                  <w:noWrap w:val="0"/>
                  <w:vAlign w:val="center"/>
                </w:tcPr>
                <w:p w14:paraId="7385E2F8">
                  <w:pPr>
                    <w:pStyle w:val="30"/>
                    <w:numPr>
                      <w:ilvl w:val="0"/>
                      <w:numId w:val="0"/>
                    </w:numPr>
                    <w:ind w:left="425" w:leftChars="0" w:hanging="425" w:firstLineChars="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废气</w:t>
                  </w:r>
                </w:p>
              </w:tc>
              <w:tc>
                <w:tcPr>
                  <w:tcW w:w="450" w:type="pct"/>
                  <w:tcBorders>
                    <w:tl2br w:val="nil"/>
                    <w:tr2bl w:val="nil"/>
                  </w:tcBorders>
                  <w:noWrap w:val="0"/>
                  <w:vAlign w:val="center"/>
                </w:tcPr>
                <w:p w14:paraId="10003A06">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施工期</w:t>
                  </w:r>
                </w:p>
              </w:tc>
              <w:tc>
                <w:tcPr>
                  <w:tcW w:w="1051" w:type="pct"/>
                  <w:tcBorders>
                    <w:tl2br w:val="nil"/>
                    <w:tr2bl w:val="nil"/>
                  </w:tcBorders>
                  <w:noWrap w:val="0"/>
                  <w:vAlign w:val="center"/>
                </w:tcPr>
                <w:p w14:paraId="3DBF9E22">
                  <w:pPr>
                    <w:pStyle w:val="3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施工扬尘、焊接烟尘、涂漆废气、燃油机械尾气及吹扫废气</w:t>
                  </w:r>
                </w:p>
              </w:tc>
              <w:tc>
                <w:tcPr>
                  <w:tcW w:w="2696" w:type="pct"/>
                  <w:tcBorders>
                    <w:tl2br w:val="nil"/>
                    <w:tr2bl w:val="nil"/>
                  </w:tcBorders>
                  <w:noWrap w:val="0"/>
                  <w:vAlign w:val="center"/>
                </w:tcPr>
                <w:p w14:paraId="7CFB50DC">
                  <w:pPr>
                    <w:pStyle w:val="30"/>
                    <w:jc w:val="both"/>
                    <w:rPr>
                      <w:rFonts w:hint="eastAsia"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施工场地设围栏，</w:t>
                  </w:r>
                  <w:r>
                    <w:rPr>
                      <w:rFonts w:hint="eastAsia" w:eastAsia="仿宋_GB2312" w:cs="Times New Roman"/>
                      <w:color w:val="auto"/>
                      <w:sz w:val="18"/>
                      <w:szCs w:val="18"/>
                      <w:lang w:val="en-US" w:eastAsia="zh-CN"/>
                    </w:rPr>
                    <w:t>施工现场定期洒水</w:t>
                  </w:r>
                  <w:r>
                    <w:rPr>
                      <w:rFonts w:hint="eastAsia" w:ascii="Times New Roman" w:hAnsi="Times New Roman" w:eastAsia="仿宋_GB2312" w:cs="Times New Roman"/>
                      <w:color w:val="auto"/>
                      <w:sz w:val="18"/>
                      <w:szCs w:val="18"/>
                      <w:lang w:val="en-US" w:eastAsia="zh-CN"/>
                    </w:rPr>
                    <w:t>；管道补漆使用的漆料均在原料厂家调配好，不在施工现场调配，减少有机废气挥发量</w:t>
                  </w:r>
                </w:p>
              </w:tc>
              <w:tc>
                <w:tcPr>
                  <w:tcW w:w="491" w:type="pct"/>
                  <w:tcBorders>
                    <w:tl2br w:val="nil"/>
                    <w:tr2bl w:val="nil"/>
                  </w:tcBorders>
                  <w:noWrap w:val="0"/>
                  <w:vAlign w:val="center"/>
                </w:tcPr>
                <w:p w14:paraId="3554EB1C">
                  <w:pPr>
                    <w:pStyle w:val="30"/>
                    <w:rPr>
                      <w:rFonts w:hint="default" w:ascii="Times New Roman" w:hAnsi="Times New Roman" w:eastAsia="仿宋_GB2312" w:cs="Times New Roman"/>
                      <w:color w:val="auto"/>
                      <w:sz w:val="18"/>
                      <w:szCs w:val="18"/>
                      <w:highlight w:val="yellow"/>
                      <w:lang w:val="en-US" w:eastAsia="zh-CN"/>
                    </w:rPr>
                  </w:pPr>
                  <w:r>
                    <w:rPr>
                      <w:rFonts w:hint="eastAsia" w:eastAsia="仿宋_GB2312" w:cs="Times New Roman"/>
                      <w:color w:val="auto"/>
                      <w:sz w:val="18"/>
                      <w:szCs w:val="18"/>
                      <w:highlight w:val="none"/>
                      <w:lang w:val="en-US" w:eastAsia="zh-CN"/>
                    </w:rPr>
                    <w:t>0.83</w:t>
                  </w:r>
                </w:p>
              </w:tc>
            </w:tr>
            <w:tr w14:paraId="5F36E6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continue"/>
                  <w:tcBorders>
                    <w:tl2br w:val="nil"/>
                    <w:tr2bl w:val="nil"/>
                  </w:tcBorders>
                  <w:noWrap w:val="0"/>
                  <w:vAlign w:val="center"/>
                </w:tcPr>
                <w:p w14:paraId="3338FA52">
                  <w:pPr>
                    <w:pStyle w:val="30"/>
                    <w:numPr>
                      <w:ilvl w:val="0"/>
                      <w:numId w:val="0"/>
                    </w:numPr>
                    <w:ind w:left="425" w:leftChars="0" w:hanging="425" w:firstLineChars="0"/>
                    <w:rPr>
                      <w:rFonts w:hint="eastAsia" w:eastAsia="仿宋_GB2312" w:cs="Times New Roman"/>
                      <w:color w:val="auto"/>
                      <w:sz w:val="18"/>
                      <w:szCs w:val="18"/>
                      <w:lang w:val="en-US" w:eastAsia="zh-CN"/>
                    </w:rPr>
                  </w:pPr>
                </w:p>
              </w:tc>
              <w:tc>
                <w:tcPr>
                  <w:tcW w:w="450" w:type="pct"/>
                  <w:tcBorders>
                    <w:tl2br w:val="nil"/>
                    <w:tr2bl w:val="nil"/>
                  </w:tcBorders>
                  <w:noWrap w:val="0"/>
                  <w:vAlign w:val="center"/>
                </w:tcPr>
                <w:p w14:paraId="0B7AC721">
                  <w:pPr>
                    <w:pStyle w:val="30"/>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运营期</w:t>
                  </w:r>
                </w:p>
              </w:tc>
              <w:tc>
                <w:tcPr>
                  <w:tcW w:w="1051" w:type="pct"/>
                  <w:tcBorders>
                    <w:tl2br w:val="nil"/>
                    <w:tr2bl w:val="nil"/>
                  </w:tcBorders>
                  <w:noWrap w:val="0"/>
                  <w:vAlign w:val="center"/>
                </w:tcPr>
                <w:p w14:paraId="43AFAFE8">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2696" w:type="pct"/>
                  <w:tcBorders>
                    <w:tl2br w:val="nil"/>
                    <w:tr2bl w:val="nil"/>
                  </w:tcBorders>
                  <w:noWrap w:val="0"/>
                  <w:vAlign w:val="center"/>
                </w:tcPr>
                <w:p w14:paraId="0500D2FC">
                  <w:pPr>
                    <w:pStyle w:val="3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491" w:type="pct"/>
                  <w:tcBorders>
                    <w:tl2br w:val="nil"/>
                    <w:tr2bl w:val="nil"/>
                  </w:tcBorders>
                  <w:noWrap w:val="0"/>
                  <w:vAlign w:val="center"/>
                </w:tcPr>
                <w:p w14:paraId="695D709F">
                  <w:pPr>
                    <w:pStyle w:val="30"/>
                    <w:jc w:val="center"/>
                    <w:rPr>
                      <w:rFonts w:hint="default"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w:t>
                  </w:r>
                </w:p>
              </w:tc>
            </w:tr>
            <w:tr w14:paraId="2B404C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restart"/>
                  <w:tcBorders>
                    <w:tl2br w:val="nil"/>
                    <w:tr2bl w:val="nil"/>
                  </w:tcBorders>
                  <w:noWrap w:val="0"/>
                  <w:vAlign w:val="center"/>
                </w:tcPr>
                <w:p w14:paraId="5E547A55">
                  <w:pPr>
                    <w:pStyle w:val="30"/>
                    <w:numPr>
                      <w:ilvl w:val="0"/>
                      <w:numId w:val="0"/>
                    </w:numPr>
                    <w:ind w:left="425" w:leftChars="0" w:hanging="425" w:firstLineChars="0"/>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废水</w:t>
                  </w:r>
                </w:p>
              </w:tc>
              <w:tc>
                <w:tcPr>
                  <w:tcW w:w="450" w:type="pct"/>
                  <w:tcBorders>
                    <w:tl2br w:val="nil"/>
                    <w:tr2bl w:val="nil"/>
                  </w:tcBorders>
                  <w:noWrap w:val="0"/>
                  <w:vAlign w:val="center"/>
                </w:tcPr>
                <w:p w14:paraId="28D2E50B">
                  <w:pPr>
                    <w:pStyle w:val="30"/>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施工期</w:t>
                  </w:r>
                </w:p>
              </w:tc>
              <w:tc>
                <w:tcPr>
                  <w:tcW w:w="1051" w:type="pct"/>
                  <w:tcBorders>
                    <w:tl2br w:val="nil"/>
                    <w:tr2bl w:val="nil"/>
                  </w:tcBorders>
                  <w:noWrap w:val="0"/>
                  <w:vAlign w:val="center"/>
                </w:tcPr>
                <w:p w14:paraId="4FC74828">
                  <w:pPr>
                    <w:pStyle w:val="30"/>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生活污水、清管和试压废水</w:t>
                  </w:r>
                </w:p>
              </w:tc>
              <w:tc>
                <w:tcPr>
                  <w:tcW w:w="2696" w:type="pct"/>
                  <w:tcBorders>
                    <w:tl2br w:val="nil"/>
                    <w:tr2bl w:val="nil"/>
                  </w:tcBorders>
                  <w:noWrap w:val="0"/>
                  <w:vAlign w:val="center"/>
                </w:tcPr>
                <w:p w14:paraId="3DA67C07">
                  <w:pPr>
                    <w:pStyle w:val="30"/>
                    <w:jc w:val="center"/>
                    <w:rPr>
                      <w:rFonts w:hint="eastAsia" w:eastAsia="仿宋_GB2312" w:cs="Times New Roman"/>
                      <w:color w:val="auto"/>
                      <w:sz w:val="18"/>
                      <w:szCs w:val="18"/>
                      <w:lang w:val="en-US" w:eastAsia="zh-CN"/>
                    </w:rPr>
                  </w:pPr>
                  <w:r>
                    <w:rPr>
                      <w:rFonts w:hint="eastAsia" w:eastAsia="仿宋_GB2312" w:cs="Times New Roman"/>
                      <w:color w:val="auto"/>
                      <w:sz w:val="18"/>
                      <w:szCs w:val="18"/>
                      <w:lang w:val="en-US" w:eastAsia="zh-CN"/>
                    </w:rPr>
                    <w:t>生活污水依托润土公司厂区内化粪池经预处理设施处理后接入园区污水管网；清管和试压用水排入润土公司厂区废水收集池，纳入园区污水管网。</w:t>
                  </w:r>
                </w:p>
              </w:tc>
              <w:tc>
                <w:tcPr>
                  <w:tcW w:w="491" w:type="pct"/>
                  <w:tcBorders>
                    <w:tl2br w:val="nil"/>
                    <w:tr2bl w:val="nil"/>
                  </w:tcBorders>
                  <w:noWrap w:val="0"/>
                  <w:vAlign w:val="center"/>
                </w:tcPr>
                <w:p w14:paraId="3FA98D44">
                  <w:pPr>
                    <w:pStyle w:val="30"/>
                    <w:jc w:val="center"/>
                    <w:rPr>
                      <w:rFonts w:hint="default"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0.64</w:t>
                  </w:r>
                </w:p>
              </w:tc>
            </w:tr>
            <w:tr w14:paraId="731F8D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continue"/>
                  <w:tcBorders>
                    <w:tl2br w:val="nil"/>
                    <w:tr2bl w:val="nil"/>
                  </w:tcBorders>
                  <w:noWrap w:val="0"/>
                  <w:vAlign w:val="center"/>
                </w:tcPr>
                <w:p w14:paraId="184F3890">
                  <w:pPr>
                    <w:pStyle w:val="30"/>
                    <w:numPr>
                      <w:ilvl w:val="0"/>
                      <w:numId w:val="0"/>
                    </w:numPr>
                    <w:ind w:left="425" w:leftChars="0" w:hanging="425" w:firstLineChars="0"/>
                    <w:rPr>
                      <w:rFonts w:hint="eastAsia" w:eastAsia="仿宋_GB2312" w:cs="Times New Roman"/>
                      <w:color w:val="auto"/>
                      <w:sz w:val="18"/>
                      <w:szCs w:val="18"/>
                      <w:lang w:val="en-US" w:eastAsia="zh-CN"/>
                    </w:rPr>
                  </w:pPr>
                </w:p>
              </w:tc>
              <w:tc>
                <w:tcPr>
                  <w:tcW w:w="450" w:type="pct"/>
                  <w:tcBorders>
                    <w:tl2br w:val="nil"/>
                    <w:tr2bl w:val="nil"/>
                  </w:tcBorders>
                  <w:noWrap w:val="0"/>
                  <w:vAlign w:val="center"/>
                </w:tcPr>
                <w:p w14:paraId="7740DFF8">
                  <w:pPr>
                    <w:pStyle w:val="30"/>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运营期</w:t>
                  </w:r>
                </w:p>
              </w:tc>
              <w:tc>
                <w:tcPr>
                  <w:tcW w:w="1051" w:type="pct"/>
                  <w:tcBorders>
                    <w:tl2br w:val="nil"/>
                    <w:tr2bl w:val="nil"/>
                  </w:tcBorders>
                  <w:noWrap w:val="0"/>
                  <w:vAlign w:val="center"/>
                </w:tcPr>
                <w:p w14:paraId="104E547F">
                  <w:pPr>
                    <w:pStyle w:val="30"/>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2696" w:type="pct"/>
                  <w:tcBorders>
                    <w:tl2br w:val="nil"/>
                    <w:tr2bl w:val="nil"/>
                  </w:tcBorders>
                  <w:noWrap w:val="0"/>
                  <w:vAlign w:val="center"/>
                </w:tcPr>
                <w:p w14:paraId="535EB537">
                  <w:pPr>
                    <w:pStyle w:val="30"/>
                    <w:jc w:val="center"/>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491" w:type="pct"/>
                  <w:tcBorders>
                    <w:tl2br w:val="nil"/>
                    <w:tr2bl w:val="nil"/>
                  </w:tcBorders>
                  <w:noWrap w:val="0"/>
                  <w:vAlign w:val="center"/>
                </w:tcPr>
                <w:p w14:paraId="55A8B006">
                  <w:pPr>
                    <w:pStyle w:val="30"/>
                    <w:jc w:val="center"/>
                    <w:rPr>
                      <w:rFonts w:hint="default"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w:t>
                  </w:r>
                </w:p>
              </w:tc>
            </w:tr>
            <w:tr w14:paraId="0D36E9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restart"/>
                  <w:tcBorders>
                    <w:tl2br w:val="nil"/>
                    <w:tr2bl w:val="nil"/>
                  </w:tcBorders>
                  <w:noWrap w:val="0"/>
                  <w:vAlign w:val="center"/>
                </w:tcPr>
                <w:p w14:paraId="22BF45F8">
                  <w:pPr>
                    <w:pStyle w:val="30"/>
                    <w:numPr>
                      <w:ilvl w:val="0"/>
                      <w:numId w:val="0"/>
                    </w:numPr>
                    <w:ind w:left="425" w:leftChars="0" w:hanging="425" w:firstLineChars="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噪声</w:t>
                  </w:r>
                </w:p>
              </w:tc>
              <w:tc>
                <w:tcPr>
                  <w:tcW w:w="450" w:type="pct"/>
                  <w:tcBorders>
                    <w:tl2br w:val="nil"/>
                    <w:tr2bl w:val="nil"/>
                  </w:tcBorders>
                  <w:noWrap w:val="0"/>
                  <w:vAlign w:val="center"/>
                </w:tcPr>
                <w:p w14:paraId="739EB631">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施工期</w:t>
                  </w:r>
                </w:p>
              </w:tc>
              <w:tc>
                <w:tcPr>
                  <w:tcW w:w="1051" w:type="pct"/>
                  <w:tcBorders>
                    <w:tl2br w:val="nil"/>
                    <w:tr2bl w:val="nil"/>
                  </w:tcBorders>
                  <w:noWrap w:val="0"/>
                  <w:vAlign w:val="center"/>
                </w:tcPr>
                <w:p w14:paraId="4F66473F">
                  <w:pPr>
                    <w:pStyle w:val="3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施工机械、运输车辆</w:t>
                  </w:r>
                </w:p>
              </w:tc>
              <w:tc>
                <w:tcPr>
                  <w:tcW w:w="2696" w:type="pct"/>
                  <w:tcBorders>
                    <w:tl2br w:val="nil"/>
                    <w:tr2bl w:val="nil"/>
                  </w:tcBorders>
                  <w:noWrap w:val="0"/>
                  <w:vAlign w:val="center"/>
                </w:tcPr>
                <w:p w14:paraId="552B5118">
                  <w:pPr>
                    <w:pStyle w:val="3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选用低噪机械、合理规划施工时间、试压放散管安装消声器等</w:t>
                  </w:r>
                </w:p>
              </w:tc>
              <w:tc>
                <w:tcPr>
                  <w:tcW w:w="491" w:type="pct"/>
                  <w:tcBorders>
                    <w:tl2br w:val="nil"/>
                    <w:tr2bl w:val="nil"/>
                  </w:tcBorders>
                  <w:noWrap w:val="0"/>
                  <w:vAlign w:val="center"/>
                </w:tcPr>
                <w:p w14:paraId="37D18489">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0.52</w:t>
                  </w:r>
                </w:p>
              </w:tc>
            </w:tr>
            <w:tr w14:paraId="2338C8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continue"/>
                  <w:tcBorders>
                    <w:tl2br w:val="nil"/>
                    <w:tr2bl w:val="nil"/>
                  </w:tcBorders>
                  <w:noWrap w:val="0"/>
                  <w:vAlign w:val="center"/>
                </w:tcPr>
                <w:p w14:paraId="488A5C13">
                  <w:pPr>
                    <w:pStyle w:val="30"/>
                    <w:numPr>
                      <w:ilvl w:val="0"/>
                      <w:numId w:val="0"/>
                    </w:numPr>
                    <w:ind w:left="425" w:leftChars="0" w:hanging="425" w:firstLineChars="0"/>
                    <w:rPr>
                      <w:rFonts w:hint="eastAsia" w:eastAsia="仿宋_GB2312" w:cs="Times New Roman"/>
                      <w:color w:val="auto"/>
                      <w:sz w:val="18"/>
                      <w:szCs w:val="18"/>
                      <w:lang w:val="en-US" w:eastAsia="zh-CN"/>
                    </w:rPr>
                  </w:pPr>
                </w:p>
              </w:tc>
              <w:tc>
                <w:tcPr>
                  <w:tcW w:w="450" w:type="pct"/>
                  <w:tcBorders>
                    <w:tl2br w:val="nil"/>
                    <w:tr2bl w:val="nil"/>
                  </w:tcBorders>
                  <w:noWrap w:val="0"/>
                  <w:vAlign w:val="center"/>
                </w:tcPr>
                <w:p w14:paraId="19B66283">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运营期</w:t>
                  </w:r>
                </w:p>
              </w:tc>
              <w:tc>
                <w:tcPr>
                  <w:tcW w:w="1051" w:type="pct"/>
                  <w:tcBorders>
                    <w:tl2br w:val="nil"/>
                    <w:tr2bl w:val="nil"/>
                  </w:tcBorders>
                  <w:noWrap w:val="0"/>
                  <w:vAlign w:val="center"/>
                </w:tcPr>
                <w:p w14:paraId="15B5031E">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2696" w:type="pct"/>
                  <w:tcBorders>
                    <w:tl2br w:val="nil"/>
                    <w:tr2bl w:val="nil"/>
                  </w:tcBorders>
                  <w:noWrap w:val="0"/>
                  <w:vAlign w:val="center"/>
                </w:tcPr>
                <w:p w14:paraId="114E2159">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491" w:type="pct"/>
                  <w:tcBorders>
                    <w:tl2br w:val="nil"/>
                    <w:tr2bl w:val="nil"/>
                  </w:tcBorders>
                  <w:noWrap w:val="0"/>
                  <w:vAlign w:val="center"/>
                </w:tcPr>
                <w:p w14:paraId="175FF75A">
                  <w:pPr>
                    <w:pStyle w:val="30"/>
                    <w:rPr>
                      <w:rFonts w:hint="default"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r>
            <w:tr w14:paraId="6A6CD5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restart"/>
                  <w:tcBorders>
                    <w:tl2br w:val="nil"/>
                    <w:tr2bl w:val="nil"/>
                  </w:tcBorders>
                  <w:noWrap w:val="0"/>
                  <w:vAlign w:val="center"/>
                </w:tcPr>
                <w:p w14:paraId="0CC8975E">
                  <w:pPr>
                    <w:pStyle w:val="30"/>
                    <w:numPr>
                      <w:ilvl w:val="0"/>
                      <w:numId w:val="0"/>
                    </w:numPr>
                    <w:ind w:left="425" w:leftChars="0" w:hanging="425"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固废</w:t>
                  </w:r>
                </w:p>
              </w:tc>
              <w:tc>
                <w:tcPr>
                  <w:tcW w:w="450" w:type="pct"/>
                  <w:tcBorders>
                    <w:tl2br w:val="nil"/>
                    <w:tr2bl w:val="nil"/>
                  </w:tcBorders>
                  <w:shd w:val="clear" w:color="auto" w:fill="auto"/>
                  <w:noWrap w:val="0"/>
                  <w:vAlign w:val="center"/>
                </w:tcPr>
                <w:p w14:paraId="37ECF91F">
                  <w:pPr>
                    <w:pStyle w:val="30"/>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sz w:val="18"/>
                      <w:szCs w:val="18"/>
                      <w:lang w:val="en-US" w:eastAsia="zh-CN"/>
                    </w:rPr>
                    <w:t>施工期</w:t>
                  </w:r>
                </w:p>
              </w:tc>
              <w:tc>
                <w:tcPr>
                  <w:tcW w:w="1051" w:type="pct"/>
                  <w:tcBorders>
                    <w:tl2br w:val="nil"/>
                    <w:tr2bl w:val="nil"/>
                  </w:tcBorders>
                  <w:noWrap w:val="0"/>
                  <w:vAlign w:val="center"/>
                </w:tcPr>
                <w:p w14:paraId="53B9C430">
                  <w:pPr>
                    <w:pStyle w:val="3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废焊材、废油漆桶/刷</w:t>
                  </w:r>
                  <w:r>
                    <w:rPr>
                      <w:rFonts w:hint="eastAsia" w:eastAsia="仿宋_GB2312" w:cs="Times New Roman"/>
                      <w:color w:val="auto"/>
                      <w:sz w:val="18"/>
                      <w:szCs w:val="18"/>
                      <w:lang w:val="en-US" w:eastAsia="zh-CN"/>
                    </w:rPr>
                    <w:t>、生活垃圾</w:t>
                  </w:r>
                </w:p>
              </w:tc>
              <w:tc>
                <w:tcPr>
                  <w:tcW w:w="2696" w:type="pct"/>
                  <w:tcBorders>
                    <w:tl2br w:val="nil"/>
                    <w:tr2bl w:val="nil"/>
                  </w:tcBorders>
                  <w:noWrap w:val="0"/>
                  <w:vAlign w:val="center"/>
                </w:tcPr>
                <w:p w14:paraId="2C8C2F75">
                  <w:pPr>
                    <w:pStyle w:val="3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废焊材外售综合利用；废油漆桶/刷</w:t>
                  </w:r>
                  <w:r>
                    <w:rPr>
                      <w:rFonts w:hint="eastAsia" w:eastAsia="仿宋_GB2312" w:cs="Times New Roman"/>
                      <w:color w:val="auto"/>
                      <w:sz w:val="18"/>
                      <w:szCs w:val="18"/>
                      <w:lang w:val="en-US" w:eastAsia="zh-CN"/>
                    </w:rPr>
                    <w:t>依托润土公司危废库暂存，并</w:t>
                  </w:r>
                  <w:r>
                    <w:rPr>
                      <w:rFonts w:hint="default" w:ascii="Times New Roman" w:hAnsi="Times New Roman" w:eastAsia="仿宋_GB2312" w:cs="Times New Roman"/>
                      <w:color w:val="auto"/>
                      <w:sz w:val="18"/>
                      <w:szCs w:val="18"/>
                      <w:lang w:val="en-US" w:eastAsia="zh-CN"/>
                    </w:rPr>
                    <w:t>委托有资质单位处置</w:t>
                  </w:r>
                  <w:r>
                    <w:rPr>
                      <w:rFonts w:hint="eastAsia" w:eastAsia="仿宋_GB2312" w:cs="Times New Roman"/>
                      <w:color w:val="auto"/>
                      <w:sz w:val="18"/>
                      <w:szCs w:val="18"/>
                      <w:lang w:val="en-US" w:eastAsia="zh-CN"/>
                    </w:rPr>
                    <w:t>；生活垃圾交由环卫部门统一进行处理</w:t>
                  </w:r>
                </w:p>
              </w:tc>
              <w:tc>
                <w:tcPr>
                  <w:tcW w:w="491" w:type="pct"/>
                  <w:vMerge w:val="restart"/>
                  <w:tcBorders>
                    <w:tl2br w:val="nil"/>
                    <w:tr2bl w:val="nil"/>
                  </w:tcBorders>
                  <w:noWrap w:val="0"/>
                  <w:vAlign w:val="center"/>
                </w:tcPr>
                <w:p w14:paraId="5222D74B">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0.62</w:t>
                  </w:r>
                </w:p>
              </w:tc>
            </w:tr>
            <w:tr w14:paraId="223C62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continue"/>
                  <w:tcBorders>
                    <w:tl2br w:val="nil"/>
                    <w:tr2bl w:val="nil"/>
                  </w:tcBorders>
                  <w:noWrap w:val="0"/>
                  <w:vAlign w:val="center"/>
                </w:tcPr>
                <w:p w14:paraId="19FEC42F">
                  <w:pPr>
                    <w:pStyle w:val="30"/>
                    <w:numPr>
                      <w:ilvl w:val="0"/>
                      <w:numId w:val="0"/>
                    </w:numPr>
                    <w:ind w:left="425" w:leftChars="0" w:hanging="425" w:firstLineChars="0"/>
                    <w:jc w:val="center"/>
                    <w:rPr>
                      <w:rFonts w:hint="eastAsia" w:eastAsia="仿宋_GB2312" w:cs="Times New Roman"/>
                      <w:color w:val="auto"/>
                      <w:sz w:val="18"/>
                      <w:szCs w:val="18"/>
                      <w:lang w:val="en-US" w:eastAsia="zh-CN"/>
                    </w:rPr>
                  </w:pPr>
                </w:p>
              </w:tc>
              <w:tc>
                <w:tcPr>
                  <w:tcW w:w="450" w:type="pct"/>
                  <w:tcBorders>
                    <w:tl2br w:val="nil"/>
                    <w:tr2bl w:val="nil"/>
                  </w:tcBorders>
                  <w:shd w:val="clear" w:color="auto" w:fill="auto"/>
                  <w:noWrap w:val="0"/>
                  <w:vAlign w:val="center"/>
                </w:tcPr>
                <w:p w14:paraId="5149097E">
                  <w:pPr>
                    <w:pStyle w:val="30"/>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sz w:val="18"/>
                      <w:szCs w:val="18"/>
                      <w:lang w:val="en-US" w:eastAsia="zh-CN"/>
                    </w:rPr>
                    <w:t>运营期</w:t>
                  </w:r>
                </w:p>
              </w:tc>
              <w:tc>
                <w:tcPr>
                  <w:tcW w:w="1051" w:type="pct"/>
                  <w:tcBorders>
                    <w:tl2br w:val="nil"/>
                    <w:tr2bl w:val="nil"/>
                  </w:tcBorders>
                  <w:noWrap w:val="0"/>
                  <w:vAlign w:val="center"/>
                </w:tcPr>
                <w:p w14:paraId="63D4E0D1">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2696" w:type="pct"/>
                  <w:tcBorders>
                    <w:tl2br w:val="nil"/>
                    <w:tr2bl w:val="nil"/>
                  </w:tcBorders>
                  <w:noWrap w:val="0"/>
                  <w:vAlign w:val="center"/>
                </w:tcPr>
                <w:p w14:paraId="134ACB3B">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w:t>
                  </w:r>
                </w:p>
              </w:tc>
              <w:tc>
                <w:tcPr>
                  <w:tcW w:w="491" w:type="pct"/>
                  <w:vMerge w:val="continue"/>
                  <w:tcBorders>
                    <w:tl2br w:val="nil"/>
                    <w:tr2bl w:val="nil"/>
                  </w:tcBorders>
                  <w:noWrap w:val="0"/>
                  <w:vAlign w:val="center"/>
                </w:tcPr>
                <w:p w14:paraId="21F01462">
                  <w:pPr>
                    <w:pStyle w:val="30"/>
                    <w:rPr>
                      <w:rFonts w:hint="eastAsia" w:eastAsia="仿宋_GB2312" w:cs="Times New Roman"/>
                      <w:color w:val="auto"/>
                      <w:sz w:val="18"/>
                      <w:szCs w:val="18"/>
                      <w:lang w:val="en-US" w:eastAsia="zh-CN"/>
                    </w:rPr>
                  </w:pPr>
                </w:p>
              </w:tc>
            </w:tr>
            <w:tr w14:paraId="31E8BA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restart"/>
                  <w:tcBorders>
                    <w:tl2br w:val="nil"/>
                    <w:tr2bl w:val="nil"/>
                  </w:tcBorders>
                  <w:noWrap w:val="0"/>
                  <w:vAlign w:val="center"/>
                </w:tcPr>
                <w:p w14:paraId="67357439">
                  <w:pPr>
                    <w:pStyle w:val="30"/>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风险防范措施</w:t>
                  </w:r>
                </w:p>
              </w:tc>
              <w:tc>
                <w:tcPr>
                  <w:tcW w:w="1502" w:type="pct"/>
                  <w:gridSpan w:val="2"/>
                  <w:tcBorders>
                    <w:tl2br w:val="nil"/>
                    <w:tr2bl w:val="nil"/>
                  </w:tcBorders>
                  <w:noWrap w:val="0"/>
                  <w:vAlign w:val="center"/>
                </w:tcPr>
                <w:p w14:paraId="31DA713C">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施工期</w:t>
                  </w:r>
                </w:p>
              </w:tc>
              <w:tc>
                <w:tcPr>
                  <w:tcW w:w="2696" w:type="pct"/>
                  <w:tcBorders>
                    <w:tl2br w:val="nil"/>
                    <w:tr2bl w:val="nil"/>
                  </w:tcBorders>
                  <w:noWrap w:val="0"/>
                  <w:vAlign w:val="center"/>
                </w:tcPr>
                <w:p w14:paraId="53602234">
                  <w:pPr>
                    <w:pStyle w:val="30"/>
                    <w:numPr>
                      <w:ilvl w:val="0"/>
                      <w:numId w:val="0"/>
                    </w:numPr>
                    <w:jc w:val="left"/>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w:t>
                  </w:r>
                  <w:r>
                    <w:rPr>
                      <w:rFonts w:hint="default" w:ascii="Times New Roman" w:hAnsi="Times New Roman" w:eastAsia="仿宋_GB2312" w:cs="Times New Roman"/>
                      <w:color w:val="auto"/>
                      <w:sz w:val="18"/>
                      <w:szCs w:val="18"/>
                      <w:lang w:val="en-US" w:eastAsia="zh-CN"/>
                    </w:rPr>
                    <w:t>建立施工质量保证体系，提高施工检验人员的水平，加强检验手段；</w:t>
                  </w:r>
                </w:p>
                <w:p w14:paraId="4006C415">
                  <w:pPr>
                    <w:pStyle w:val="30"/>
                    <w:jc w:val="left"/>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2、</w:t>
                  </w:r>
                  <w:r>
                    <w:rPr>
                      <w:rFonts w:hint="default" w:ascii="Times New Roman" w:hAnsi="Times New Roman" w:eastAsia="仿宋_GB2312" w:cs="Times New Roman"/>
                      <w:color w:val="auto"/>
                      <w:sz w:val="18"/>
                      <w:szCs w:val="18"/>
                      <w:lang w:val="en-US" w:eastAsia="zh-CN"/>
                    </w:rPr>
                    <w:t>制定严格的规章制度，发现缺陷及时正确修补并做好记录；</w:t>
                  </w:r>
                </w:p>
                <w:p w14:paraId="0BF58CAF">
                  <w:pPr>
                    <w:pStyle w:val="30"/>
                    <w:jc w:val="left"/>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3、</w:t>
                  </w:r>
                  <w:r>
                    <w:rPr>
                      <w:rFonts w:hint="default" w:ascii="Times New Roman" w:hAnsi="Times New Roman" w:eastAsia="仿宋_GB2312" w:cs="Times New Roman"/>
                      <w:color w:val="auto"/>
                      <w:sz w:val="18"/>
                      <w:szCs w:val="18"/>
                      <w:lang w:val="en-US" w:eastAsia="zh-CN"/>
                    </w:rPr>
                    <w:t>进行气压试验，排除存在于焊缝和母材的缺陷，增加管道的安全性；</w:t>
                  </w:r>
                </w:p>
                <w:p w14:paraId="1B916A80">
                  <w:pPr>
                    <w:pStyle w:val="30"/>
                    <w:jc w:val="left"/>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4、</w:t>
                  </w:r>
                  <w:r>
                    <w:rPr>
                      <w:rFonts w:hint="default" w:ascii="Times New Roman" w:hAnsi="Times New Roman" w:eastAsia="仿宋_GB2312" w:cs="Times New Roman"/>
                      <w:color w:val="auto"/>
                      <w:sz w:val="18"/>
                      <w:szCs w:val="18"/>
                      <w:lang w:val="en-US" w:eastAsia="zh-CN"/>
                    </w:rPr>
                    <w:t>选择有丰富经验的单位进行施工，确保施工质量；</w:t>
                  </w:r>
                </w:p>
                <w:p w14:paraId="3CE0A6EA">
                  <w:pPr>
                    <w:pStyle w:val="30"/>
                    <w:jc w:val="left"/>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5、</w:t>
                  </w:r>
                  <w:r>
                    <w:rPr>
                      <w:rFonts w:hint="default" w:ascii="Times New Roman" w:hAnsi="Times New Roman" w:eastAsia="仿宋_GB2312" w:cs="Times New Roman"/>
                      <w:color w:val="auto"/>
                      <w:sz w:val="18"/>
                      <w:szCs w:val="18"/>
                      <w:lang w:val="en-US" w:eastAsia="zh-CN"/>
                    </w:rPr>
                    <w:t>焊接时选择空旷地带，由专业的施工团队设计专业的焊接流程，焊接区域远离易燃易爆管线；</w:t>
                  </w:r>
                </w:p>
                <w:p w14:paraId="045F0B16">
                  <w:pPr>
                    <w:pStyle w:val="30"/>
                    <w:jc w:val="left"/>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6、</w:t>
                  </w:r>
                  <w:r>
                    <w:rPr>
                      <w:rFonts w:hint="default" w:ascii="Times New Roman" w:hAnsi="Times New Roman" w:eastAsia="仿宋_GB2312" w:cs="Times New Roman"/>
                      <w:color w:val="auto"/>
                      <w:sz w:val="18"/>
                      <w:szCs w:val="18"/>
                      <w:lang w:val="en-US" w:eastAsia="zh-CN"/>
                    </w:rPr>
                    <w:t>施工期做好防护工作，严防碰到其他管道，引发事故。</w:t>
                  </w:r>
                </w:p>
              </w:tc>
              <w:tc>
                <w:tcPr>
                  <w:tcW w:w="491" w:type="pct"/>
                  <w:tcBorders>
                    <w:tl2br w:val="nil"/>
                    <w:tr2bl w:val="nil"/>
                  </w:tcBorders>
                  <w:noWrap w:val="0"/>
                  <w:vAlign w:val="center"/>
                </w:tcPr>
                <w:p w14:paraId="29F0EDC9">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1.24</w:t>
                  </w:r>
                </w:p>
              </w:tc>
            </w:tr>
            <w:tr w14:paraId="3EABB4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309" w:type="pct"/>
                  <w:vMerge w:val="continue"/>
                  <w:tcBorders>
                    <w:tl2br w:val="nil"/>
                    <w:tr2bl w:val="nil"/>
                  </w:tcBorders>
                  <w:noWrap w:val="0"/>
                  <w:vAlign w:val="center"/>
                </w:tcPr>
                <w:p w14:paraId="0F4070E7">
                  <w:pPr>
                    <w:pStyle w:val="30"/>
                    <w:numPr>
                      <w:ilvl w:val="0"/>
                      <w:numId w:val="0"/>
                    </w:numPr>
                    <w:ind w:left="425" w:leftChars="0" w:hanging="425" w:firstLineChars="0"/>
                    <w:rPr>
                      <w:rFonts w:hint="default" w:ascii="Times New Roman" w:hAnsi="Times New Roman" w:eastAsia="仿宋_GB2312" w:cs="Times New Roman"/>
                      <w:color w:val="auto"/>
                      <w:sz w:val="18"/>
                      <w:szCs w:val="18"/>
                      <w:lang w:val="en-US" w:eastAsia="zh-CN"/>
                    </w:rPr>
                  </w:pPr>
                </w:p>
              </w:tc>
              <w:tc>
                <w:tcPr>
                  <w:tcW w:w="1502" w:type="pct"/>
                  <w:gridSpan w:val="2"/>
                  <w:tcBorders>
                    <w:tl2br w:val="nil"/>
                    <w:tr2bl w:val="nil"/>
                  </w:tcBorders>
                  <w:noWrap w:val="0"/>
                  <w:vAlign w:val="center"/>
                </w:tcPr>
                <w:p w14:paraId="64C8D061">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运营期</w:t>
                  </w:r>
                </w:p>
              </w:tc>
              <w:tc>
                <w:tcPr>
                  <w:tcW w:w="2696" w:type="pct"/>
                  <w:tcBorders>
                    <w:tl2br w:val="nil"/>
                    <w:tr2bl w:val="nil"/>
                  </w:tcBorders>
                  <w:noWrap w:val="0"/>
                  <w:vAlign w:val="center"/>
                </w:tcPr>
                <w:p w14:paraId="29F9DBD9">
                  <w:pPr>
                    <w:pStyle w:val="30"/>
                    <w:numPr>
                      <w:ilvl w:val="0"/>
                      <w:numId w:val="0"/>
                    </w:numPr>
                    <w:jc w:val="left"/>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w:t>
                  </w:r>
                  <w:r>
                    <w:rPr>
                      <w:rFonts w:hint="default" w:ascii="Times New Roman" w:hAnsi="Times New Roman" w:eastAsia="仿宋_GB2312" w:cs="Times New Roman"/>
                      <w:color w:val="auto"/>
                      <w:sz w:val="18"/>
                      <w:szCs w:val="18"/>
                      <w:lang w:val="en-US" w:eastAsia="zh-CN"/>
                    </w:rPr>
                    <w:t>在</w:t>
                  </w:r>
                  <w:r>
                    <w:rPr>
                      <w:rFonts w:hint="eastAsia" w:eastAsia="仿宋_GB2312" w:cs="Times New Roman"/>
                      <w:color w:val="auto"/>
                      <w:sz w:val="18"/>
                      <w:szCs w:val="18"/>
                      <w:lang w:val="en-US" w:eastAsia="zh-CN"/>
                    </w:rPr>
                    <w:t>润土公司</w:t>
                  </w:r>
                  <w:r>
                    <w:rPr>
                      <w:rFonts w:hint="default" w:ascii="Times New Roman" w:hAnsi="Times New Roman" w:eastAsia="仿宋_GB2312" w:cs="Times New Roman"/>
                      <w:color w:val="auto"/>
                      <w:sz w:val="18"/>
                      <w:szCs w:val="18"/>
                      <w:lang w:val="en-US" w:eastAsia="zh-CN"/>
                    </w:rPr>
                    <w:t>接收方端口设置压力、流量对照联锁系统及紧急切断阀，阀门采用球阀</w:t>
                  </w:r>
                  <w:r>
                    <w:rPr>
                      <w:rFonts w:hint="eastAsia" w:eastAsia="仿宋_GB2312" w:cs="Times New Roman"/>
                      <w:color w:val="auto"/>
                      <w:sz w:val="18"/>
                      <w:szCs w:val="18"/>
                      <w:lang w:val="en-US" w:eastAsia="zh-CN"/>
                    </w:rPr>
                    <w:t>，</w:t>
                  </w:r>
                  <w:r>
                    <w:rPr>
                      <w:rFonts w:hint="default" w:ascii="Times New Roman" w:hAnsi="Times New Roman" w:eastAsia="仿宋_GB2312" w:cs="Times New Roman"/>
                      <w:color w:val="auto"/>
                      <w:sz w:val="18"/>
                      <w:szCs w:val="18"/>
                      <w:lang w:val="en-US" w:eastAsia="zh-CN"/>
                    </w:rPr>
                    <w:t>不产生跑冒滴漏。</w:t>
                  </w:r>
                </w:p>
                <w:p w14:paraId="7FF6CF93">
                  <w:pPr>
                    <w:pStyle w:val="30"/>
                    <w:jc w:val="left"/>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2、</w:t>
                  </w:r>
                  <w:r>
                    <w:rPr>
                      <w:rFonts w:hint="default" w:ascii="Times New Roman" w:hAnsi="Times New Roman" w:eastAsia="仿宋_GB2312" w:cs="Times New Roman"/>
                      <w:color w:val="auto"/>
                      <w:sz w:val="18"/>
                      <w:szCs w:val="18"/>
                      <w:lang w:val="en-US" w:eastAsia="zh-CN"/>
                    </w:rPr>
                    <w:t>定期巡检，泄漏事故发生时，立即关闭切断阀，及时修补管道。</w:t>
                  </w:r>
                </w:p>
                <w:p w14:paraId="07A3B81F">
                  <w:pPr>
                    <w:pStyle w:val="30"/>
                    <w:jc w:val="both"/>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3、</w:t>
                  </w:r>
                  <w:r>
                    <w:rPr>
                      <w:rFonts w:hint="default" w:ascii="Times New Roman" w:hAnsi="Times New Roman" w:eastAsia="仿宋_GB2312" w:cs="Times New Roman"/>
                      <w:color w:val="auto"/>
                      <w:sz w:val="18"/>
                      <w:szCs w:val="18"/>
                      <w:lang w:val="en-US" w:eastAsia="zh-CN"/>
                    </w:rPr>
                    <w:t>设置截断阀并配有电控，发生泄漏时，紧急切断阀门。</w:t>
                  </w:r>
                </w:p>
                <w:p w14:paraId="2B605EEE">
                  <w:pPr>
                    <w:pStyle w:val="30"/>
                    <w:jc w:val="both"/>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4、</w:t>
                  </w:r>
                  <w:r>
                    <w:rPr>
                      <w:rFonts w:hint="default" w:ascii="Times New Roman" w:hAnsi="Times New Roman" w:eastAsia="仿宋_GB2312" w:cs="Times New Roman"/>
                      <w:color w:val="auto"/>
                      <w:sz w:val="18"/>
                      <w:szCs w:val="18"/>
                      <w:lang w:val="en-US" w:eastAsia="zh-CN"/>
                    </w:rPr>
                    <w:t>将本次</w:t>
                  </w:r>
                  <w:r>
                    <w:rPr>
                      <w:rFonts w:hint="eastAsia" w:eastAsia="仿宋_GB2312" w:cs="Times New Roman"/>
                      <w:color w:val="auto"/>
                      <w:sz w:val="18"/>
                      <w:szCs w:val="18"/>
                      <w:lang w:val="en-US" w:eastAsia="zh-CN"/>
                    </w:rPr>
                    <w:t>氢气</w:t>
                  </w:r>
                  <w:r>
                    <w:rPr>
                      <w:rFonts w:hint="default" w:ascii="Times New Roman" w:hAnsi="Times New Roman" w:eastAsia="仿宋_GB2312" w:cs="Times New Roman"/>
                      <w:color w:val="auto"/>
                      <w:sz w:val="18"/>
                      <w:szCs w:val="18"/>
                      <w:lang w:val="en-US" w:eastAsia="zh-CN"/>
                    </w:rPr>
                    <w:t>输送管线工程纳入企业应急预案并定期演练。</w:t>
                  </w:r>
                </w:p>
              </w:tc>
              <w:tc>
                <w:tcPr>
                  <w:tcW w:w="491" w:type="pct"/>
                  <w:tcBorders>
                    <w:tl2br w:val="nil"/>
                    <w:tr2bl w:val="nil"/>
                  </w:tcBorders>
                  <w:noWrap w:val="0"/>
                  <w:vAlign w:val="center"/>
                </w:tcPr>
                <w:p w14:paraId="2C847078">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1.35</w:t>
                  </w:r>
                </w:p>
              </w:tc>
            </w:tr>
            <w:tr w14:paraId="4EB987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4508" w:type="pct"/>
                  <w:gridSpan w:val="4"/>
                  <w:tcBorders>
                    <w:tl2br w:val="nil"/>
                    <w:tr2bl w:val="nil"/>
                  </w:tcBorders>
                  <w:noWrap w:val="0"/>
                  <w:vAlign w:val="center"/>
                </w:tcPr>
                <w:p w14:paraId="0B432994">
                  <w:pPr>
                    <w:pStyle w:val="30"/>
                    <w:jc w:val="center"/>
                    <w:rPr>
                      <w:rFonts w:hint="eastAsia" w:eastAsia="仿宋_GB2312" w:cs="Times New Roman"/>
                      <w:b/>
                      <w:bCs/>
                      <w:color w:val="auto"/>
                      <w:sz w:val="18"/>
                      <w:szCs w:val="18"/>
                      <w:lang w:val="en-US" w:eastAsia="zh-CN"/>
                    </w:rPr>
                  </w:pPr>
                  <w:r>
                    <w:rPr>
                      <w:rFonts w:hint="eastAsia" w:eastAsia="仿宋_GB2312" w:cs="Times New Roman"/>
                      <w:b/>
                      <w:bCs/>
                      <w:color w:val="auto"/>
                      <w:sz w:val="18"/>
                      <w:szCs w:val="18"/>
                      <w:lang w:val="en-US" w:eastAsia="zh-CN"/>
                    </w:rPr>
                    <w:t>合计</w:t>
                  </w:r>
                </w:p>
              </w:tc>
              <w:tc>
                <w:tcPr>
                  <w:tcW w:w="491" w:type="pct"/>
                  <w:tcBorders>
                    <w:tl2br w:val="nil"/>
                    <w:tr2bl w:val="nil"/>
                  </w:tcBorders>
                  <w:noWrap w:val="0"/>
                  <w:vAlign w:val="center"/>
                </w:tcPr>
                <w:p w14:paraId="56B62B48">
                  <w:pPr>
                    <w:pStyle w:val="30"/>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5.2</w:t>
                  </w:r>
                </w:p>
              </w:tc>
            </w:tr>
          </w:tbl>
          <w:p w14:paraId="076E9441">
            <w:pPr>
              <w:pStyle w:val="32"/>
              <w:ind w:firstLine="0" w:firstLineChars="0"/>
              <w:rPr>
                <w:rFonts w:hint="default" w:ascii="Times New Roman" w:hAnsi="Times New Roman" w:eastAsia="仿宋_GB2312" w:cs="Times New Roman"/>
                <w:color w:val="auto"/>
              </w:rPr>
            </w:pPr>
          </w:p>
        </w:tc>
      </w:tr>
    </w:tbl>
    <w:p w14:paraId="4AFE36C9">
      <w:pPr>
        <w:ind w:firstLine="480"/>
        <w:rPr>
          <w:rFonts w:hint="default" w:ascii="Times New Roman" w:hAnsi="Times New Roman" w:eastAsia="仿宋_GB2312" w:cs="Times New Roman"/>
          <w:color w:val="000000"/>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6A90646D">
      <w:pPr>
        <w:pStyle w:val="3"/>
        <w:spacing w:before="24" w:after="24"/>
        <w:rPr>
          <w:rFonts w:hint="default" w:ascii="Times New Roman" w:hAnsi="Times New Roman" w:eastAsia="仿宋_GB2312" w:cs="Times New Roman"/>
        </w:rPr>
      </w:pPr>
      <w:bookmarkStart w:id="14" w:name="_Toc15765"/>
      <w:r>
        <w:rPr>
          <w:rFonts w:hint="default" w:ascii="Times New Roman" w:hAnsi="Times New Roman" w:eastAsia="仿宋_GB2312" w:cs="Times New Roman"/>
        </w:rPr>
        <w:t>六、生态环境保护措施监督检查清单</w:t>
      </w:r>
      <w:bookmarkEnd w:id="14"/>
    </w:p>
    <w:tbl>
      <w:tblPr>
        <w:tblStyle w:val="14"/>
        <w:tblW w:w="511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55"/>
        <w:gridCol w:w="3026"/>
        <w:gridCol w:w="1214"/>
        <w:gridCol w:w="1931"/>
        <w:gridCol w:w="1296"/>
      </w:tblGrid>
      <w:tr w14:paraId="57B149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vMerge w:val="restart"/>
            <w:noWrap w:val="0"/>
            <w:vAlign w:val="center"/>
          </w:tcPr>
          <w:p w14:paraId="3189F629">
            <w:pPr>
              <w:pStyle w:val="30"/>
              <w:jc w:val="right"/>
              <w:rPr>
                <w:rFonts w:hint="default" w:ascii="Times New Roman" w:hAnsi="Times New Roman" w:eastAsia="仿宋_GB2312" w:cs="Times New Roman"/>
                <w:color w:val="000000"/>
              </w:rPr>
            </w:pPr>
            <w:r>
              <w:rPr>
                <w:rFonts w:hint="default" w:ascii="Times New Roman" w:hAnsi="Times New Roman" w:eastAsia="仿宋_GB2312" w:cs="Times New Roman"/>
                <w:color w:val="000000"/>
              </w:rP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16510</wp:posOffset>
                      </wp:positionV>
                      <wp:extent cx="668020" cy="476250"/>
                      <wp:effectExtent l="2540" t="3810" r="15240" b="7620"/>
                      <wp:wrapNone/>
                      <wp:docPr id="1" name="直线 3"/>
                      <wp:cNvGraphicFramePr/>
                      <a:graphic xmlns:a="http://schemas.openxmlformats.org/drawingml/2006/main">
                        <a:graphicData uri="http://schemas.microsoft.com/office/word/2010/wordprocessingShape">
                          <wps:wsp>
                            <wps:cNvCnPr/>
                            <wps:spPr>
                              <a:xfrm>
                                <a:off x="0" y="0"/>
                                <a:ext cx="668020" cy="476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1.55pt;margin-top:1.3pt;height:37.5pt;width:52.6pt;z-index:251659264;mso-width-relative:page;mso-height-relative:page;" filled="f" stroked="t" coordsize="21600,21600" o:gfxdata="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DB&#10;D9QAAAAGAQAADwAAAAAAAAABACAAAAAiAAAAZHJzL2Rvd25yZXYueG1sUEsBAhQAFAAAAAgAh07i&#10;QCf3lzftAQAA3wMAAA4AAAAAAAAAAQAgAAAAIwEAAGRycy9lMm9Eb2MueG1sUEsFBgAAAAAGAAYA&#10;WQEAAIIFA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000000"/>
              </w:rPr>
              <w:t>内容</w:t>
            </w:r>
          </w:p>
          <w:p w14:paraId="197B1D4A">
            <w:pPr>
              <w:pStyle w:val="30"/>
              <w:jc w:val="both"/>
              <w:rPr>
                <w:rFonts w:hint="default" w:ascii="Times New Roman" w:hAnsi="Times New Roman" w:eastAsia="仿宋_GB2312" w:cs="Times New Roman"/>
                <w:color w:val="000000"/>
              </w:rPr>
            </w:pPr>
          </w:p>
          <w:p w14:paraId="2B92D9FB">
            <w:pPr>
              <w:pStyle w:val="30"/>
              <w:jc w:val="both"/>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要素</w:t>
            </w:r>
          </w:p>
        </w:tc>
        <w:tc>
          <w:tcPr>
            <w:tcW w:w="4230" w:type="dxa"/>
            <w:gridSpan w:val="2"/>
            <w:noWrap w:val="0"/>
            <w:vAlign w:val="center"/>
          </w:tcPr>
          <w:p w14:paraId="4D38CB49">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施工期</w:t>
            </w:r>
          </w:p>
        </w:tc>
        <w:tc>
          <w:tcPr>
            <w:tcW w:w="3220" w:type="dxa"/>
            <w:gridSpan w:val="2"/>
            <w:noWrap w:val="0"/>
            <w:vAlign w:val="center"/>
          </w:tcPr>
          <w:p w14:paraId="48576A8A">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运营期</w:t>
            </w:r>
          </w:p>
        </w:tc>
      </w:tr>
      <w:tr w14:paraId="2A863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vMerge w:val="continue"/>
            <w:noWrap w:val="0"/>
            <w:vAlign w:val="center"/>
          </w:tcPr>
          <w:p w14:paraId="43B9182E">
            <w:pPr>
              <w:pStyle w:val="30"/>
              <w:rPr>
                <w:rFonts w:hint="default" w:ascii="Times New Roman" w:hAnsi="Times New Roman" w:eastAsia="仿宋_GB2312" w:cs="Times New Roman"/>
                <w:color w:val="000000"/>
              </w:rPr>
            </w:pPr>
          </w:p>
        </w:tc>
        <w:tc>
          <w:tcPr>
            <w:tcW w:w="3019" w:type="dxa"/>
            <w:noWrap w:val="0"/>
            <w:vAlign w:val="center"/>
          </w:tcPr>
          <w:p w14:paraId="12FFC71C">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环境保护措施</w:t>
            </w:r>
          </w:p>
        </w:tc>
        <w:tc>
          <w:tcPr>
            <w:tcW w:w="1211" w:type="dxa"/>
            <w:noWrap w:val="0"/>
            <w:vAlign w:val="center"/>
          </w:tcPr>
          <w:p w14:paraId="026CC1ED">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验收要求</w:t>
            </w:r>
          </w:p>
        </w:tc>
        <w:tc>
          <w:tcPr>
            <w:tcW w:w="1927" w:type="dxa"/>
            <w:noWrap w:val="0"/>
            <w:vAlign w:val="center"/>
          </w:tcPr>
          <w:p w14:paraId="02B40CCF">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环境保护措施</w:t>
            </w:r>
          </w:p>
        </w:tc>
        <w:tc>
          <w:tcPr>
            <w:tcW w:w="1293" w:type="dxa"/>
            <w:noWrap w:val="0"/>
            <w:vAlign w:val="center"/>
          </w:tcPr>
          <w:p w14:paraId="3A8CF50C">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验收要求</w:t>
            </w:r>
          </w:p>
        </w:tc>
      </w:tr>
      <w:tr w14:paraId="32C6F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50150EEC">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陆生生态</w:t>
            </w:r>
          </w:p>
        </w:tc>
        <w:tc>
          <w:tcPr>
            <w:tcW w:w="3019" w:type="dxa"/>
            <w:noWrap w:val="0"/>
            <w:vAlign w:val="center"/>
          </w:tcPr>
          <w:p w14:paraId="43206584">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施工期水土保持措施；施工结束绿化带恢复</w:t>
            </w:r>
          </w:p>
        </w:tc>
        <w:tc>
          <w:tcPr>
            <w:tcW w:w="1211" w:type="dxa"/>
            <w:noWrap w:val="0"/>
            <w:vAlign w:val="center"/>
          </w:tcPr>
          <w:p w14:paraId="11F230DC">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减少施工期水土流失；绿化带恢复标准不得低于施工前绿化标准</w:t>
            </w:r>
          </w:p>
        </w:tc>
        <w:tc>
          <w:tcPr>
            <w:tcW w:w="1927" w:type="dxa"/>
            <w:noWrap w:val="0"/>
            <w:vAlign w:val="center"/>
          </w:tcPr>
          <w:p w14:paraId="164FD2EB">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93" w:type="dxa"/>
            <w:noWrap w:val="0"/>
            <w:vAlign w:val="center"/>
          </w:tcPr>
          <w:p w14:paraId="3DFB11C1">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r>
      <w:tr w14:paraId="4F9FB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3C0F3A9E">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水生生态</w:t>
            </w:r>
          </w:p>
        </w:tc>
        <w:tc>
          <w:tcPr>
            <w:tcW w:w="3019" w:type="dxa"/>
            <w:noWrap w:val="0"/>
            <w:vAlign w:val="center"/>
          </w:tcPr>
          <w:p w14:paraId="582805E9">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11" w:type="dxa"/>
            <w:noWrap w:val="0"/>
            <w:vAlign w:val="center"/>
          </w:tcPr>
          <w:p w14:paraId="13750DBC">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927" w:type="dxa"/>
            <w:noWrap w:val="0"/>
            <w:vAlign w:val="center"/>
          </w:tcPr>
          <w:p w14:paraId="2E4C86A6">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93" w:type="dxa"/>
            <w:noWrap w:val="0"/>
            <w:vAlign w:val="center"/>
          </w:tcPr>
          <w:p w14:paraId="19CA4A9E">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r>
      <w:tr w14:paraId="1226F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2926E461">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地表水环境</w:t>
            </w:r>
          </w:p>
        </w:tc>
        <w:tc>
          <w:tcPr>
            <w:tcW w:w="3019" w:type="dxa"/>
            <w:noWrap w:val="0"/>
            <w:vAlign w:val="center"/>
          </w:tcPr>
          <w:p w14:paraId="18A8A546">
            <w:pPr>
              <w:pStyle w:val="30"/>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仿宋_GB2312" w:cs="Times New Roman"/>
                <w:color w:val="000000"/>
                <w:lang w:eastAsia="zh-CN"/>
              </w:rPr>
            </w:pPr>
            <w:r>
              <w:rPr>
                <w:rFonts w:hint="default" w:ascii="Times New Roman" w:hAnsi="Times New Roman" w:eastAsia="仿宋_GB2312" w:cs="Times New Roman"/>
                <w:color w:val="000000"/>
              </w:rPr>
              <w:t>施工生活污水依托</w:t>
            </w:r>
            <w:r>
              <w:rPr>
                <w:rFonts w:hint="eastAsia" w:eastAsia="仿宋_GB2312" w:cs="Times New Roman"/>
                <w:color w:val="000000"/>
                <w:lang w:val="en-US" w:eastAsia="zh-CN"/>
              </w:rPr>
              <w:t>润土公司</w:t>
            </w:r>
            <w:r>
              <w:rPr>
                <w:rFonts w:hint="default" w:ascii="Times New Roman" w:hAnsi="Times New Roman" w:eastAsia="仿宋_GB2312" w:cs="Times New Roman"/>
                <w:color w:val="000000"/>
              </w:rPr>
              <w:t>厂区内化粪池，产生的生活污水经预处理设施处理后接入</w:t>
            </w:r>
            <w:r>
              <w:rPr>
                <w:rFonts w:hint="default" w:ascii="Times New Roman" w:hAnsi="Times New Roman" w:eastAsia="仿宋_GB2312" w:cs="Times New Roman"/>
                <w:color w:val="auto"/>
              </w:rPr>
              <w:t>园区污水管网</w:t>
            </w:r>
            <w:r>
              <w:rPr>
                <w:rFonts w:hint="eastAsia" w:eastAsia="仿宋_GB2312" w:cs="Times New Roman"/>
                <w:color w:val="auto"/>
                <w:lang w:eastAsia="zh-CN"/>
              </w:rPr>
              <w:t>；清管和试压用水排入</w:t>
            </w:r>
            <w:r>
              <w:rPr>
                <w:rFonts w:hint="eastAsia" w:eastAsia="仿宋_GB2312" w:cs="Times New Roman"/>
                <w:color w:val="auto"/>
                <w:lang w:val="en-US" w:eastAsia="zh-CN"/>
              </w:rPr>
              <w:t>润土公司厂区废水收集池</w:t>
            </w:r>
            <w:r>
              <w:rPr>
                <w:rFonts w:hint="eastAsia" w:eastAsia="仿宋_GB2312" w:cs="Times New Roman"/>
                <w:color w:val="auto"/>
                <w:lang w:eastAsia="zh-CN"/>
              </w:rPr>
              <w:t>，纳入园区污水管网。</w:t>
            </w:r>
          </w:p>
        </w:tc>
        <w:tc>
          <w:tcPr>
            <w:tcW w:w="1211" w:type="dxa"/>
            <w:noWrap w:val="0"/>
            <w:vAlign w:val="center"/>
          </w:tcPr>
          <w:p w14:paraId="7A200347">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施工废水不得随意排放</w:t>
            </w:r>
          </w:p>
        </w:tc>
        <w:tc>
          <w:tcPr>
            <w:tcW w:w="1927" w:type="dxa"/>
            <w:noWrap w:val="0"/>
            <w:vAlign w:val="center"/>
          </w:tcPr>
          <w:p w14:paraId="103B2208">
            <w:pPr>
              <w:pStyle w:val="30"/>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93" w:type="dxa"/>
            <w:noWrap w:val="0"/>
            <w:vAlign w:val="center"/>
          </w:tcPr>
          <w:p w14:paraId="74741BE4">
            <w:pPr>
              <w:pStyle w:val="30"/>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r>
      <w:tr w14:paraId="0872A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38978C14">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地下水及土壤环境</w:t>
            </w:r>
          </w:p>
        </w:tc>
        <w:tc>
          <w:tcPr>
            <w:tcW w:w="3019" w:type="dxa"/>
            <w:noWrap w:val="0"/>
            <w:vAlign w:val="center"/>
          </w:tcPr>
          <w:p w14:paraId="7F2696E3">
            <w:pPr>
              <w:pStyle w:val="30"/>
              <w:jc w:val="center"/>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11" w:type="dxa"/>
            <w:noWrap w:val="0"/>
            <w:vAlign w:val="center"/>
          </w:tcPr>
          <w:p w14:paraId="73887D9B">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927" w:type="dxa"/>
            <w:noWrap w:val="0"/>
            <w:vAlign w:val="center"/>
          </w:tcPr>
          <w:p w14:paraId="407035F3">
            <w:pPr>
              <w:pStyle w:val="30"/>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93" w:type="dxa"/>
            <w:noWrap w:val="0"/>
            <w:vAlign w:val="center"/>
          </w:tcPr>
          <w:p w14:paraId="61B1CF36">
            <w:pPr>
              <w:pStyle w:val="30"/>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r>
      <w:tr w14:paraId="4B9D9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0EB89D97">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声环境</w:t>
            </w:r>
          </w:p>
        </w:tc>
        <w:tc>
          <w:tcPr>
            <w:tcW w:w="3019" w:type="dxa"/>
            <w:noWrap w:val="0"/>
            <w:vAlign w:val="center"/>
          </w:tcPr>
          <w:p w14:paraId="358451BC">
            <w:pPr>
              <w:pStyle w:val="30"/>
              <w:jc w:val="center"/>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合理安排施工作业时间，禁止夜间施工；优先选用低噪音、低振动的各类施工机械设备，避免高噪声设备同时施工；试压放空采用专用放散管排放，并对放散管安装消声器</w:t>
            </w:r>
          </w:p>
        </w:tc>
        <w:tc>
          <w:tcPr>
            <w:tcW w:w="1211" w:type="dxa"/>
            <w:noWrap w:val="0"/>
            <w:vAlign w:val="center"/>
          </w:tcPr>
          <w:p w14:paraId="73D59948">
            <w:pPr>
              <w:pStyle w:val="3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施工期噪声满足《建筑施工噪声排放标准》（GB12523-20</w:t>
            </w:r>
            <w:r>
              <w:rPr>
                <w:rFonts w:hint="eastAsia" w:eastAsia="仿宋_GB2312" w:cs="Times New Roman"/>
                <w:color w:val="auto"/>
                <w:lang w:val="en-US" w:eastAsia="zh-CN"/>
              </w:rPr>
              <w:t>25</w:t>
            </w:r>
            <w:r>
              <w:rPr>
                <w:rFonts w:hint="default" w:ascii="Times New Roman" w:hAnsi="Times New Roman" w:eastAsia="仿宋_GB2312" w:cs="Times New Roman"/>
                <w:color w:val="auto"/>
              </w:rPr>
              <w:t>）表1中标准限值</w:t>
            </w:r>
          </w:p>
        </w:tc>
        <w:tc>
          <w:tcPr>
            <w:tcW w:w="1927" w:type="dxa"/>
            <w:noWrap w:val="0"/>
            <w:vAlign w:val="center"/>
          </w:tcPr>
          <w:p w14:paraId="4DAC9307">
            <w:pPr>
              <w:pStyle w:val="30"/>
              <w:rPr>
                <w:rFonts w:hint="eastAsia" w:ascii="Times New Roman" w:hAnsi="Times New Roman" w:eastAsia="仿宋_GB2312" w:cs="Times New Roman"/>
                <w:color w:val="auto"/>
                <w:lang w:val="en-US" w:eastAsia="zh-CN"/>
              </w:rPr>
            </w:pPr>
            <w:r>
              <w:rPr>
                <w:rFonts w:hint="eastAsia" w:eastAsia="仿宋_GB2312" w:cs="Times New Roman"/>
                <w:color w:val="auto"/>
                <w:lang w:val="en-US" w:eastAsia="zh-CN"/>
              </w:rPr>
              <w:t>运营期正常工况无噪声排放，管道检维修时会产生放空噪声，拟采取综合降噪措施，包括在放空管道上安装消声器、采用隔音材料包裹管道以及使用隔音支架等；加强绿化，建立绿化隔离带，起吸声降噪作用</w:t>
            </w:r>
          </w:p>
        </w:tc>
        <w:tc>
          <w:tcPr>
            <w:tcW w:w="1293" w:type="dxa"/>
            <w:noWrap w:val="0"/>
            <w:vAlign w:val="center"/>
          </w:tcPr>
          <w:p w14:paraId="264B7255">
            <w:pPr>
              <w:pStyle w:val="30"/>
              <w:rPr>
                <w:rFonts w:hint="default" w:ascii="Times New Roman" w:hAnsi="Times New Roman" w:eastAsia="仿宋_GB2312" w:cs="Times New Roman"/>
                <w:color w:val="000000"/>
              </w:rPr>
            </w:pPr>
            <w:r>
              <w:rPr>
                <w:rFonts w:hint="eastAsia" w:eastAsia="仿宋_GB2312" w:cs="Times New Roman"/>
                <w:color w:val="000000"/>
                <w:lang w:eastAsia="zh-CN"/>
              </w:rPr>
              <w:t>运营</w:t>
            </w:r>
            <w:r>
              <w:rPr>
                <w:rFonts w:hint="default" w:ascii="Times New Roman" w:hAnsi="Times New Roman" w:eastAsia="仿宋_GB2312" w:cs="Times New Roman"/>
                <w:color w:val="000000"/>
              </w:rPr>
              <w:t>期噪声满足《工业企业厂界环境噪声排放标准》（GB12348-2008）中 3 类标准</w:t>
            </w:r>
          </w:p>
        </w:tc>
      </w:tr>
      <w:tr w14:paraId="22119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03D339B0">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振动</w:t>
            </w:r>
          </w:p>
        </w:tc>
        <w:tc>
          <w:tcPr>
            <w:tcW w:w="3019" w:type="dxa"/>
            <w:noWrap w:val="0"/>
            <w:vAlign w:val="center"/>
          </w:tcPr>
          <w:p w14:paraId="0C04E82B">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11" w:type="dxa"/>
            <w:noWrap w:val="0"/>
            <w:vAlign w:val="center"/>
          </w:tcPr>
          <w:p w14:paraId="4BB7B82A">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927" w:type="dxa"/>
            <w:noWrap w:val="0"/>
            <w:vAlign w:val="center"/>
          </w:tcPr>
          <w:p w14:paraId="62811447">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93" w:type="dxa"/>
            <w:noWrap w:val="0"/>
            <w:vAlign w:val="center"/>
          </w:tcPr>
          <w:p w14:paraId="18CF0F74">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r>
      <w:tr w14:paraId="6A9F9C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216BFC9E">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大气环境</w:t>
            </w:r>
          </w:p>
        </w:tc>
        <w:tc>
          <w:tcPr>
            <w:tcW w:w="3019" w:type="dxa"/>
            <w:noWrap w:val="0"/>
            <w:vAlign w:val="center"/>
          </w:tcPr>
          <w:p w14:paraId="556A4DAF">
            <w:pPr>
              <w:pStyle w:val="30"/>
              <w:jc w:val="both"/>
              <w:rPr>
                <w:rFonts w:hint="default" w:ascii="Times New Roman" w:hAnsi="Times New Roman" w:eastAsia="仿宋_GB2312" w:cs="Times New Roman"/>
                <w:color w:val="000000"/>
              </w:rPr>
            </w:pPr>
            <w:r>
              <w:rPr>
                <w:rFonts w:hint="eastAsia" w:ascii="Times New Roman" w:hAnsi="Times New Roman" w:eastAsia="仿宋_GB2312" w:cs="Times New Roman"/>
                <w:color w:val="000000"/>
                <w:lang w:val="en-US" w:eastAsia="zh-CN"/>
              </w:rPr>
              <w:t>施工场地设围栏，裸露场地遮盖</w:t>
            </w:r>
            <w:r>
              <w:rPr>
                <w:rFonts w:hint="eastAsia" w:eastAsia="仿宋_GB2312" w:cs="Times New Roman"/>
                <w:color w:val="000000"/>
                <w:lang w:val="en-US" w:eastAsia="zh-CN"/>
              </w:rPr>
              <w:t>，施工现场定期洒水</w:t>
            </w:r>
            <w:r>
              <w:rPr>
                <w:rFonts w:hint="eastAsia" w:ascii="Times New Roman" w:hAnsi="Times New Roman" w:eastAsia="仿宋_GB2312" w:cs="Times New Roman"/>
                <w:color w:val="000000"/>
                <w:lang w:val="en-US" w:eastAsia="zh-CN"/>
              </w:rPr>
              <w:t>；管道补漆使用的漆料均在原料厂家调配好，不在施工现场调配，减少有机废气挥发量</w:t>
            </w:r>
          </w:p>
        </w:tc>
        <w:tc>
          <w:tcPr>
            <w:tcW w:w="1211" w:type="dxa"/>
            <w:noWrap w:val="0"/>
            <w:vAlign w:val="center"/>
          </w:tcPr>
          <w:p w14:paraId="71382900">
            <w:pPr>
              <w:pStyle w:val="30"/>
              <w:jc w:val="left"/>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避免施工扬尘和涂漆废气挥发对</w:t>
            </w:r>
            <w:r>
              <w:rPr>
                <w:rFonts w:hint="eastAsia" w:eastAsia="仿宋_GB2312" w:cs="Times New Roman"/>
                <w:color w:val="000000"/>
                <w:lang w:val="en-US" w:eastAsia="zh-CN"/>
              </w:rPr>
              <w:t>环</w:t>
            </w:r>
            <w:r>
              <w:rPr>
                <w:rFonts w:hint="default" w:ascii="Times New Roman" w:hAnsi="Times New Roman" w:eastAsia="仿宋_GB2312" w:cs="Times New Roman"/>
                <w:color w:val="000000"/>
              </w:rPr>
              <w:t>境空气的污染</w:t>
            </w:r>
          </w:p>
        </w:tc>
        <w:tc>
          <w:tcPr>
            <w:tcW w:w="1927" w:type="dxa"/>
            <w:noWrap w:val="0"/>
            <w:vAlign w:val="center"/>
          </w:tcPr>
          <w:p w14:paraId="5A3AFE9A">
            <w:pPr>
              <w:pStyle w:val="30"/>
              <w:jc w:val="center"/>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93" w:type="dxa"/>
            <w:noWrap w:val="0"/>
            <w:vAlign w:val="center"/>
          </w:tcPr>
          <w:p w14:paraId="07AB92F9">
            <w:pPr>
              <w:pStyle w:val="30"/>
              <w:jc w:val="center"/>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r>
      <w:tr w14:paraId="5D433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18A4B2CB">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固体废物</w:t>
            </w:r>
          </w:p>
        </w:tc>
        <w:tc>
          <w:tcPr>
            <w:tcW w:w="3019" w:type="dxa"/>
            <w:noWrap w:val="0"/>
            <w:vAlign w:val="center"/>
          </w:tcPr>
          <w:p w14:paraId="14016DAF">
            <w:pPr>
              <w:pStyle w:val="30"/>
              <w:jc w:val="both"/>
              <w:rPr>
                <w:rFonts w:hint="default" w:ascii="Times New Roman" w:hAnsi="Times New Roman" w:eastAsia="仿宋_GB2312" w:cs="Times New Roman"/>
                <w:color w:val="000000"/>
              </w:rPr>
            </w:pPr>
            <w:r>
              <w:rPr>
                <w:rFonts w:hint="default" w:ascii="Times New Roman" w:hAnsi="Times New Roman" w:eastAsia="仿宋_GB2312" w:cs="Times New Roman"/>
                <w:color w:val="000000"/>
                <w:lang w:val="en-US" w:eastAsia="zh-CN"/>
              </w:rPr>
              <w:t>废焊材外售综合利用；废油漆桶/刷</w:t>
            </w:r>
            <w:r>
              <w:rPr>
                <w:rFonts w:hint="eastAsia" w:eastAsia="仿宋_GB2312" w:cs="Times New Roman"/>
                <w:color w:val="000000"/>
                <w:lang w:val="en-US" w:eastAsia="zh-CN"/>
              </w:rPr>
              <w:t>依托润土公司危废库暂存，并</w:t>
            </w:r>
            <w:r>
              <w:rPr>
                <w:rFonts w:hint="default" w:ascii="Times New Roman" w:hAnsi="Times New Roman" w:eastAsia="仿宋_GB2312" w:cs="Times New Roman"/>
                <w:color w:val="000000"/>
                <w:lang w:val="en-US" w:eastAsia="zh-CN"/>
              </w:rPr>
              <w:t>委托有资质单位处置</w:t>
            </w:r>
            <w:r>
              <w:rPr>
                <w:rFonts w:hint="eastAsia" w:eastAsia="仿宋_GB2312" w:cs="Times New Roman"/>
                <w:color w:val="000000"/>
                <w:lang w:val="en-US" w:eastAsia="zh-CN"/>
              </w:rPr>
              <w:t>；生活垃圾交由环卫部门统一进行处理</w:t>
            </w:r>
          </w:p>
        </w:tc>
        <w:tc>
          <w:tcPr>
            <w:tcW w:w="1211" w:type="dxa"/>
            <w:noWrap w:val="0"/>
            <w:vAlign w:val="center"/>
          </w:tcPr>
          <w:p w14:paraId="4EEFA855">
            <w:pPr>
              <w:pStyle w:val="30"/>
              <w:jc w:val="left"/>
              <w:rPr>
                <w:rFonts w:hint="default" w:ascii="Times New Roman" w:hAnsi="Times New Roman" w:eastAsia="仿宋_GB2312" w:cs="Times New Roman"/>
                <w:color w:val="000000"/>
              </w:rPr>
            </w:pPr>
            <w:r>
              <w:rPr>
                <w:rFonts w:hint="eastAsia" w:eastAsia="仿宋_GB2312" w:cs="Times New Roman"/>
                <w:color w:val="000000"/>
                <w:lang w:eastAsia="zh-CN"/>
              </w:rPr>
              <w:t>固废处理率100%，不会造成二次污染</w:t>
            </w:r>
          </w:p>
        </w:tc>
        <w:tc>
          <w:tcPr>
            <w:tcW w:w="1927" w:type="dxa"/>
            <w:noWrap w:val="0"/>
            <w:vAlign w:val="center"/>
          </w:tcPr>
          <w:p w14:paraId="342DF196">
            <w:pPr>
              <w:pStyle w:val="30"/>
              <w:rPr>
                <w:rFonts w:hint="eastAsia" w:ascii="Times New Roman" w:hAnsi="Times New Roman" w:eastAsia="仿宋_GB2312" w:cs="Times New Roman"/>
                <w:color w:val="000000" w:themeColor="text1"/>
                <w:lang w:val="en-US" w:eastAsia="zh-CN"/>
                <w14:textFill>
                  <w14:solidFill>
                    <w14:schemeClr w14:val="tx1"/>
                  </w14:solidFill>
                </w14:textFill>
              </w:rPr>
            </w:pPr>
            <w:r>
              <w:rPr>
                <w:rFonts w:hint="eastAsia" w:eastAsia="仿宋_GB2312" w:cs="Times New Roman"/>
                <w:color w:val="000000" w:themeColor="text1"/>
                <w:lang w:val="en-US" w:eastAsia="zh-CN"/>
                <w14:textFill>
                  <w14:solidFill>
                    <w14:schemeClr w14:val="tx1"/>
                  </w14:solidFill>
                </w14:textFill>
              </w:rPr>
              <w:t>/</w:t>
            </w:r>
          </w:p>
        </w:tc>
        <w:tc>
          <w:tcPr>
            <w:tcW w:w="1293" w:type="dxa"/>
            <w:noWrap w:val="0"/>
            <w:vAlign w:val="center"/>
          </w:tcPr>
          <w:p w14:paraId="6BD0BA43">
            <w:pPr>
              <w:pStyle w:val="30"/>
              <w:rPr>
                <w:rFonts w:hint="eastAsia" w:ascii="Times New Roman" w:hAnsi="Times New Roman" w:eastAsia="仿宋_GB2312" w:cs="Times New Roman"/>
                <w:color w:val="000000" w:themeColor="text1"/>
                <w:lang w:eastAsia="zh-CN"/>
                <w14:textFill>
                  <w14:solidFill>
                    <w14:schemeClr w14:val="tx1"/>
                  </w14:solidFill>
                </w14:textFill>
              </w:rPr>
            </w:pPr>
            <w:r>
              <w:rPr>
                <w:rFonts w:hint="eastAsia" w:eastAsia="仿宋_GB2312" w:cs="Times New Roman"/>
                <w:color w:val="000000" w:themeColor="text1"/>
                <w:lang w:val="en-US" w:eastAsia="zh-CN"/>
                <w14:textFill>
                  <w14:solidFill>
                    <w14:schemeClr w14:val="tx1"/>
                  </w14:solidFill>
                </w14:textFill>
              </w:rPr>
              <w:t>/</w:t>
            </w:r>
          </w:p>
        </w:tc>
      </w:tr>
      <w:tr w14:paraId="55CEA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5708844A">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电磁环境</w:t>
            </w:r>
          </w:p>
        </w:tc>
        <w:tc>
          <w:tcPr>
            <w:tcW w:w="3019" w:type="dxa"/>
            <w:noWrap w:val="0"/>
            <w:vAlign w:val="center"/>
          </w:tcPr>
          <w:p w14:paraId="36CA6267">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11" w:type="dxa"/>
            <w:noWrap w:val="0"/>
            <w:vAlign w:val="center"/>
          </w:tcPr>
          <w:p w14:paraId="338E66EC">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927" w:type="dxa"/>
            <w:noWrap w:val="0"/>
            <w:vAlign w:val="center"/>
          </w:tcPr>
          <w:p w14:paraId="6F1089B3">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93" w:type="dxa"/>
            <w:noWrap w:val="0"/>
            <w:vAlign w:val="center"/>
          </w:tcPr>
          <w:p w14:paraId="48161A89">
            <w:pPr>
              <w:pStyle w:val="30"/>
              <w:jc w:val="center"/>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r>
      <w:tr w14:paraId="1D379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7B1648E0">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环境风险</w:t>
            </w:r>
          </w:p>
        </w:tc>
        <w:tc>
          <w:tcPr>
            <w:tcW w:w="3019" w:type="dxa"/>
            <w:noWrap w:val="0"/>
            <w:vAlign w:val="center"/>
          </w:tcPr>
          <w:p w14:paraId="576A04AC">
            <w:pPr>
              <w:pStyle w:val="30"/>
              <w:numPr>
                <w:ilvl w:val="0"/>
                <w:numId w:val="0"/>
              </w:numPr>
              <w:jc w:val="left"/>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1、</w:t>
            </w:r>
            <w:r>
              <w:rPr>
                <w:rFonts w:hint="default" w:ascii="Times New Roman" w:hAnsi="Times New Roman" w:eastAsia="仿宋_GB2312" w:cs="Times New Roman"/>
                <w:color w:val="000000"/>
                <w:lang w:val="en-US" w:eastAsia="zh-CN"/>
              </w:rPr>
              <w:t>建立施工质量保证体系，提高施工检验人员的水平，加强检验手段；</w:t>
            </w:r>
          </w:p>
          <w:p w14:paraId="64471FC4">
            <w:pPr>
              <w:pStyle w:val="30"/>
              <w:jc w:val="left"/>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2、</w:t>
            </w:r>
            <w:r>
              <w:rPr>
                <w:rFonts w:hint="default" w:ascii="Times New Roman" w:hAnsi="Times New Roman" w:eastAsia="仿宋_GB2312" w:cs="Times New Roman"/>
                <w:color w:val="000000"/>
                <w:lang w:val="en-US" w:eastAsia="zh-CN"/>
              </w:rPr>
              <w:t>制定严格的规章制度，发现缺陷及时正确修补并做好记录；</w:t>
            </w:r>
          </w:p>
          <w:p w14:paraId="1202D7CD">
            <w:pPr>
              <w:pStyle w:val="30"/>
              <w:jc w:val="left"/>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3、</w:t>
            </w:r>
            <w:r>
              <w:rPr>
                <w:rFonts w:hint="default" w:ascii="Times New Roman" w:hAnsi="Times New Roman" w:eastAsia="仿宋_GB2312" w:cs="Times New Roman"/>
                <w:color w:val="000000"/>
                <w:lang w:val="en-US" w:eastAsia="zh-CN"/>
              </w:rPr>
              <w:t>进行气压试验，排除存在于焊缝和母材的缺陷，增加管道的安全性；</w:t>
            </w:r>
          </w:p>
          <w:p w14:paraId="14CDFD3E">
            <w:pPr>
              <w:pStyle w:val="30"/>
              <w:jc w:val="left"/>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4、</w:t>
            </w:r>
            <w:r>
              <w:rPr>
                <w:rFonts w:hint="default" w:ascii="Times New Roman" w:hAnsi="Times New Roman" w:eastAsia="仿宋_GB2312" w:cs="Times New Roman"/>
                <w:color w:val="000000"/>
                <w:lang w:val="en-US" w:eastAsia="zh-CN"/>
              </w:rPr>
              <w:t>选择有丰富经验的单位进行施工，并进行强有力的施工监理；确保施工质量；</w:t>
            </w:r>
          </w:p>
          <w:p w14:paraId="39CA3F84">
            <w:pPr>
              <w:pStyle w:val="30"/>
              <w:jc w:val="left"/>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5、</w:t>
            </w:r>
            <w:r>
              <w:rPr>
                <w:rFonts w:hint="default" w:ascii="Times New Roman" w:hAnsi="Times New Roman" w:eastAsia="仿宋_GB2312" w:cs="Times New Roman"/>
                <w:color w:val="000000"/>
                <w:lang w:val="en-US" w:eastAsia="zh-CN"/>
              </w:rPr>
              <w:t>焊接时选择空旷地带，由专业的施工团队设计专业的焊接流程，焊接区域远离易燃易爆管线；</w:t>
            </w:r>
          </w:p>
          <w:p w14:paraId="5167814E">
            <w:pPr>
              <w:pStyle w:val="30"/>
              <w:jc w:val="left"/>
              <w:rPr>
                <w:rFonts w:hint="default" w:ascii="Times New Roman" w:hAnsi="Times New Roman" w:eastAsia="仿宋_GB2312" w:cs="Times New Roman"/>
                <w:color w:val="000000"/>
              </w:rPr>
            </w:pPr>
            <w:r>
              <w:rPr>
                <w:rFonts w:hint="eastAsia" w:eastAsia="仿宋_GB2312" w:cs="Times New Roman"/>
                <w:color w:val="000000"/>
                <w:lang w:val="en-US" w:eastAsia="zh-CN"/>
              </w:rPr>
              <w:t>6、</w:t>
            </w:r>
            <w:r>
              <w:rPr>
                <w:rFonts w:hint="default" w:ascii="Times New Roman" w:hAnsi="Times New Roman" w:eastAsia="仿宋_GB2312" w:cs="Times New Roman"/>
                <w:color w:val="000000"/>
                <w:lang w:val="en-US" w:eastAsia="zh-CN"/>
              </w:rPr>
              <w:t>施工期做好防护工作，严防碰到其他管道，引发事故。</w:t>
            </w:r>
          </w:p>
        </w:tc>
        <w:tc>
          <w:tcPr>
            <w:tcW w:w="1211" w:type="dxa"/>
            <w:noWrap w:val="0"/>
            <w:vAlign w:val="center"/>
          </w:tcPr>
          <w:p w14:paraId="2253D5ED">
            <w:pPr>
              <w:pStyle w:val="30"/>
              <w:jc w:val="both"/>
              <w:rPr>
                <w:rFonts w:hint="eastAsia" w:ascii="Times New Roman" w:hAnsi="Times New Roman" w:eastAsia="仿宋_GB2312" w:cs="Times New Roman"/>
                <w:color w:val="000000"/>
                <w:lang w:eastAsia="zh-CN"/>
              </w:rPr>
            </w:pPr>
            <w:r>
              <w:rPr>
                <w:rFonts w:hint="eastAsia" w:eastAsia="仿宋_GB2312" w:cs="Times New Roman"/>
                <w:color w:val="000000"/>
                <w:lang w:val="en-US" w:eastAsia="zh-CN"/>
              </w:rPr>
              <w:t>降低环境风险</w:t>
            </w:r>
          </w:p>
        </w:tc>
        <w:tc>
          <w:tcPr>
            <w:tcW w:w="1927" w:type="dxa"/>
            <w:noWrap w:val="0"/>
            <w:vAlign w:val="center"/>
          </w:tcPr>
          <w:p w14:paraId="16DAFA2C">
            <w:pPr>
              <w:pStyle w:val="30"/>
              <w:numPr>
                <w:ilvl w:val="0"/>
                <w:numId w:val="0"/>
              </w:numPr>
              <w:jc w:val="left"/>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1、</w:t>
            </w:r>
            <w:r>
              <w:rPr>
                <w:rFonts w:hint="default" w:ascii="Times New Roman" w:hAnsi="Times New Roman" w:eastAsia="仿宋_GB2312" w:cs="Times New Roman"/>
                <w:color w:val="000000"/>
                <w:lang w:val="en-US" w:eastAsia="zh-CN"/>
              </w:rPr>
              <w:t>在</w:t>
            </w:r>
            <w:r>
              <w:rPr>
                <w:rFonts w:hint="eastAsia" w:eastAsia="仿宋_GB2312" w:cs="Times New Roman"/>
                <w:color w:val="000000"/>
                <w:lang w:val="en-US" w:eastAsia="zh-CN"/>
              </w:rPr>
              <w:t>润土公司</w:t>
            </w:r>
            <w:r>
              <w:rPr>
                <w:rFonts w:hint="default" w:ascii="Times New Roman" w:hAnsi="Times New Roman" w:eastAsia="仿宋_GB2312" w:cs="Times New Roman"/>
                <w:color w:val="000000"/>
                <w:lang w:val="en-US" w:eastAsia="zh-CN"/>
              </w:rPr>
              <w:t>接收方端口设置压力、流量对照联锁系统及紧急切断阀，阀门采用球阀，不产生跑冒滴漏。</w:t>
            </w:r>
          </w:p>
          <w:p w14:paraId="69FBA009">
            <w:pPr>
              <w:pStyle w:val="30"/>
              <w:jc w:val="left"/>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2、</w:t>
            </w:r>
            <w:r>
              <w:rPr>
                <w:rFonts w:hint="default" w:ascii="Times New Roman" w:hAnsi="Times New Roman" w:eastAsia="仿宋_GB2312" w:cs="Times New Roman"/>
                <w:color w:val="000000"/>
                <w:lang w:val="en-US" w:eastAsia="zh-CN"/>
              </w:rPr>
              <w:t>定期巡检，泄漏事故发生时，立即关</w:t>
            </w:r>
          </w:p>
          <w:p w14:paraId="57720341">
            <w:pPr>
              <w:pStyle w:val="30"/>
              <w:jc w:val="left"/>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闭切断阀，及时修补管道。</w:t>
            </w:r>
          </w:p>
          <w:p w14:paraId="2243FB35">
            <w:pPr>
              <w:pStyle w:val="30"/>
              <w:jc w:val="both"/>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3、</w:t>
            </w:r>
            <w:r>
              <w:rPr>
                <w:rFonts w:hint="default" w:ascii="Times New Roman" w:hAnsi="Times New Roman" w:eastAsia="仿宋_GB2312" w:cs="Times New Roman"/>
                <w:color w:val="000000"/>
                <w:lang w:val="en-US" w:eastAsia="zh-CN"/>
              </w:rPr>
              <w:t>设置截断阀并配有电控，发生泄漏时，</w:t>
            </w:r>
          </w:p>
          <w:p w14:paraId="49AC57E4">
            <w:pPr>
              <w:pStyle w:val="30"/>
              <w:jc w:val="both"/>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color w:val="000000"/>
                <w:lang w:val="en-US" w:eastAsia="zh-CN"/>
              </w:rPr>
              <w:t>紧急切断阀门。</w:t>
            </w:r>
          </w:p>
          <w:p w14:paraId="3416AEF8">
            <w:pPr>
              <w:pStyle w:val="30"/>
              <w:jc w:val="both"/>
              <w:rPr>
                <w:rFonts w:hint="default" w:ascii="Times New Roman" w:hAnsi="Times New Roman" w:eastAsia="仿宋_GB2312" w:cs="Times New Roman"/>
                <w:color w:val="000000"/>
              </w:rPr>
            </w:pPr>
            <w:r>
              <w:rPr>
                <w:rFonts w:hint="eastAsia" w:eastAsia="仿宋_GB2312" w:cs="Times New Roman"/>
                <w:color w:val="000000"/>
                <w:lang w:val="en-US" w:eastAsia="zh-CN"/>
              </w:rPr>
              <w:t>4、</w:t>
            </w:r>
            <w:r>
              <w:rPr>
                <w:rFonts w:hint="default" w:ascii="Times New Roman" w:hAnsi="Times New Roman" w:eastAsia="仿宋_GB2312" w:cs="Times New Roman"/>
                <w:color w:val="000000"/>
                <w:lang w:val="en-US" w:eastAsia="zh-CN"/>
              </w:rPr>
              <w:t>将本次</w:t>
            </w:r>
            <w:r>
              <w:rPr>
                <w:rFonts w:hint="eastAsia" w:eastAsia="仿宋_GB2312" w:cs="Times New Roman"/>
                <w:color w:val="000000"/>
                <w:lang w:val="en-US" w:eastAsia="zh-CN"/>
              </w:rPr>
              <w:t>氢气</w:t>
            </w:r>
            <w:r>
              <w:rPr>
                <w:rFonts w:hint="default" w:ascii="Times New Roman" w:hAnsi="Times New Roman" w:eastAsia="仿宋_GB2312" w:cs="Times New Roman"/>
                <w:color w:val="000000"/>
                <w:lang w:val="en-US" w:eastAsia="zh-CN"/>
              </w:rPr>
              <w:t>输送管线工程纳入企业应急预案并定期演练。</w:t>
            </w:r>
          </w:p>
        </w:tc>
        <w:tc>
          <w:tcPr>
            <w:tcW w:w="1293" w:type="dxa"/>
            <w:noWrap w:val="0"/>
            <w:vAlign w:val="center"/>
          </w:tcPr>
          <w:p w14:paraId="797E3F25">
            <w:pPr>
              <w:pStyle w:val="30"/>
              <w:jc w:val="center"/>
              <w:rPr>
                <w:rFonts w:hint="default" w:ascii="Times New Roman" w:hAnsi="Times New Roman" w:eastAsia="仿宋_GB2312" w:cs="Times New Roman"/>
                <w:color w:val="000000"/>
                <w:lang w:val="en-US" w:eastAsia="zh-CN"/>
              </w:rPr>
            </w:pPr>
            <w:r>
              <w:rPr>
                <w:rFonts w:hint="eastAsia" w:eastAsia="仿宋_GB2312" w:cs="Times New Roman"/>
                <w:color w:val="000000"/>
                <w:lang w:val="en-US" w:eastAsia="zh-CN"/>
              </w:rPr>
              <w:t>降低环境风险</w:t>
            </w:r>
          </w:p>
        </w:tc>
      </w:tr>
      <w:tr w14:paraId="10B50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0F9F1752">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环境监测</w:t>
            </w:r>
          </w:p>
        </w:tc>
        <w:tc>
          <w:tcPr>
            <w:tcW w:w="3019" w:type="dxa"/>
            <w:shd w:val="clear" w:color="auto" w:fill="auto"/>
            <w:noWrap w:val="0"/>
            <w:vAlign w:val="center"/>
          </w:tcPr>
          <w:p w14:paraId="28EF5CAA">
            <w:pPr>
              <w:pStyle w:val="30"/>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color w:val="000000"/>
                <w:lang w:val="en-US" w:eastAsia="zh-CN"/>
              </w:rPr>
              <w:t>/</w:t>
            </w:r>
          </w:p>
        </w:tc>
        <w:tc>
          <w:tcPr>
            <w:tcW w:w="1211" w:type="dxa"/>
            <w:shd w:val="clear" w:color="auto" w:fill="auto"/>
            <w:noWrap w:val="0"/>
            <w:vAlign w:val="center"/>
          </w:tcPr>
          <w:p w14:paraId="787FA927">
            <w:pPr>
              <w:pStyle w:val="30"/>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color w:val="000000"/>
                <w:lang w:val="en-US" w:eastAsia="zh-CN"/>
              </w:rPr>
              <w:t>/</w:t>
            </w:r>
          </w:p>
        </w:tc>
        <w:tc>
          <w:tcPr>
            <w:tcW w:w="1927" w:type="dxa"/>
            <w:shd w:val="clear" w:color="auto" w:fill="auto"/>
            <w:noWrap w:val="0"/>
            <w:vAlign w:val="center"/>
          </w:tcPr>
          <w:p w14:paraId="5F9F348A">
            <w:pPr>
              <w:pStyle w:val="30"/>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color w:val="000000"/>
                <w:lang w:val="en-US" w:eastAsia="zh-CN"/>
              </w:rPr>
              <w:t>/</w:t>
            </w:r>
          </w:p>
        </w:tc>
        <w:tc>
          <w:tcPr>
            <w:tcW w:w="1293" w:type="dxa"/>
            <w:shd w:val="clear" w:color="auto" w:fill="auto"/>
            <w:noWrap w:val="0"/>
            <w:vAlign w:val="center"/>
          </w:tcPr>
          <w:p w14:paraId="600773E0">
            <w:pPr>
              <w:pStyle w:val="30"/>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color w:val="000000"/>
                <w:lang w:val="en-US" w:eastAsia="zh-CN"/>
              </w:rPr>
              <w:t>/</w:t>
            </w:r>
          </w:p>
        </w:tc>
      </w:tr>
      <w:tr w14:paraId="33140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3" w:type="dxa"/>
            <w:noWrap w:val="0"/>
            <w:vAlign w:val="center"/>
          </w:tcPr>
          <w:p w14:paraId="66D9942B">
            <w:pPr>
              <w:pStyle w:val="3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其他</w:t>
            </w:r>
          </w:p>
        </w:tc>
        <w:tc>
          <w:tcPr>
            <w:tcW w:w="3019" w:type="dxa"/>
            <w:noWrap w:val="0"/>
            <w:vAlign w:val="center"/>
          </w:tcPr>
          <w:p w14:paraId="778A0CBD">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11" w:type="dxa"/>
            <w:noWrap w:val="0"/>
            <w:vAlign w:val="center"/>
          </w:tcPr>
          <w:p w14:paraId="15557B89">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927" w:type="dxa"/>
            <w:noWrap w:val="0"/>
            <w:vAlign w:val="center"/>
          </w:tcPr>
          <w:p w14:paraId="4F061F0C">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c>
          <w:tcPr>
            <w:tcW w:w="1293" w:type="dxa"/>
            <w:noWrap w:val="0"/>
            <w:vAlign w:val="center"/>
          </w:tcPr>
          <w:p w14:paraId="2B1DBA4E">
            <w:pPr>
              <w:pStyle w:val="30"/>
              <w:rPr>
                <w:rFonts w:hint="eastAsia" w:ascii="Times New Roman" w:hAnsi="Times New Roman" w:eastAsia="仿宋_GB2312" w:cs="Times New Roman"/>
                <w:color w:val="000000"/>
                <w:lang w:val="en-US" w:eastAsia="zh-CN"/>
              </w:rPr>
            </w:pPr>
            <w:r>
              <w:rPr>
                <w:rFonts w:hint="eastAsia" w:eastAsia="仿宋_GB2312" w:cs="Times New Roman"/>
                <w:color w:val="000000"/>
                <w:lang w:val="en-US" w:eastAsia="zh-CN"/>
              </w:rPr>
              <w:t>/</w:t>
            </w:r>
          </w:p>
        </w:tc>
      </w:tr>
    </w:tbl>
    <w:p w14:paraId="70E0FE55">
      <w:pPr>
        <w:pStyle w:val="3"/>
        <w:spacing w:before="24" w:after="24"/>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br w:type="page"/>
      </w:r>
      <w:bookmarkStart w:id="15" w:name="_Toc7356"/>
      <w:r>
        <w:rPr>
          <w:rStyle w:val="18"/>
          <w:rFonts w:hint="default" w:ascii="Times New Roman" w:hAnsi="Times New Roman" w:eastAsia="仿宋_GB2312" w:cs="Times New Roman"/>
          <w:bCs w:val="0"/>
        </w:rPr>
        <w:t>七、结论</w:t>
      </w:r>
      <w:bookmarkEnd w:id="15"/>
    </w:p>
    <w:p w14:paraId="765A8C37">
      <w:pPr>
        <w:ind w:firstLine="480"/>
        <w:rPr>
          <w:rFonts w:hint="default" w:ascii="Times New Roman" w:hAnsi="Times New Roman" w:eastAsia="仿宋_GB2312" w:cs="Times New Roman"/>
          <w:color w:val="000000"/>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E41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06" w:hRule="atLeast"/>
        </w:trPr>
        <w:tc>
          <w:tcPr>
            <w:tcW w:w="5000" w:type="pct"/>
            <w:noWrap w:val="0"/>
            <w:vAlign w:val="top"/>
          </w:tcPr>
          <w:p w14:paraId="624F6DA9">
            <w:pPr>
              <w:adjustRightInd w:val="0"/>
              <w:snapToGrid w:val="0"/>
              <w:ind w:firstLine="480"/>
              <w:rPr>
                <w:rFonts w:hint="default" w:ascii="Times New Roman" w:hAnsi="Times New Roman" w:eastAsia="仿宋_GB2312" w:cs="Times New Roman"/>
                <w:color w:val="000000"/>
              </w:rPr>
            </w:pPr>
          </w:p>
          <w:p w14:paraId="5634106F">
            <w:pPr>
              <w:adjustRightInd w:val="0"/>
              <w:snapToGrid w:val="0"/>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综上所述，本项目符合国家和地方的相关产业政策，选址符合当地规划及规划环评要求。项目实施后，落实各项生态保护措施，对生态环境影响较小；通过采取相应的污染防治措施，噪声可以做到稳定达标排放，</w:t>
            </w:r>
            <w:r>
              <w:rPr>
                <w:rFonts w:hint="eastAsia" w:cs="Times New Roman"/>
                <w:color w:val="000000"/>
                <w:lang w:val="en-US" w:eastAsia="zh-CN"/>
              </w:rPr>
              <w:t>固体</w:t>
            </w:r>
            <w:r>
              <w:rPr>
                <w:rFonts w:hint="default" w:ascii="Times New Roman" w:hAnsi="Times New Roman" w:eastAsia="仿宋_GB2312" w:cs="Times New Roman"/>
                <w:color w:val="000000"/>
              </w:rPr>
              <w:t>废物可以得到合理处置，不会降低评价区域大气、地表水和声环境质量原有功能级别；在落实风险防范措施和突发环境事件应急预案的前提下，项目环境风险可以防控。</w:t>
            </w:r>
          </w:p>
          <w:p w14:paraId="202706BA">
            <w:pPr>
              <w:adjustRightInd w:val="0"/>
              <w:snapToGrid w:val="0"/>
              <w:ind w:firstLine="480"/>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因此，项目在建设和运行过程中，</w:t>
            </w:r>
            <w:r>
              <w:rPr>
                <w:rFonts w:hint="eastAsia" w:cs="Times New Roman"/>
                <w:color w:val="000000"/>
                <w:lang w:val="en-US" w:eastAsia="zh-CN"/>
              </w:rPr>
              <w:t>在</w:t>
            </w:r>
            <w:r>
              <w:rPr>
                <w:rFonts w:hint="default" w:ascii="Times New Roman" w:hAnsi="Times New Roman" w:eastAsia="仿宋_GB2312" w:cs="Times New Roman"/>
                <w:color w:val="000000"/>
              </w:rPr>
              <w:t>切实落实评价提出的各项生态保护措施及污染防治措施的前提下，从环境影响角度分析，本项目建设可行。</w:t>
            </w:r>
          </w:p>
          <w:p w14:paraId="4CBC59E3">
            <w:pPr>
              <w:adjustRightInd w:val="0"/>
              <w:snapToGrid w:val="0"/>
              <w:ind w:firstLine="480"/>
              <w:rPr>
                <w:rFonts w:hint="default" w:ascii="Times New Roman" w:hAnsi="Times New Roman" w:eastAsia="仿宋_GB2312" w:cs="Times New Roman"/>
              </w:rPr>
            </w:pPr>
          </w:p>
        </w:tc>
      </w:tr>
    </w:tbl>
    <w:p w14:paraId="2E3F5B68">
      <w:pPr>
        <w:ind w:firstLine="0" w:firstLineChars="0"/>
        <w:jc w:val="both"/>
        <w:rPr>
          <w:rFonts w:hint="default" w:ascii="Times New Roman" w:hAnsi="Times New Roman" w:eastAsia="仿宋_GB2312" w:cs="Times New Roman"/>
          <w:b/>
          <w:bCs/>
          <w:color w:val="000000"/>
          <w:sz w:val="48"/>
          <w:szCs w:val="48"/>
          <w:lang w:val="en-US" w:eastAsia="zh-CN"/>
        </w:rPr>
      </w:pPr>
    </w:p>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7049">
    <w:pPr>
      <w:tabs>
        <w:tab w:val="center" w:pos="4153"/>
        <w:tab w:val="right" w:pos="8306"/>
      </w:tabs>
      <w:ind w:right="360"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52207">
    <w:pPr>
      <w:framePr w:wrap="around" w:vAnchor="text" w:hAnchor="margin" w:xAlign="outside" w:y="1"/>
      <w:tabs>
        <w:tab w:val="center" w:pos="4153"/>
        <w:tab w:val="right" w:pos="8306"/>
      </w:tabs>
      <w:ind w:firstLine="480"/>
    </w:pPr>
    <w:r>
      <w:fldChar w:fldCharType="begin"/>
    </w:r>
    <w:r>
      <w:instrText xml:space="preserve">PAGE  </w:instrText>
    </w:r>
    <w:r>
      <w:fldChar w:fldCharType="end"/>
    </w:r>
  </w:p>
  <w:p w14:paraId="1AE2A3AD">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4A932">
    <w:pPr>
      <w:pStyle w:val="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7DBFB">
    <w:pPr>
      <w:tabs>
        <w:tab w:val="center" w:pos="4153"/>
        <w:tab w:val="right" w:pos="8306"/>
      </w:tabs>
      <w:ind w:right="360" w:firstLine="48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CD56E">
    <w:pPr>
      <w:pStyle w:val="2"/>
      <w:spacing w:before="48" w:after="48"/>
      <w:ind w:firstLine="360"/>
      <w:jc w:val="center"/>
    </w:pPr>
    <w:r>
      <w:fldChar w:fldCharType="begin"/>
    </w:r>
    <w:r>
      <w:instrText xml:space="preserve">PAGE   \* MERGEFORMAT</w:instrText>
    </w:r>
    <w:r>
      <w:fldChar w:fldCharType="separate"/>
    </w:r>
    <w:r>
      <w:rPr>
        <w:lang w:val="zh-CN"/>
      </w:rPr>
      <w:t>2</w:t>
    </w:r>
    <w:r>
      <w:fldChar w:fldCharType="end"/>
    </w:r>
  </w:p>
  <w:p w14:paraId="1122480B">
    <w:pPr>
      <w:tabs>
        <w:tab w:val="center" w:pos="4153"/>
        <w:tab w:val="right" w:pos="8306"/>
      </w:tabs>
      <w:ind w:right="360" w:firstLine="48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577FF">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C5245">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D3C98">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4460D0"/>
    <w:multiLevelType w:val="singleLevel"/>
    <w:tmpl w:val="904460D0"/>
    <w:lvl w:ilvl="0" w:tentative="0">
      <w:start w:val="1"/>
      <w:numFmt w:val="decimal"/>
      <w:suff w:val="nothing"/>
      <w:lvlText w:val="%1"/>
      <w:lvlJc w:val="left"/>
      <w:pPr>
        <w:ind w:left="425" w:hanging="425"/>
      </w:pPr>
      <w:rPr>
        <w:rFonts w:hint="default"/>
      </w:rPr>
    </w:lvl>
  </w:abstractNum>
  <w:abstractNum w:abstractNumId="1">
    <w:nsid w:val="AB5C790B"/>
    <w:multiLevelType w:val="singleLevel"/>
    <w:tmpl w:val="AB5C790B"/>
    <w:lvl w:ilvl="0" w:tentative="0">
      <w:start w:val="1"/>
      <w:numFmt w:val="decimal"/>
      <w:suff w:val="nothing"/>
      <w:lvlText w:val="%1"/>
      <w:lvlJc w:val="left"/>
      <w:pPr>
        <w:ind w:left="0" w:leftChars="0" w:firstLine="0" w:firstLineChars="0"/>
      </w:pPr>
      <w:rPr>
        <w:rFonts w:hint="default" w:ascii="Times New Roman" w:hAnsi="Times New Roman" w:cs="Times New Roman"/>
      </w:rPr>
    </w:lvl>
  </w:abstractNum>
  <w:abstractNum w:abstractNumId="2">
    <w:nsid w:val="C1A9594A"/>
    <w:multiLevelType w:val="singleLevel"/>
    <w:tmpl w:val="C1A9594A"/>
    <w:lvl w:ilvl="0" w:tentative="0">
      <w:start w:val="1"/>
      <w:numFmt w:val="decimal"/>
      <w:suff w:val="nothing"/>
      <w:lvlText w:val="%1）"/>
      <w:lvlJc w:val="left"/>
    </w:lvl>
  </w:abstractNum>
  <w:abstractNum w:abstractNumId="3">
    <w:nsid w:val="585B702A"/>
    <w:multiLevelType w:val="singleLevel"/>
    <w:tmpl w:val="585B702A"/>
    <w:lvl w:ilvl="0" w:tentative="0">
      <w:start w:val="1"/>
      <w:numFmt w:val="decimal"/>
      <w:suff w:val="nothing"/>
      <w:lvlText w:val="%1"/>
      <w:lvlJc w:val="left"/>
      <w:pPr>
        <w:ind w:left="0" w:leftChars="0" w:firstLine="0" w:firstLineChars="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zMWZkY2Q2MTVlYzYwZmYyZGU1ZGMzMjgyNDM3ZGYifQ=="/>
  </w:docVars>
  <w:rsids>
    <w:rsidRoot w:val="00172A27"/>
    <w:rsid w:val="00001CED"/>
    <w:rsid w:val="00001E67"/>
    <w:rsid w:val="00003CD8"/>
    <w:rsid w:val="000040A0"/>
    <w:rsid w:val="000042DA"/>
    <w:rsid w:val="00013651"/>
    <w:rsid w:val="00014965"/>
    <w:rsid w:val="0001523A"/>
    <w:rsid w:val="00016ECB"/>
    <w:rsid w:val="000224A2"/>
    <w:rsid w:val="000250B2"/>
    <w:rsid w:val="00025D42"/>
    <w:rsid w:val="000269F6"/>
    <w:rsid w:val="00030F3F"/>
    <w:rsid w:val="00031939"/>
    <w:rsid w:val="00031EC7"/>
    <w:rsid w:val="00032D25"/>
    <w:rsid w:val="00041253"/>
    <w:rsid w:val="00044BCE"/>
    <w:rsid w:val="00045B8C"/>
    <w:rsid w:val="00047DE2"/>
    <w:rsid w:val="000503D4"/>
    <w:rsid w:val="0005219D"/>
    <w:rsid w:val="000531B2"/>
    <w:rsid w:val="00054AB4"/>
    <w:rsid w:val="0005568F"/>
    <w:rsid w:val="00055ED8"/>
    <w:rsid w:val="000572E5"/>
    <w:rsid w:val="00061391"/>
    <w:rsid w:val="0006153D"/>
    <w:rsid w:val="00061B1F"/>
    <w:rsid w:val="000629A9"/>
    <w:rsid w:val="00063937"/>
    <w:rsid w:val="000664DB"/>
    <w:rsid w:val="0007127D"/>
    <w:rsid w:val="00071AE5"/>
    <w:rsid w:val="00072B99"/>
    <w:rsid w:val="00074783"/>
    <w:rsid w:val="000801E0"/>
    <w:rsid w:val="00082A29"/>
    <w:rsid w:val="0008331D"/>
    <w:rsid w:val="0008384A"/>
    <w:rsid w:val="00083C14"/>
    <w:rsid w:val="00083C18"/>
    <w:rsid w:val="00090025"/>
    <w:rsid w:val="00092899"/>
    <w:rsid w:val="00094993"/>
    <w:rsid w:val="000A178E"/>
    <w:rsid w:val="000A1ADD"/>
    <w:rsid w:val="000A557E"/>
    <w:rsid w:val="000A5FB2"/>
    <w:rsid w:val="000A7382"/>
    <w:rsid w:val="000B058F"/>
    <w:rsid w:val="000B2928"/>
    <w:rsid w:val="000B5212"/>
    <w:rsid w:val="000B665F"/>
    <w:rsid w:val="000B693F"/>
    <w:rsid w:val="000C09AC"/>
    <w:rsid w:val="000C0A63"/>
    <w:rsid w:val="000C437E"/>
    <w:rsid w:val="000C6E76"/>
    <w:rsid w:val="000D40CB"/>
    <w:rsid w:val="000E3E03"/>
    <w:rsid w:val="000E5F16"/>
    <w:rsid w:val="000F4325"/>
    <w:rsid w:val="000F4452"/>
    <w:rsid w:val="000F6A6C"/>
    <w:rsid w:val="000F6DA1"/>
    <w:rsid w:val="000F701B"/>
    <w:rsid w:val="00100922"/>
    <w:rsid w:val="0010122D"/>
    <w:rsid w:val="001056A0"/>
    <w:rsid w:val="001137B5"/>
    <w:rsid w:val="00113B8E"/>
    <w:rsid w:val="00114999"/>
    <w:rsid w:val="00115279"/>
    <w:rsid w:val="00115A9D"/>
    <w:rsid w:val="00117459"/>
    <w:rsid w:val="0011749A"/>
    <w:rsid w:val="0012045A"/>
    <w:rsid w:val="00121760"/>
    <w:rsid w:val="00121A34"/>
    <w:rsid w:val="001272DA"/>
    <w:rsid w:val="00127A68"/>
    <w:rsid w:val="00130225"/>
    <w:rsid w:val="00135775"/>
    <w:rsid w:val="00135BED"/>
    <w:rsid w:val="001362D5"/>
    <w:rsid w:val="00140B13"/>
    <w:rsid w:val="00141B68"/>
    <w:rsid w:val="00142B6E"/>
    <w:rsid w:val="001461E9"/>
    <w:rsid w:val="001466DA"/>
    <w:rsid w:val="00153B43"/>
    <w:rsid w:val="00154DE1"/>
    <w:rsid w:val="00154E96"/>
    <w:rsid w:val="001555F5"/>
    <w:rsid w:val="00155B40"/>
    <w:rsid w:val="00157435"/>
    <w:rsid w:val="00163EEA"/>
    <w:rsid w:val="00165712"/>
    <w:rsid w:val="00167A07"/>
    <w:rsid w:val="0017046A"/>
    <w:rsid w:val="001704A3"/>
    <w:rsid w:val="00170943"/>
    <w:rsid w:val="001749FD"/>
    <w:rsid w:val="0017504D"/>
    <w:rsid w:val="00177422"/>
    <w:rsid w:val="001801E4"/>
    <w:rsid w:val="00184F10"/>
    <w:rsid w:val="00185546"/>
    <w:rsid w:val="0019146B"/>
    <w:rsid w:val="00194398"/>
    <w:rsid w:val="00195B54"/>
    <w:rsid w:val="001975FC"/>
    <w:rsid w:val="00197EBC"/>
    <w:rsid w:val="001A0FE8"/>
    <w:rsid w:val="001A1FDB"/>
    <w:rsid w:val="001A5CCB"/>
    <w:rsid w:val="001A79F8"/>
    <w:rsid w:val="001A7D2A"/>
    <w:rsid w:val="001B574C"/>
    <w:rsid w:val="001C0AF9"/>
    <w:rsid w:val="001C1341"/>
    <w:rsid w:val="001C155A"/>
    <w:rsid w:val="001C2E8B"/>
    <w:rsid w:val="001C48C0"/>
    <w:rsid w:val="001D6726"/>
    <w:rsid w:val="001E79D9"/>
    <w:rsid w:val="001E7B93"/>
    <w:rsid w:val="001F3347"/>
    <w:rsid w:val="001F4440"/>
    <w:rsid w:val="001F5B58"/>
    <w:rsid w:val="001F63F3"/>
    <w:rsid w:val="001F69E4"/>
    <w:rsid w:val="00200781"/>
    <w:rsid w:val="00203AEF"/>
    <w:rsid w:val="00206A65"/>
    <w:rsid w:val="00212D31"/>
    <w:rsid w:val="002130C7"/>
    <w:rsid w:val="002217CC"/>
    <w:rsid w:val="002218A8"/>
    <w:rsid w:val="00222348"/>
    <w:rsid w:val="002229D9"/>
    <w:rsid w:val="0022306D"/>
    <w:rsid w:val="00224DFC"/>
    <w:rsid w:val="00226574"/>
    <w:rsid w:val="002278EC"/>
    <w:rsid w:val="00230206"/>
    <w:rsid w:val="002325C1"/>
    <w:rsid w:val="002357C7"/>
    <w:rsid w:val="002367C4"/>
    <w:rsid w:val="00241A29"/>
    <w:rsid w:val="00241B4F"/>
    <w:rsid w:val="002470B5"/>
    <w:rsid w:val="00252F56"/>
    <w:rsid w:val="0025679E"/>
    <w:rsid w:val="00260C68"/>
    <w:rsid w:val="00261BA5"/>
    <w:rsid w:val="002648B0"/>
    <w:rsid w:val="002653A7"/>
    <w:rsid w:val="002740E2"/>
    <w:rsid w:val="00275271"/>
    <w:rsid w:val="0027535E"/>
    <w:rsid w:val="00275AA6"/>
    <w:rsid w:val="002807D5"/>
    <w:rsid w:val="0028180D"/>
    <w:rsid w:val="00282CCD"/>
    <w:rsid w:val="00285790"/>
    <w:rsid w:val="0029448F"/>
    <w:rsid w:val="002A01D1"/>
    <w:rsid w:val="002A168C"/>
    <w:rsid w:val="002A2441"/>
    <w:rsid w:val="002A2C48"/>
    <w:rsid w:val="002A3EED"/>
    <w:rsid w:val="002A4A39"/>
    <w:rsid w:val="002A5A17"/>
    <w:rsid w:val="002A630B"/>
    <w:rsid w:val="002A6425"/>
    <w:rsid w:val="002B0A01"/>
    <w:rsid w:val="002B2273"/>
    <w:rsid w:val="002B3ADF"/>
    <w:rsid w:val="002B49E2"/>
    <w:rsid w:val="002B4F51"/>
    <w:rsid w:val="002B629D"/>
    <w:rsid w:val="002B7A28"/>
    <w:rsid w:val="002B7B00"/>
    <w:rsid w:val="002B7C44"/>
    <w:rsid w:val="002C0E72"/>
    <w:rsid w:val="002C1388"/>
    <w:rsid w:val="002C1DE5"/>
    <w:rsid w:val="002C3048"/>
    <w:rsid w:val="002C3C6A"/>
    <w:rsid w:val="002C5E4F"/>
    <w:rsid w:val="002D0694"/>
    <w:rsid w:val="002D10BD"/>
    <w:rsid w:val="002D236E"/>
    <w:rsid w:val="002D42DB"/>
    <w:rsid w:val="002D54A1"/>
    <w:rsid w:val="002D6BC9"/>
    <w:rsid w:val="002D6C1F"/>
    <w:rsid w:val="002E1F3A"/>
    <w:rsid w:val="002E298A"/>
    <w:rsid w:val="002E2D41"/>
    <w:rsid w:val="002F02A4"/>
    <w:rsid w:val="002F272B"/>
    <w:rsid w:val="002F450A"/>
    <w:rsid w:val="002F6183"/>
    <w:rsid w:val="002F7C6D"/>
    <w:rsid w:val="003027E4"/>
    <w:rsid w:val="0030332C"/>
    <w:rsid w:val="00312296"/>
    <w:rsid w:val="0031340E"/>
    <w:rsid w:val="003161CA"/>
    <w:rsid w:val="00316464"/>
    <w:rsid w:val="00317CFE"/>
    <w:rsid w:val="0032073A"/>
    <w:rsid w:val="00321558"/>
    <w:rsid w:val="003216A1"/>
    <w:rsid w:val="00321D8E"/>
    <w:rsid w:val="00322131"/>
    <w:rsid w:val="003254AC"/>
    <w:rsid w:val="00326607"/>
    <w:rsid w:val="0032789A"/>
    <w:rsid w:val="00330672"/>
    <w:rsid w:val="00331E7C"/>
    <w:rsid w:val="003339CC"/>
    <w:rsid w:val="00333D8C"/>
    <w:rsid w:val="00334996"/>
    <w:rsid w:val="00336969"/>
    <w:rsid w:val="00336C52"/>
    <w:rsid w:val="00337760"/>
    <w:rsid w:val="0034108C"/>
    <w:rsid w:val="00341B3E"/>
    <w:rsid w:val="00341B42"/>
    <w:rsid w:val="00344072"/>
    <w:rsid w:val="00345154"/>
    <w:rsid w:val="0034560E"/>
    <w:rsid w:val="00347B68"/>
    <w:rsid w:val="003504BB"/>
    <w:rsid w:val="00350523"/>
    <w:rsid w:val="00352975"/>
    <w:rsid w:val="00356868"/>
    <w:rsid w:val="0036485B"/>
    <w:rsid w:val="00370BF2"/>
    <w:rsid w:val="00373B0D"/>
    <w:rsid w:val="0037412B"/>
    <w:rsid w:val="00376988"/>
    <w:rsid w:val="00377231"/>
    <w:rsid w:val="003802C3"/>
    <w:rsid w:val="00381A72"/>
    <w:rsid w:val="0038702F"/>
    <w:rsid w:val="0038749C"/>
    <w:rsid w:val="00391EF8"/>
    <w:rsid w:val="003963B7"/>
    <w:rsid w:val="003A1948"/>
    <w:rsid w:val="003A1E7B"/>
    <w:rsid w:val="003A2876"/>
    <w:rsid w:val="003A2FF5"/>
    <w:rsid w:val="003A7A5F"/>
    <w:rsid w:val="003B152A"/>
    <w:rsid w:val="003B1B6C"/>
    <w:rsid w:val="003B545B"/>
    <w:rsid w:val="003B5BAD"/>
    <w:rsid w:val="003B73BF"/>
    <w:rsid w:val="003C1301"/>
    <w:rsid w:val="003C1CE2"/>
    <w:rsid w:val="003C6CC2"/>
    <w:rsid w:val="003D133F"/>
    <w:rsid w:val="003D3EE9"/>
    <w:rsid w:val="003E463D"/>
    <w:rsid w:val="003E7681"/>
    <w:rsid w:val="003F0809"/>
    <w:rsid w:val="003F28BA"/>
    <w:rsid w:val="003F2AF6"/>
    <w:rsid w:val="003F4876"/>
    <w:rsid w:val="003F54F9"/>
    <w:rsid w:val="003F611C"/>
    <w:rsid w:val="003F755C"/>
    <w:rsid w:val="00400877"/>
    <w:rsid w:val="00402388"/>
    <w:rsid w:val="00404977"/>
    <w:rsid w:val="004053F9"/>
    <w:rsid w:val="00406EBF"/>
    <w:rsid w:val="00406F01"/>
    <w:rsid w:val="00411B36"/>
    <w:rsid w:val="004121D7"/>
    <w:rsid w:val="00416D50"/>
    <w:rsid w:val="00417543"/>
    <w:rsid w:val="00417772"/>
    <w:rsid w:val="00420E6A"/>
    <w:rsid w:val="00425724"/>
    <w:rsid w:val="004257E5"/>
    <w:rsid w:val="004264BF"/>
    <w:rsid w:val="004320C7"/>
    <w:rsid w:val="00433CA9"/>
    <w:rsid w:val="00433F77"/>
    <w:rsid w:val="0043521D"/>
    <w:rsid w:val="00440BCA"/>
    <w:rsid w:val="004414A3"/>
    <w:rsid w:val="00442024"/>
    <w:rsid w:val="0044254C"/>
    <w:rsid w:val="0044377E"/>
    <w:rsid w:val="00443E14"/>
    <w:rsid w:val="00443F6A"/>
    <w:rsid w:val="00450A17"/>
    <w:rsid w:val="0045135C"/>
    <w:rsid w:val="00455FB7"/>
    <w:rsid w:val="00465B42"/>
    <w:rsid w:val="00466321"/>
    <w:rsid w:val="004672AF"/>
    <w:rsid w:val="004727B0"/>
    <w:rsid w:val="0047426D"/>
    <w:rsid w:val="00480247"/>
    <w:rsid w:val="0048081D"/>
    <w:rsid w:val="0048117E"/>
    <w:rsid w:val="0048181B"/>
    <w:rsid w:val="00481B50"/>
    <w:rsid w:val="00482225"/>
    <w:rsid w:val="004855F6"/>
    <w:rsid w:val="00486F0C"/>
    <w:rsid w:val="00494670"/>
    <w:rsid w:val="004A0EB4"/>
    <w:rsid w:val="004A28A4"/>
    <w:rsid w:val="004A3823"/>
    <w:rsid w:val="004A59BB"/>
    <w:rsid w:val="004B0249"/>
    <w:rsid w:val="004B29B8"/>
    <w:rsid w:val="004B43A3"/>
    <w:rsid w:val="004B4C49"/>
    <w:rsid w:val="004B58A5"/>
    <w:rsid w:val="004B63D9"/>
    <w:rsid w:val="004B722A"/>
    <w:rsid w:val="004C0882"/>
    <w:rsid w:val="004C55BE"/>
    <w:rsid w:val="004D3B99"/>
    <w:rsid w:val="004D5269"/>
    <w:rsid w:val="004E031D"/>
    <w:rsid w:val="004E1E32"/>
    <w:rsid w:val="004E5B30"/>
    <w:rsid w:val="004F0779"/>
    <w:rsid w:val="004F1230"/>
    <w:rsid w:val="004F173F"/>
    <w:rsid w:val="004F177C"/>
    <w:rsid w:val="004F2DCE"/>
    <w:rsid w:val="004F67B4"/>
    <w:rsid w:val="005020A5"/>
    <w:rsid w:val="005035F1"/>
    <w:rsid w:val="005039CB"/>
    <w:rsid w:val="0050558F"/>
    <w:rsid w:val="005057E0"/>
    <w:rsid w:val="00506286"/>
    <w:rsid w:val="00507364"/>
    <w:rsid w:val="005106FA"/>
    <w:rsid w:val="00510813"/>
    <w:rsid w:val="00511DE0"/>
    <w:rsid w:val="00517360"/>
    <w:rsid w:val="00517F02"/>
    <w:rsid w:val="00520926"/>
    <w:rsid w:val="00524445"/>
    <w:rsid w:val="00524547"/>
    <w:rsid w:val="005258A2"/>
    <w:rsid w:val="00530F7C"/>
    <w:rsid w:val="00532FC3"/>
    <w:rsid w:val="00534567"/>
    <w:rsid w:val="00534F43"/>
    <w:rsid w:val="00535A84"/>
    <w:rsid w:val="00536889"/>
    <w:rsid w:val="00542E07"/>
    <w:rsid w:val="00550CFB"/>
    <w:rsid w:val="00554A7B"/>
    <w:rsid w:val="0055572C"/>
    <w:rsid w:val="00556CAC"/>
    <w:rsid w:val="0055786A"/>
    <w:rsid w:val="0056064F"/>
    <w:rsid w:val="00561B84"/>
    <w:rsid w:val="00564363"/>
    <w:rsid w:val="00570FF3"/>
    <w:rsid w:val="005711FF"/>
    <w:rsid w:val="0057184B"/>
    <w:rsid w:val="00571D98"/>
    <w:rsid w:val="005720AE"/>
    <w:rsid w:val="0058030D"/>
    <w:rsid w:val="00582045"/>
    <w:rsid w:val="00582F91"/>
    <w:rsid w:val="005833C2"/>
    <w:rsid w:val="0058645D"/>
    <w:rsid w:val="00586BED"/>
    <w:rsid w:val="00587011"/>
    <w:rsid w:val="00590AE3"/>
    <w:rsid w:val="00591111"/>
    <w:rsid w:val="005918F1"/>
    <w:rsid w:val="005933E2"/>
    <w:rsid w:val="005941FA"/>
    <w:rsid w:val="005970F2"/>
    <w:rsid w:val="005A06B7"/>
    <w:rsid w:val="005A1759"/>
    <w:rsid w:val="005B01C1"/>
    <w:rsid w:val="005B480B"/>
    <w:rsid w:val="005C5C81"/>
    <w:rsid w:val="005C6669"/>
    <w:rsid w:val="005D0369"/>
    <w:rsid w:val="005D53FE"/>
    <w:rsid w:val="005D7A0F"/>
    <w:rsid w:val="005E0438"/>
    <w:rsid w:val="005E1791"/>
    <w:rsid w:val="005E17A3"/>
    <w:rsid w:val="005E2CE6"/>
    <w:rsid w:val="005E564D"/>
    <w:rsid w:val="005E60C7"/>
    <w:rsid w:val="005E6324"/>
    <w:rsid w:val="005F228B"/>
    <w:rsid w:val="005F29CD"/>
    <w:rsid w:val="005F2B47"/>
    <w:rsid w:val="005F2FA1"/>
    <w:rsid w:val="005F4DFB"/>
    <w:rsid w:val="005F6CC0"/>
    <w:rsid w:val="00603E5B"/>
    <w:rsid w:val="00604BC8"/>
    <w:rsid w:val="006140DE"/>
    <w:rsid w:val="00615114"/>
    <w:rsid w:val="00615B4C"/>
    <w:rsid w:val="00615B5D"/>
    <w:rsid w:val="0062146F"/>
    <w:rsid w:val="0062586F"/>
    <w:rsid w:val="00625B52"/>
    <w:rsid w:val="006343AF"/>
    <w:rsid w:val="006357F0"/>
    <w:rsid w:val="0063634A"/>
    <w:rsid w:val="0064250D"/>
    <w:rsid w:val="00643299"/>
    <w:rsid w:val="006454A2"/>
    <w:rsid w:val="00645E81"/>
    <w:rsid w:val="006504F3"/>
    <w:rsid w:val="006535EB"/>
    <w:rsid w:val="00654B24"/>
    <w:rsid w:val="00654E37"/>
    <w:rsid w:val="00655E77"/>
    <w:rsid w:val="00661DE8"/>
    <w:rsid w:val="00663016"/>
    <w:rsid w:val="00670C66"/>
    <w:rsid w:val="00672977"/>
    <w:rsid w:val="00674605"/>
    <w:rsid w:val="006748B8"/>
    <w:rsid w:val="00674FE6"/>
    <w:rsid w:val="006766E9"/>
    <w:rsid w:val="00677D43"/>
    <w:rsid w:val="00680458"/>
    <w:rsid w:val="00682027"/>
    <w:rsid w:val="00682966"/>
    <w:rsid w:val="0068535B"/>
    <w:rsid w:val="0068736E"/>
    <w:rsid w:val="00691711"/>
    <w:rsid w:val="0069290A"/>
    <w:rsid w:val="00697032"/>
    <w:rsid w:val="006975AC"/>
    <w:rsid w:val="006A15FB"/>
    <w:rsid w:val="006A21FC"/>
    <w:rsid w:val="006A63D4"/>
    <w:rsid w:val="006A72BF"/>
    <w:rsid w:val="006B25A8"/>
    <w:rsid w:val="006B332A"/>
    <w:rsid w:val="006B33BD"/>
    <w:rsid w:val="006B6113"/>
    <w:rsid w:val="006B7294"/>
    <w:rsid w:val="006B7ED3"/>
    <w:rsid w:val="006C3F75"/>
    <w:rsid w:val="006D170E"/>
    <w:rsid w:val="006D4659"/>
    <w:rsid w:val="006D465B"/>
    <w:rsid w:val="006E06AF"/>
    <w:rsid w:val="006F0F4B"/>
    <w:rsid w:val="006F11EE"/>
    <w:rsid w:val="006F1789"/>
    <w:rsid w:val="006F574F"/>
    <w:rsid w:val="006F58E3"/>
    <w:rsid w:val="006F6B97"/>
    <w:rsid w:val="0070087D"/>
    <w:rsid w:val="00706C5D"/>
    <w:rsid w:val="00706D36"/>
    <w:rsid w:val="00707A35"/>
    <w:rsid w:val="007100A8"/>
    <w:rsid w:val="007118E6"/>
    <w:rsid w:val="00712F33"/>
    <w:rsid w:val="007174E3"/>
    <w:rsid w:val="00721E7C"/>
    <w:rsid w:val="007225C9"/>
    <w:rsid w:val="00735CD7"/>
    <w:rsid w:val="007376C1"/>
    <w:rsid w:val="00743813"/>
    <w:rsid w:val="007455BA"/>
    <w:rsid w:val="00750645"/>
    <w:rsid w:val="00751771"/>
    <w:rsid w:val="00752AB0"/>
    <w:rsid w:val="00754034"/>
    <w:rsid w:val="00754BF1"/>
    <w:rsid w:val="00755A30"/>
    <w:rsid w:val="00755E1C"/>
    <w:rsid w:val="00756556"/>
    <w:rsid w:val="0076132B"/>
    <w:rsid w:val="00761963"/>
    <w:rsid w:val="007623AE"/>
    <w:rsid w:val="00766B7E"/>
    <w:rsid w:val="00766BB7"/>
    <w:rsid w:val="00770B19"/>
    <w:rsid w:val="00773F56"/>
    <w:rsid w:val="00774FA0"/>
    <w:rsid w:val="00776620"/>
    <w:rsid w:val="00777B6D"/>
    <w:rsid w:val="0078069B"/>
    <w:rsid w:val="00783F82"/>
    <w:rsid w:val="00784855"/>
    <w:rsid w:val="00784F39"/>
    <w:rsid w:val="00785259"/>
    <w:rsid w:val="0078545C"/>
    <w:rsid w:val="007906C4"/>
    <w:rsid w:val="00793B2F"/>
    <w:rsid w:val="007940EA"/>
    <w:rsid w:val="00795248"/>
    <w:rsid w:val="007967E8"/>
    <w:rsid w:val="00797696"/>
    <w:rsid w:val="007A4C18"/>
    <w:rsid w:val="007A63F2"/>
    <w:rsid w:val="007A76AB"/>
    <w:rsid w:val="007A7CE4"/>
    <w:rsid w:val="007B0E91"/>
    <w:rsid w:val="007B1457"/>
    <w:rsid w:val="007B23C6"/>
    <w:rsid w:val="007B3E20"/>
    <w:rsid w:val="007B68DE"/>
    <w:rsid w:val="007C1857"/>
    <w:rsid w:val="007C514F"/>
    <w:rsid w:val="007C7963"/>
    <w:rsid w:val="007D0F95"/>
    <w:rsid w:val="007D278D"/>
    <w:rsid w:val="007D7ECB"/>
    <w:rsid w:val="007E25A1"/>
    <w:rsid w:val="007E4BD2"/>
    <w:rsid w:val="007E589C"/>
    <w:rsid w:val="007E68AD"/>
    <w:rsid w:val="007E7145"/>
    <w:rsid w:val="007F3916"/>
    <w:rsid w:val="00800779"/>
    <w:rsid w:val="00801179"/>
    <w:rsid w:val="00802479"/>
    <w:rsid w:val="00805372"/>
    <w:rsid w:val="008056E4"/>
    <w:rsid w:val="00805A2D"/>
    <w:rsid w:val="00805B7B"/>
    <w:rsid w:val="0081293E"/>
    <w:rsid w:val="00814FFB"/>
    <w:rsid w:val="008150BB"/>
    <w:rsid w:val="008169D2"/>
    <w:rsid w:val="00817BFE"/>
    <w:rsid w:val="00820568"/>
    <w:rsid w:val="00820A7B"/>
    <w:rsid w:val="00823371"/>
    <w:rsid w:val="00831A80"/>
    <w:rsid w:val="008332C8"/>
    <w:rsid w:val="00833743"/>
    <w:rsid w:val="008340A4"/>
    <w:rsid w:val="00836799"/>
    <w:rsid w:val="00837028"/>
    <w:rsid w:val="00837131"/>
    <w:rsid w:val="00837207"/>
    <w:rsid w:val="00841A9F"/>
    <w:rsid w:val="00842064"/>
    <w:rsid w:val="00842A18"/>
    <w:rsid w:val="008433C8"/>
    <w:rsid w:val="00845441"/>
    <w:rsid w:val="00845B4C"/>
    <w:rsid w:val="00845F57"/>
    <w:rsid w:val="00847E5A"/>
    <w:rsid w:val="008521E0"/>
    <w:rsid w:val="008525B0"/>
    <w:rsid w:val="0085618A"/>
    <w:rsid w:val="008579E8"/>
    <w:rsid w:val="00867CBC"/>
    <w:rsid w:val="00876C30"/>
    <w:rsid w:val="00877017"/>
    <w:rsid w:val="008773C0"/>
    <w:rsid w:val="00880364"/>
    <w:rsid w:val="00882748"/>
    <w:rsid w:val="00882CCD"/>
    <w:rsid w:val="00885359"/>
    <w:rsid w:val="00885CFC"/>
    <w:rsid w:val="00886C4C"/>
    <w:rsid w:val="0088711C"/>
    <w:rsid w:val="00892ECF"/>
    <w:rsid w:val="00892F06"/>
    <w:rsid w:val="00894285"/>
    <w:rsid w:val="00894AAD"/>
    <w:rsid w:val="008A40AE"/>
    <w:rsid w:val="008A46D8"/>
    <w:rsid w:val="008A4E19"/>
    <w:rsid w:val="008A67C5"/>
    <w:rsid w:val="008B22E1"/>
    <w:rsid w:val="008B3C78"/>
    <w:rsid w:val="008B4AE9"/>
    <w:rsid w:val="008C30AD"/>
    <w:rsid w:val="008C3599"/>
    <w:rsid w:val="008D068E"/>
    <w:rsid w:val="008D0F7A"/>
    <w:rsid w:val="008D63BE"/>
    <w:rsid w:val="008E07F4"/>
    <w:rsid w:val="008E0CFF"/>
    <w:rsid w:val="008E575D"/>
    <w:rsid w:val="008E5D6B"/>
    <w:rsid w:val="008E689B"/>
    <w:rsid w:val="008E76F0"/>
    <w:rsid w:val="008F15FE"/>
    <w:rsid w:val="008F25A7"/>
    <w:rsid w:val="008F2A94"/>
    <w:rsid w:val="008F340C"/>
    <w:rsid w:val="008F5187"/>
    <w:rsid w:val="008F709C"/>
    <w:rsid w:val="009029D0"/>
    <w:rsid w:val="0090312B"/>
    <w:rsid w:val="00904961"/>
    <w:rsid w:val="00906706"/>
    <w:rsid w:val="00912600"/>
    <w:rsid w:val="0091736D"/>
    <w:rsid w:val="009178F2"/>
    <w:rsid w:val="00930669"/>
    <w:rsid w:val="009309BC"/>
    <w:rsid w:val="00931001"/>
    <w:rsid w:val="0093162E"/>
    <w:rsid w:val="00931863"/>
    <w:rsid w:val="00933524"/>
    <w:rsid w:val="00933950"/>
    <w:rsid w:val="0093579A"/>
    <w:rsid w:val="009361AB"/>
    <w:rsid w:val="0093683F"/>
    <w:rsid w:val="00941BE4"/>
    <w:rsid w:val="00941D1A"/>
    <w:rsid w:val="0094278D"/>
    <w:rsid w:val="00942CCF"/>
    <w:rsid w:val="00947AC0"/>
    <w:rsid w:val="009509E9"/>
    <w:rsid w:val="0095308A"/>
    <w:rsid w:val="00955AEE"/>
    <w:rsid w:val="00956F14"/>
    <w:rsid w:val="00957A33"/>
    <w:rsid w:val="00962058"/>
    <w:rsid w:val="009620FD"/>
    <w:rsid w:val="0096247A"/>
    <w:rsid w:val="009638E7"/>
    <w:rsid w:val="00964B5F"/>
    <w:rsid w:val="00965F4B"/>
    <w:rsid w:val="00967388"/>
    <w:rsid w:val="00970F8A"/>
    <w:rsid w:val="00971FB5"/>
    <w:rsid w:val="00972D2A"/>
    <w:rsid w:val="00975CC5"/>
    <w:rsid w:val="00976328"/>
    <w:rsid w:val="00976B4E"/>
    <w:rsid w:val="00976D51"/>
    <w:rsid w:val="009830DE"/>
    <w:rsid w:val="00984458"/>
    <w:rsid w:val="00985283"/>
    <w:rsid w:val="00987322"/>
    <w:rsid w:val="00991862"/>
    <w:rsid w:val="009958A6"/>
    <w:rsid w:val="009973C2"/>
    <w:rsid w:val="009A0F3B"/>
    <w:rsid w:val="009A12DA"/>
    <w:rsid w:val="009A694F"/>
    <w:rsid w:val="009A72C7"/>
    <w:rsid w:val="009B0057"/>
    <w:rsid w:val="009B0897"/>
    <w:rsid w:val="009B2143"/>
    <w:rsid w:val="009B4679"/>
    <w:rsid w:val="009C27F5"/>
    <w:rsid w:val="009C2888"/>
    <w:rsid w:val="009C6EFC"/>
    <w:rsid w:val="009C73FD"/>
    <w:rsid w:val="009D0852"/>
    <w:rsid w:val="009D1DF8"/>
    <w:rsid w:val="009D1FBF"/>
    <w:rsid w:val="009E3933"/>
    <w:rsid w:val="009E399C"/>
    <w:rsid w:val="009E43C1"/>
    <w:rsid w:val="009E5C32"/>
    <w:rsid w:val="009E65BD"/>
    <w:rsid w:val="009E7E95"/>
    <w:rsid w:val="009F116F"/>
    <w:rsid w:val="009F1A42"/>
    <w:rsid w:val="009F329E"/>
    <w:rsid w:val="009F7ED3"/>
    <w:rsid w:val="00A0286F"/>
    <w:rsid w:val="00A03607"/>
    <w:rsid w:val="00A047FF"/>
    <w:rsid w:val="00A04FEF"/>
    <w:rsid w:val="00A05C33"/>
    <w:rsid w:val="00A068C5"/>
    <w:rsid w:val="00A122CD"/>
    <w:rsid w:val="00A12A32"/>
    <w:rsid w:val="00A14248"/>
    <w:rsid w:val="00A14947"/>
    <w:rsid w:val="00A21553"/>
    <w:rsid w:val="00A23DC5"/>
    <w:rsid w:val="00A25587"/>
    <w:rsid w:val="00A256B3"/>
    <w:rsid w:val="00A30956"/>
    <w:rsid w:val="00A320C3"/>
    <w:rsid w:val="00A34028"/>
    <w:rsid w:val="00A34BEB"/>
    <w:rsid w:val="00A35568"/>
    <w:rsid w:val="00A37056"/>
    <w:rsid w:val="00A40F84"/>
    <w:rsid w:val="00A4358F"/>
    <w:rsid w:val="00A44DE0"/>
    <w:rsid w:val="00A46F67"/>
    <w:rsid w:val="00A47FBC"/>
    <w:rsid w:val="00A514A2"/>
    <w:rsid w:val="00A51AAD"/>
    <w:rsid w:val="00A54AA1"/>
    <w:rsid w:val="00A568FF"/>
    <w:rsid w:val="00A57946"/>
    <w:rsid w:val="00A600DC"/>
    <w:rsid w:val="00A60199"/>
    <w:rsid w:val="00A601E2"/>
    <w:rsid w:val="00A61496"/>
    <w:rsid w:val="00A61833"/>
    <w:rsid w:val="00A624C6"/>
    <w:rsid w:val="00A63CEC"/>
    <w:rsid w:val="00A665E8"/>
    <w:rsid w:val="00A7031E"/>
    <w:rsid w:val="00A714EF"/>
    <w:rsid w:val="00A728B1"/>
    <w:rsid w:val="00A73838"/>
    <w:rsid w:val="00A763DE"/>
    <w:rsid w:val="00A803D6"/>
    <w:rsid w:val="00A81282"/>
    <w:rsid w:val="00A85318"/>
    <w:rsid w:val="00A8713F"/>
    <w:rsid w:val="00A91167"/>
    <w:rsid w:val="00A9171C"/>
    <w:rsid w:val="00A92FFD"/>
    <w:rsid w:val="00A95975"/>
    <w:rsid w:val="00A9708D"/>
    <w:rsid w:val="00AA2C17"/>
    <w:rsid w:val="00AA4172"/>
    <w:rsid w:val="00AA7BEA"/>
    <w:rsid w:val="00AB1914"/>
    <w:rsid w:val="00AB3B44"/>
    <w:rsid w:val="00AB41E1"/>
    <w:rsid w:val="00AB5330"/>
    <w:rsid w:val="00AB7747"/>
    <w:rsid w:val="00AC2532"/>
    <w:rsid w:val="00AC7A5B"/>
    <w:rsid w:val="00AD1507"/>
    <w:rsid w:val="00AD5A70"/>
    <w:rsid w:val="00AD738B"/>
    <w:rsid w:val="00AE0F25"/>
    <w:rsid w:val="00AE114E"/>
    <w:rsid w:val="00AE1305"/>
    <w:rsid w:val="00AE1BF4"/>
    <w:rsid w:val="00AE1E26"/>
    <w:rsid w:val="00AE3A77"/>
    <w:rsid w:val="00AE3F2B"/>
    <w:rsid w:val="00AE5532"/>
    <w:rsid w:val="00AE58F3"/>
    <w:rsid w:val="00AE5D97"/>
    <w:rsid w:val="00AE6794"/>
    <w:rsid w:val="00AE7A7C"/>
    <w:rsid w:val="00AF4DDD"/>
    <w:rsid w:val="00B00FFA"/>
    <w:rsid w:val="00B01110"/>
    <w:rsid w:val="00B02262"/>
    <w:rsid w:val="00B02585"/>
    <w:rsid w:val="00B03CEC"/>
    <w:rsid w:val="00B03E0C"/>
    <w:rsid w:val="00B05061"/>
    <w:rsid w:val="00B11882"/>
    <w:rsid w:val="00B118DB"/>
    <w:rsid w:val="00B1209F"/>
    <w:rsid w:val="00B12AD0"/>
    <w:rsid w:val="00B160FE"/>
    <w:rsid w:val="00B214AC"/>
    <w:rsid w:val="00B216C3"/>
    <w:rsid w:val="00B24ADB"/>
    <w:rsid w:val="00B24F30"/>
    <w:rsid w:val="00B27325"/>
    <w:rsid w:val="00B30DF7"/>
    <w:rsid w:val="00B312C7"/>
    <w:rsid w:val="00B31ABF"/>
    <w:rsid w:val="00B335AE"/>
    <w:rsid w:val="00B336C7"/>
    <w:rsid w:val="00B37CE1"/>
    <w:rsid w:val="00B40ACF"/>
    <w:rsid w:val="00B46BAA"/>
    <w:rsid w:val="00B4772D"/>
    <w:rsid w:val="00B504D6"/>
    <w:rsid w:val="00B50B5F"/>
    <w:rsid w:val="00B53DBE"/>
    <w:rsid w:val="00B540C7"/>
    <w:rsid w:val="00B54128"/>
    <w:rsid w:val="00B556B2"/>
    <w:rsid w:val="00B55826"/>
    <w:rsid w:val="00B60426"/>
    <w:rsid w:val="00B622DD"/>
    <w:rsid w:val="00B63522"/>
    <w:rsid w:val="00B73B5B"/>
    <w:rsid w:val="00B74B20"/>
    <w:rsid w:val="00B74CD0"/>
    <w:rsid w:val="00B76F1D"/>
    <w:rsid w:val="00B81BB2"/>
    <w:rsid w:val="00B86748"/>
    <w:rsid w:val="00B8766E"/>
    <w:rsid w:val="00B92988"/>
    <w:rsid w:val="00B92A19"/>
    <w:rsid w:val="00B92F40"/>
    <w:rsid w:val="00B9544C"/>
    <w:rsid w:val="00BA29E9"/>
    <w:rsid w:val="00BA591B"/>
    <w:rsid w:val="00BB3307"/>
    <w:rsid w:val="00BB3618"/>
    <w:rsid w:val="00BC0037"/>
    <w:rsid w:val="00BC0999"/>
    <w:rsid w:val="00BC0C9E"/>
    <w:rsid w:val="00BC32DC"/>
    <w:rsid w:val="00BC475E"/>
    <w:rsid w:val="00BD1B51"/>
    <w:rsid w:val="00BD47F6"/>
    <w:rsid w:val="00BD511B"/>
    <w:rsid w:val="00BE138C"/>
    <w:rsid w:val="00BE312D"/>
    <w:rsid w:val="00BE3210"/>
    <w:rsid w:val="00BE3FCA"/>
    <w:rsid w:val="00BE6A3A"/>
    <w:rsid w:val="00BE7F41"/>
    <w:rsid w:val="00BF20B8"/>
    <w:rsid w:val="00BF2740"/>
    <w:rsid w:val="00BF5452"/>
    <w:rsid w:val="00C043D2"/>
    <w:rsid w:val="00C05719"/>
    <w:rsid w:val="00C10578"/>
    <w:rsid w:val="00C15391"/>
    <w:rsid w:val="00C17D62"/>
    <w:rsid w:val="00C21FDC"/>
    <w:rsid w:val="00C243B2"/>
    <w:rsid w:val="00C24EE7"/>
    <w:rsid w:val="00C2596A"/>
    <w:rsid w:val="00C271BE"/>
    <w:rsid w:val="00C27425"/>
    <w:rsid w:val="00C31501"/>
    <w:rsid w:val="00C328FE"/>
    <w:rsid w:val="00C33A05"/>
    <w:rsid w:val="00C341DD"/>
    <w:rsid w:val="00C348FE"/>
    <w:rsid w:val="00C37FDD"/>
    <w:rsid w:val="00C4101A"/>
    <w:rsid w:val="00C42500"/>
    <w:rsid w:val="00C4409D"/>
    <w:rsid w:val="00C445AB"/>
    <w:rsid w:val="00C455BE"/>
    <w:rsid w:val="00C51E5F"/>
    <w:rsid w:val="00C56839"/>
    <w:rsid w:val="00C61E4B"/>
    <w:rsid w:val="00C62E3A"/>
    <w:rsid w:val="00C64503"/>
    <w:rsid w:val="00C64A1F"/>
    <w:rsid w:val="00C64BFF"/>
    <w:rsid w:val="00C668C6"/>
    <w:rsid w:val="00C763C9"/>
    <w:rsid w:val="00C77FCC"/>
    <w:rsid w:val="00C80057"/>
    <w:rsid w:val="00C8039E"/>
    <w:rsid w:val="00C82C79"/>
    <w:rsid w:val="00C83479"/>
    <w:rsid w:val="00C84753"/>
    <w:rsid w:val="00C85F06"/>
    <w:rsid w:val="00C877D5"/>
    <w:rsid w:val="00C91276"/>
    <w:rsid w:val="00C91611"/>
    <w:rsid w:val="00C9404E"/>
    <w:rsid w:val="00CA0491"/>
    <w:rsid w:val="00CA3585"/>
    <w:rsid w:val="00CA3D5A"/>
    <w:rsid w:val="00CA4839"/>
    <w:rsid w:val="00CA4C7C"/>
    <w:rsid w:val="00CA4FCB"/>
    <w:rsid w:val="00CA6118"/>
    <w:rsid w:val="00CA743C"/>
    <w:rsid w:val="00CB0183"/>
    <w:rsid w:val="00CB0619"/>
    <w:rsid w:val="00CB1EA3"/>
    <w:rsid w:val="00CB552C"/>
    <w:rsid w:val="00CB6A9E"/>
    <w:rsid w:val="00CB79AB"/>
    <w:rsid w:val="00CC3EA4"/>
    <w:rsid w:val="00CC6181"/>
    <w:rsid w:val="00CD033F"/>
    <w:rsid w:val="00CD0972"/>
    <w:rsid w:val="00CD1898"/>
    <w:rsid w:val="00CD2BCD"/>
    <w:rsid w:val="00CD36AA"/>
    <w:rsid w:val="00CD3791"/>
    <w:rsid w:val="00CD65B0"/>
    <w:rsid w:val="00CE02CD"/>
    <w:rsid w:val="00CE1097"/>
    <w:rsid w:val="00CE10E9"/>
    <w:rsid w:val="00CE6823"/>
    <w:rsid w:val="00CF0D8F"/>
    <w:rsid w:val="00D0072E"/>
    <w:rsid w:val="00D11570"/>
    <w:rsid w:val="00D118B6"/>
    <w:rsid w:val="00D127C6"/>
    <w:rsid w:val="00D15727"/>
    <w:rsid w:val="00D16181"/>
    <w:rsid w:val="00D16332"/>
    <w:rsid w:val="00D168FE"/>
    <w:rsid w:val="00D21FB0"/>
    <w:rsid w:val="00D24972"/>
    <w:rsid w:val="00D2515E"/>
    <w:rsid w:val="00D308ED"/>
    <w:rsid w:val="00D32433"/>
    <w:rsid w:val="00D32A47"/>
    <w:rsid w:val="00D5550D"/>
    <w:rsid w:val="00D56178"/>
    <w:rsid w:val="00D56451"/>
    <w:rsid w:val="00D56CF0"/>
    <w:rsid w:val="00D56F5C"/>
    <w:rsid w:val="00D704B1"/>
    <w:rsid w:val="00D70B63"/>
    <w:rsid w:val="00D72B92"/>
    <w:rsid w:val="00D72DA4"/>
    <w:rsid w:val="00D72ED4"/>
    <w:rsid w:val="00D73F61"/>
    <w:rsid w:val="00D754C0"/>
    <w:rsid w:val="00D776A2"/>
    <w:rsid w:val="00D7781F"/>
    <w:rsid w:val="00D801C4"/>
    <w:rsid w:val="00D80BD0"/>
    <w:rsid w:val="00D845C2"/>
    <w:rsid w:val="00D85519"/>
    <w:rsid w:val="00D90836"/>
    <w:rsid w:val="00D95896"/>
    <w:rsid w:val="00D95CC6"/>
    <w:rsid w:val="00DA2DA3"/>
    <w:rsid w:val="00DA6615"/>
    <w:rsid w:val="00DA6D53"/>
    <w:rsid w:val="00DA6D6C"/>
    <w:rsid w:val="00DA76AE"/>
    <w:rsid w:val="00DB181E"/>
    <w:rsid w:val="00DB1C7A"/>
    <w:rsid w:val="00DB2983"/>
    <w:rsid w:val="00DB343D"/>
    <w:rsid w:val="00DB3BB6"/>
    <w:rsid w:val="00DB5579"/>
    <w:rsid w:val="00DB5CFE"/>
    <w:rsid w:val="00DC0195"/>
    <w:rsid w:val="00DC356C"/>
    <w:rsid w:val="00DC4163"/>
    <w:rsid w:val="00DC61F1"/>
    <w:rsid w:val="00DC7136"/>
    <w:rsid w:val="00DC72A6"/>
    <w:rsid w:val="00DD1856"/>
    <w:rsid w:val="00DD2113"/>
    <w:rsid w:val="00DD265E"/>
    <w:rsid w:val="00DE1EEC"/>
    <w:rsid w:val="00DE5290"/>
    <w:rsid w:val="00DE59BB"/>
    <w:rsid w:val="00DF1930"/>
    <w:rsid w:val="00DF50EE"/>
    <w:rsid w:val="00DF514A"/>
    <w:rsid w:val="00E02F1D"/>
    <w:rsid w:val="00E0358D"/>
    <w:rsid w:val="00E0465F"/>
    <w:rsid w:val="00E06327"/>
    <w:rsid w:val="00E11608"/>
    <w:rsid w:val="00E12CA2"/>
    <w:rsid w:val="00E175C1"/>
    <w:rsid w:val="00E20535"/>
    <w:rsid w:val="00E2064B"/>
    <w:rsid w:val="00E25239"/>
    <w:rsid w:val="00E265B1"/>
    <w:rsid w:val="00E275B0"/>
    <w:rsid w:val="00E314F8"/>
    <w:rsid w:val="00E31964"/>
    <w:rsid w:val="00E3598E"/>
    <w:rsid w:val="00E37370"/>
    <w:rsid w:val="00E412D0"/>
    <w:rsid w:val="00E41C17"/>
    <w:rsid w:val="00E421BD"/>
    <w:rsid w:val="00E451C6"/>
    <w:rsid w:val="00E4595C"/>
    <w:rsid w:val="00E47CDB"/>
    <w:rsid w:val="00E50A6C"/>
    <w:rsid w:val="00E566BC"/>
    <w:rsid w:val="00E60982"/>
    <w:rsid w:val="00E60C8D"/>
    <w:rsid w:val="00E6162F"/>
    <w:rsid w:val="00E6311B"/>
    <w:rsid w:val="00E65D97"/>
    <w:rsid w:val="00E67EFD"/>
    <w:rsid w:val="00E702DC"/>
    <w:rsid w:val="00E71FFB"/>
    <w:rsid w:val="00E72846"/>
    <w:rsid w:val="00E76A93"/>
    <w:rsid w:val="00E76D1D"/>
    <w:rsid w:val="00E806F8"/>
    <w:rsid w:val="00E82520"/>
    <w:rsid w:val="00E87752"/>
    <w:rsid w:val="00E8793B"/>
    <w:rsid w:val="00E9091F"/>
    <w:rsid w:val="00E90F81"/>
    <w:rsid w:val="00E91A6D"/>
    <w:rsid w:val="00E9242D"/>
    <w:rsid w:val="00E92E4B"/>
    <w:rsid w:val="00E97C98"/>
    <w:rsid w:val="00EA7CDF"/>
    <w:rsid w:val="00EB041C"/>
    <w:rsid w:val="00EB5547"/>
    <w:rsid w:val="00EC4C7B"/>
    <w:rsid w:val="00EC5874"/>
    <w:rsid w:val="00ED192D"/>
    <w:rsid w:val="00ED30B4"/>
    <w:rsid w:val="00ED31F5"/>
    <w:rsid w:val="00ED45CB"/>
    <w:rsid w:val="00ED7722"/>
    <w:rsid w:val="00EE3294"/>
    <w:rsid w:val="00EE5C8C"/>
    <w:rsid w:val="00EE5E2C"/>
    <w:rsid w:val="00EE7007"/>
    <w:rsid w:val="00EF0535"/>
    <w:rsid w:val="00EF1AFE"/>
    <w:rsid w:val="00EF2759"/>
    <w:rsid w:val="00EF278E"/>
    <w:rsid w:val="00EF444D"/>
    <w:rsid w:val="00EF45EB"/>
    <w:rsid w:val="00EF4958"/>
    <w:rsid w:val="00EF4EDD"/>
    <w:rsid w:val="00EF5099"/>
    <w:rsid w:val="00EF5E33"/>
    <w:rsid w:val="00F00075"/>
    <w:rsid w:val="00F00679"/>
    <w:rsid w:val="00F02B7C"/>
    <w:rsid w:val="00F07822"/>
    <w:rsid w:val="00F15C95"/>
    <w:rsid w:val="00F20498"/>
    <w:rsid w:val="00F21EBF"/>
    <w:rsid w:val="00F22985"/>
    <w:rsid w:val="00F241AB"/>
    <w:rsid w:val="00F300E0"/>
    <w:rsid w:val="00F30E86"/>
    <w:rsid w:val="00F31382"/>
    <w:rsid w:val="00F33C03"/>
    <w:rsid w:val="00F35829"/>
    <w:rsid w:val="00F42868"/>
    <w:rsid w:val="00F440A1"/>
    <w:rsid w:val="00F44CBF"/>
    <w:rsid w:val="00F465A7"/>
    <w:rsid w:val="00F50B7C"/>
    <w:rsid w:val="00F5202D"/>
    <w:rsid w:val="00F52CF6"/>
    <w:rsid w:val="00F54496"/>
    <w:rsid w:val="00F6006A"/>
    <w:rsid w:val="00F61097"/>
    <w:rsid w:val="00F65ADA"/>
    <w:rsid w:val="00F71147"/>
    <w:rsid w:val="00F71937"/>
    <w:rsid w:val="00F721DB"/>
    <w:rsid w:val="00F74345"/>
    <w:rsid w:val="00F74441"/>
    <w:rsid w:val="00F75D16"/>
    <w:rsid w:val="00F77F30"/>
    <w:rsid w:val="00F81B79"/>
    <w:rsid w:val="00F82589"/>
    <w:rsid w:val="00F82B19"/>
    <w:rsid w:val="00F90AA7"/>
    <w:rsid w:val="00F9212D"/>
    <w:rsid w:val="00F92DD2"/>
    <w:rsid w:val="00F93E65"/>
    <w:rsid w:val="00FA053A"/>
    <w:rsid w:val="00FA301A"/>
    <w:rsid w:val="00FA3723"/>
    <w:rsid w:val="00FA406A"/>
    <w:rsid w:val="00FA5CB6"/>
    <w:rsid w:val="00FA74A7"/>
    <w:rsid w:val="00FB014A"/>
    <w:rsid w:val="00FB3000"/>
    <w:rsid w:val="00FC1CFB"/>
    <w:rsid w:val="00FC66AC"/>
    <w:rsid w:val="00FC6C4B"/>
    <w:rsid w:val="00FD18F4"/>
    <w:rsid w:val="00FD3869"/>
    <w:rsid w:val="00FD3E61"/>
    <w:rsid w:val="00FD42DE"/>
    <w:rsid w:val="00FD4FDE"/>
    <w:rsid w:val="00FD74B4"/>
    <w:rsid w:val="00FE0334"/>
    <w:rsid w:val="00FE77BB"/>
    <w:rsid w:val="00FF0EFE"/>
    <w:rsid w:val="00FF3176"/>
    <w:rsid w:val="00FF641F"/>
    <w:rsid w:val="00FF6FCE"/>
    <w:rsid w:val="00FF741A"/>
    <w:rsid w:val="00FF7518"/>
    <w:rsid w:val="00FF7779"/>
    <w:rsid w:val="00FF7FD8"/>
    <w:rsid w:val="012A0B4F"/>
    <w:rsid w:val="013C4E05"/>
    <w:rsid w:val="01C04273"/>
    <w:rsid w:val="02202409"/>
    <w:rsid w:val="0389516F"/>
    <w:rsid w:val="05742AC8"/>
    <w:rsid w:val="05C5154A"/>
    <w:rsid w:val="06352F05"/>
    <w:rsid w:val="063E7D85"/>
    <w:rsid w:val="070875E0"/>
    <w:rsid w:val="07293586"/>
    <w:rsid w:val="07295285"/>
    <w:rsid w:val="07770C56"/>
    <w:rsid w:val="089727FA"/>
    <w:rsid w:val="08B65303"/>
    <w:rsid w:val="08D34FB4"/>
    <w:rsid w:val="092217DD"/>
    <w:rsid w:val="093A7294"/>
    <w:rsid w:val="094150E2"/>
    <w:rsid w:val="09B550CF"/>
    <w:rsid w:val="0B1A43BC"/>
    <w:rsid w:val="0BD27BF6"/>
    <w:rsid w:val="0DEB5866"/>
    <w:rsid w:val="0E110D06"/>
    <w:rsid w:val="0F13775A"/>
    <w:rsid w:val="0F776D1F"/>
    <w:rsid w:val="0F832B3B"/>
    <w:rsid w:val="0F9A112B"/>
    <w:rsid w:val="106D2F64"/>
    <w:rsid w:val="10892AC3"/>
    <w:rsid w:val="10B63710"/>
    <w:rsid w:val="111C2F7A"/>
    <w:rsid w:val="113013DE"/>
    <w:rsid w:val="12135BF8"/>
    <w:rsid w:val="122B06C2"/>
    <w:rsid w:val="13951726"/>
    <w:rsid w:val="139A439A"/>
    <w:rsid w:val="140F0EBA"/>
    <w:rsid w:val="14396509"/>
    <w:rsid w:val="1447165C"/>
    <w:rsid w:val="14F85045"/>
    <w:rsid w:val="15DB103F"/>
    <w:rsid w:val="163118DC"/>
    <w:rsid w:val="16A26773"/>
    <w:rsid w:val="16D16B68"/>
    <w:rsid w:val="175F16DD"/>
    <w:rsid w:val="17735226"/>
    <w:rsid w:val="190F64E9"/>
    <w:rsid w:val="1A1C66C0"/>
    <w:rsid w:val="1A42393B"/>
    <w:rsid w:val="1A9240DF"/>
    <w:rsid w:val="1B046F80"/>
    <w:rsid w:val="1B3267B5"/>
    <w:rsid w:val="1B674518"/>
    <w:rsid w:val="1BC25DC8"/>
    <w:rsid w:val="1BD0097C"/>
    <w:rsid w:val="1C5E7925"/>
    <w:rsid w:val="1C6337BE"/>
    <w:rsid w:val="1C88721B"/>
    <w:rsid w:val="1C887FC8"/>
    <w:rsid w:val="1C93116B"/>
    <w:rsid w:val="1D022362"/>
    <w:rsid w:val="1D136E0F"/>
    <w:rsid w:val="1D5F6196"/>
    <w:rsid w:val="1D6132A5"/>
    <w:rsid w:val="1D8E56D5"/>
    <w:rsid w:val="1E2031F5"/>
    <w:rsid w:val="1E7A43DA"/>
    <w:rsid w:val="1EB277FE"/>
    <w:rsid w:val="1FE7539E"/>
    <w:rsid w:val="20804F76"/>
    <w:rsid w:val="208836C5"/>
    <w:rsid w:val="20963CB8"/>
    <w:rsid w:val="20B07FB6"/>
    <w:rsid w:val="211F2563"/>
    <w:rsid w:val="213B74B1"/>
    <w:rsid w:val="215A2310"/>
    <w:rsid w:val="21DE318A"/>
    <w:rsid w:val="21EF5B80"/>
    <w:rsid w:val="22576990"/>
    <w:rsid w:val="22831633"/>
    <w:rsid w:val="229472E7"/>
    <w:rsid w:val="229C4EAB"/>
    <w:rsid w:val="22A12651"/>
    <w:rsid w:val="230A100E"/>
    <w:rsid w:val="252D53FE"/>
    <w:rsid w:val="25EC2D81"/>
    <w:rsid w:val="264528BD"/>
    <w:rsid w:val="26BF5654"/>
    <w:rsid w:val="272B2AA4"/>
    <w:rsid w:val="27D15DD1"/>
    <w:rsid w:val="27EB127B"/>
    <w:rsid w:val="283975A4"/>
    <w:rsid w:val="28580751"/>
    <w:rsid w:val="28A76295"/>
    <w:rsid w:val="29206EB8"/>
    <w:rsid w:val="292716B4"/>
    <w:rsid w:val="29E325E0"/>
    <w:rsid w:val="2A2B09FC"/>
    <w:rsid w:val="2A452503"/>
    <w:rsid w:val="2A6917DD"/>
    <w:rsid w:val="2BA936A8"/>
    <w:rsid w:val="2C315A5A"/>
    <w:rsid w:val="2D9E56F5"/>
    <w:rsid w:val="2E667F96"/>
    <w:rsid w:val="2E8226AB"/>
    <w:rsid w:val="2EAC0479"/>
    <w:rsid w:val="2F832C79"/>
    <w:rsid w:val="2FC6464C"/>
    <w:rsid w:val="2FEF2D58"/>
    <w:rsid w:val="30580BC9"/>
    <w:rsid w:val="306F0918"/>
    <w:rsid w:val="3074343D"/>
    <w:rsid w:val="311E2ED7"/>
    <w:rsid w:val="315C449C"/>
    <w:rsid w:val="318B6972"/>
    <w:rsid w:val="31B82709"/>
    <w:rsid w:val="32270CFD"/>
    <w:rsid w:val="32400B34"/>
    <w:rsid w:val="32591BA9"/>
    <w:rsid w:val="329E6876"/>
    <w:rsid w:val="32FA3DF5"/>
    <w:rsid w:val="33060CC3"/>
    <w:rsid w:val="33450DEC"/>
    <w:rsid w:val="33751688"/>
    <w:rsid w:val="33D934D4"/>
    <w:rsid w:val="33FE2F6A"/>
    <w:rsid w:val="34657DBB"/>
    <w:rsid w:val="346606C4"/>
    <w:rsid w:val="34AF2585"/>
    <w:rsid w:val="35507CB7"/>
    <w:rsid w:val="356E6FB4"/>
    <w:rsid w:val="358B560F"/>
    <w:rsid w:val="35AE568B"/>
    <w:rsid w:val="36074A7F"/>
    <w:rsid w:val="36923549"/>
    <w:rsid w:val="36B75FBF"/>
    <w:rsid w:val="36C23E60"/>
    <w:rsid w:val="36FB4891"/>
    <w:rsid w:val="37A53861"/>
    <w:rsid w:val="38DB32C7"/>
    <w:rsid w:val="38F12CD3"/>
    <w:rsid w:val="38F94775"/>
    <w:rsid w:val="392971ED"/>
    <w:rsid w:val="3A053956"/>
    <w:rsid w:val="3A4763A3"/>
    <w:rsid w:val="3B3763D1"/>
    <w:rsid w:val="3B622F91"/>
    <w:rsid w:val="3C383596"/>
    <w:rsid w:val="3C73545B"/>
    <w:rsid w:val="3CA93559"/>
    <w:rsid w:val="3CDA245A"/>
    <w:rsid w:val="3CEE0A37"/>
    <w:rsid w:val="3D4D6934"/>
    <w:rsid w:val="3D6E33D0"/>
    <w:rsid w:val="3E5A61D7"/>
    <w:rsid w:val="3F0A3760"/>
    <w:rsid w:val="3F660E74"/>
    <w:rsid w:val="407A6407"/>
    <w:rsid w:val="42391B53"/>
    <w:rsid w:val="423A3BCC"/>
    <w:rsid w:val="42A12241"/>
    <w:rsid w:val="433A6FE6"/>
    <w:rsid w:val="4350713C"/>
    <w:rsid w:val="436653E0"/>
    <w:rsid w:val="43C60342"/>
    <w:rsid w:val="44CD14E0"/>
    <w:rsid w:val="458946E9"/>
    <w:rsid w:val="45A05480"/>
    <w:rsid w:val="46035B58"/>
    <w:rsid w:val="46BB73E4"/>
    <w:rsid w:val="46D955A7"/>
    <w:rsid w:val="47133957"/>
    <w:rsid w:val="4779329E"/>
    <w:rsid w:val="47A07E0C"/>
    <w:rsid w:val="48491318"/>
    <w:rsid w:val="4870272E"/>
    <w:rsid w:val="48A47609"/>
    <w:rsid w:val="49A67EEC"/>
    <w:rsid w:val="49DC7715"/>
    <w:rsid w:val="4A023139"/>
    <w:rsid w:val="4A7B576F"/>
    <w:rsid w:val="4AD4683C"/>
    <w:rsid w:val="4BE01AB5"/>
    <w:rsid w:val="4C351F52"/>
    <w:rsid w:val="4C4A0649"/>
    <w:rsid w:val="4CB73F92"/>
    <w:rsid w:val="4CD40FC4"/>
    <w:rsid w:val="4CE470D3"/>
    <w:rsid w:val="4D7A4A63"/>
    <w:rsid w:val="4DEC4FB0"/>
    <w:rsid w:val="4E075D8A"/>
    <w:rsid w:val="4E6D3536"/>
    <w:rsid w:val="4ECC7D62"/>
    <w:rsid w:val="4F617FD6"/>
    <w:rsid w:val="4FC62A8C"/>
    <w:rsid w:val="4FE20F0D"/>
    <w:rsid w:val="50504C4B"/>
    <w:rsid w:val="507938B7"/>
    <w:rsid w:val="509C6E7C"/>
    <w:rsid w:val="5162104E"/>
    <w:rsid w:val="51704306"/>
    <w:rsid w:val="536522FB"/>
    <w:rsid w:val="53A039CC"/>
    <w:rsid w:val="53A1505A"/>
    <w:rsid w:val="54063E08"/>
    <w:rsid w:val="540D5681"/>
    <w:rsid w:val="543437E8"/>
    <w:rsid w:val="559B174B"/>
    <w:rsid w:val="55CE0CF4"/>
    <w:rsid w:val="56173BC6"/>
    <w:rsid w:val="567C6706"/>
    <w:rsid w:val="56B22A9C"/>
    <w:rsid w:val="56D33393"/>
    <w:rsid w:val="57B72A76"/>
    <w:rsid w:val="57FE5D38"/>
    <w:rsid w:val="58927ABD"/>
    <w:rsid w:val="593D4460"/>
    <w:rsid w:val="5A082C82"/>
    <w:rsid w:val="5A3C747D"/>
    <w:rsid w:val="5A485050"/>
    <w:rsid w:val="5ABE2233"/>
    <w:rsid w:val="5B276D18"/>
    <w:rsid w:val="5BDF5D95"/>
    <w:rsid w:val="5CE569C0"/>
    <w:rsid w:val="5DF87A0F"/>
    <w:rsid w:val="5F1A2B43"/>
    <w:rsid w:val="5FB837BB"/>
    <w:rsid w:val="5FDD39DC"/>
    <w:rsid w:val="60506955"/>
    <w:rsid w:val="605D5FA7"/>
    <w:rsid w:val="61CA2B8E"/>
    <w:rsid w:val="62364782"/>
    <w:rsid w:val="623F471C"/>
    <w:rsid w:val="63D40BE9"/>
    <w:rsid w:val="63E0211F"/>
    <w:rsid w:val="65373578"/>
    <w:rsid w:val="67296858"/>
    <w:rsid w:val="673F2C7A"/>
    <w:rsid w:val="674E2843"/>
    <w:rsid w:val="67B661F8"/>
    <w:rsid w:val="681F6961"/>
    <w:rsid w:val="68610A2F"/>
    <w:rsid w:val="68805514"/>
    <w:rsid w:val="68DF4CA6"/>
    <w:rsid w:val="69005E6B"/>
    <w:rsid w:val="694E2071"/>
    <w:rsid w:val="697A3B33"/>
    <w:rsid w:val="698B1FC9"/>
    <w:rsid w:val="699E2456"/>
    <w:rsid w:val="6A874DD0"/>
    <w:rsid w:val="6AEA5FD4"/>
    <w:rsid w:val="6AEB746E"/>
    <w:rsid w:val="6B015807"/>
    <w:rsid w:val="6B322639"/>
    <w:rsid w:val="6C636C38"/>
    <w:rsid w:val="6DB34098"/>
    <w:rsid w:val="6DB545B6"/>
    <w:rsid w:val="6E4375A0"/>
    <w:rsid w:val="6E514CED"/>
    <w:rsid w:val="6E79491A"/>
    <w:rsid w:val="6EAF540A"/>
    <w:rsid w:val="6EB563D5"/>
    <w:rsid w:val="6F225983"/>
    <w:rsid w:val="6FFC5590"/>
    <w:rsid w:val="70301DA3"/>
    <w:rsid w:val="706D1DD0"/>
    <w:rsid w:val="70856B87"/>
    <w:rsid w:val="70D527EE"/>
    <w:rsid w:val="71141580"/>
    <w:rsid w:val="715B5300"/>
    <w:rsid w:val="715F4BD7"/>
    <w:rsid w:val="71CF47A4"/>
    <w:rsid w:val="71D27F8A"/>
    <w:rsid w:val="71F744C6"/>
    <w:rsid w:val="71F960CF"/>
    <w:rsid w:val="72025405"/>
    <w:rsid w:val="726D3DFC"/>
    <w:rsid w:val="731F5D5E"/>
    <w:rsid w:val="741E793C"/>
    <w:rsid w:val="74A524B9"/>
    <w:rsid w:val="758D75E2"/>
    <w:rsid w:val="75D40619"/>
    <w:rsid w:val="75F55316"/>
    <w:rsid w:val="76B65301"/>
    <w:rsid w:val="76C14167"/>
    <w:rsid w:val="77723649"/>
    <w:rsid w:val="77762421"/>
    <w:rsid w:val="780F09F4"/>
    <w:rsid w:val="78187E4F"/>
    <w:rsid w:val="78743C04"/>
    <w:rsid w:val="789C4F47"/>
    <w:rsid w:val="78A90480"/>
    <w:rsid w:val="78B84644"/>
    <w:rsid w:val="79811327"/>
    <w:rsid w:val="79DB553F"/>
    <w:rsid w:val="7A364017"/>
    <w:rsid w:val="7A8265E1"/>
    <w:rsid w:val="7B686D42"/>
    <w:rsid w:val="7B841746"/>
    <w:rsid w:val="7D0239FF"/>
    <w:rsid w:val="7D4D5003"/>
    <w:rsid w:val="7D5E40CD"/>
    <w:rsid w:val="7D693BED"/>
    <w:rsid w:val="7DB3240C"/>
    <w:rsid w:val="7DFE0720"/>
    <w:rsid w:val="7E22355C"/>
    <w:rsid w:val="7E3900AB"/>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仿宋_GB2312" w:cs="Times New Roman"/>
      <w:kern w:val="2"/>
      <w:sz w:val="24"/>
      <w:szCs w:val="24"/>
      <w:lang w:val="en-US" w:eastAsia="zh-CN" w:bidi="ar-SA"/>
    </w:rPr>
  </w:style>
  <w:style w:type="paragraph" w:styleId="3">
    <w:name w:val="heading 1"/>
    <w:next w:val="1"/>
    <w:link w:val="18"/>
    <w:qFormat/>
    <w:uiPriority w:val="0"/>
    <w:pPr>
      <w:keepNext/>
      <w:overflowPunct w:val="0"/>
      <w:snapToGrid w:val="0"/>
      <w:spacing w:before="10" w:beforeLines="10" w:after="10" w:afterLines="10"/>
      <w:jc w:val="center"/>
      <w:outlineLvl w:val="0"/>
    </w:pPr>
    <w:rPr>
      <w:rFonts w:ascii="Times New Roman" w:hAnsi="Times New Roman" w:eastAsia="黑体" w:cs="Times New Roman"/>
      <w:bCs/>
      <w:color w:val="000000"/>
      <w:kern w:val="44"/>
      <w:sz w:val="30"/>
      <w:szCs w:val="30"/>
      <w:lang w:val="en-US" w:eastAsia="zh-CN" w:bidi="ar-SA"/>
    </w:rPr>
  </w:style>
  <w:style w:type="paragraph" w:styleId="4">
    <w:name w:val="heading 2"/>
    <w:basedOn w:val="1"/>
    <w:next w:val="1"/>
    <w:link w:val="19"/>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link w:val="20"/>
    <w:qFormat/>
    <w:locked/>
    <w:uiPriority w:val="0"/>
    <w:pPr>
      <w:keepNext/>
      <w:keepLines/>
      <w:spacing w:before="260" w:beforeLines="0" w:beforeAutospacing="0" w:after="260" w:afterLines="0" w:afterAutospacing="0" w:line="413" w:lineRule="auto"/>
      <w:outlineLvl w:val="2"/>
    </w:pPr>
    <w:rPr>
      <w:b/>
      <w:sz w:val="32"/>
    </w:rPr>
  </w:style>
  <w:style w:type="character" w:default="1" w:styleId="16">
    <w:name w:val="Default Paragraph Font"/>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footer"/>
    <w:basedOn w:val="1"/>
    <w:link w:val="23"/>
    <w:qFormat/>
    <w:uiPriority w:val="99"/>
    <w:pPr>
      <w:tabs>
        <w:tab w:val="center" w:pos="4153"/>
        <w:tab w:val="right" w:pos="8306"/>
      </w:tabs>
      <w:snapToGrid w:val="0"/>
      <w:jc w:val="left"/>
    </w:pPr>
    <w:rPr>
      <w:sz w:val="18"/>
    </w:rPr>
  </w:style>
  <w:style w:type="paragraph" w:styleId="6">
    <w:name w:val="annotation text"/>
    <w:basedOn w:val="1"/>
    <w:link w:val="21"/>
    <w:qFormat/>
    <w:uiPriority w:val="0"/>
    <w:pPr>
      <w:jc w:val="left"/>
    </w:pPr>
  </w:style>
  <w:style w:type="paragraph" w:styleId="7">
    <w:name w:val="Balloon Text"/>
    <w:basedOn w:val="1"/>
    <w:link w:val="22"/>
    <w:qFormat/>
    <w:uiPriority w:val="0"/>
    <w:pPr>
      <w:spacing w:line="240" w:lineRule="auto"/>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locked/>
    <w:uiPriority w:val="0"/>
  </w:style>
  <w:style w:type="paragraph" w:styleId="10">
    <w:name w:val="Subtitle"/>
    <w:basedOn w:val="1"/>
    <w:link w:val="24"/>
    <w:qFormat/>
    <w:locked/>
    <w:uiPriority w:val="0"/>
    <w:pPr>
      <w:widowControl/>
      <w:ind w:left="1080" w:hanging="1080"/>
    </w:pPr>
    <w:rPr>
      <w:rFonts w:ascii="宋体" w:hAnsi="Courier New"/>
      <w:szCs w:val="21"/>
    </w:rPr>
  </w:style>
  <w:style w:type="paragraph" w:styleId="11">
    <w:name w:val="List"/>
    <w:basedOn w:val="1"/>
    <w:qFormat/>
    <w:uiPriority w:val="0"/>
    <w:pPr>
      <w:spacing w:line="360" w:lineRule="exact"/>
      <w:jc w:val="center"/>
    </w:pPr>
    <w:rPr>
      <w:rFonts w:ascii="仿宋_GB2312" w:hAnsi="Times New Roman" w:eastAsia="仿宋_GB2312" w:cs="Times New Roman"/>
      <w:sz w:val="28"/>
      <w:szCs w:val="20"/>
    </w:rPr>
  </w:style>
  <w:style w:type="paragraph" w:styleId="12">
    <w:name w:val="Body Text 2"/>
    <w:basedOn w:val="1"/>
    <w:next w:val="1"/>
    <w:qFormat/>
    <w:uiPriority w:val="0"/>
    <w:pPr>
      <w:spacing w:line="520" w:lineRule="exact"/>
    </w:pPr>
    <w:rPr>
      <w:sz w:val="24"/>
      <w:szCs w:val="24"/>
    </w:rPr>
  </w:style>
  <w:style w:type="paragraph" w:styleId="13">
    <w:name w:val="annotation subject"/>
    <w:basedOn w:val="6"/>
    <w:next w:val="6"/>
    <w:link w:val="25"/>
    <w:qFormat/>
    <w:uiPriority w:val="0"/>
    <w:rPr>
      <w:b/>
      <w:bCs/>
    </w:rPr>
  </w:style>
  <w:style w:type="table" w:styleId="15">
    <w:name w:val="Table Grid"/>
    <w:basedOn w:val="1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annotation reference"/>
    <w:semiHidden/>
    <w:qFormat/>
    <w:uiPriority w:val="0"/>
    <w:rPr>
      <w:sz w:val="21"/>
    </w:rPr>
  </w:style>
  <w:style w:type="character" w:customStyle="1" w:styleId="18">
    <w:name w:val="标题 1 字符"/>
    <w:link w:val="3"/>
    <w:qFormat/>
    <w:uiPriority w:val="0"/>
    <w:rPr>
      <w:rFonts w:ascii="Times New Roman" w:hAnsi="Times New Roman" w:eastAsia="黑体"/>
      <w:bCs/>
      <w:color w:val="000000"/>
      <w:kern w:val="44"/>
      <w:sz w:val="30"/>
      <w:szCs w:val="30"/>
    </w:rPr>
  </w:style>
  <w:style w:type="character" w:customStyle="1" w:styleId="19">
    <w:name w:val="标题 2 字符"/>
    <w:link w:val="4"/>
    <w:qFormat/>
    <w:uiPriority w:val="0"/>
    <w:rPr>
      <w:rFonts w:ascii="Arial" w:hAnsi="Arial" w:eastAsia="黑体"/>
      <w:b/>
      <w:sz w:val="32"/>
    </w:rPr>
  </w:style>
  <w:style w:type="character" w:customStyle="1" w:styleId="20">
    <w:name w:val="标题 3 字符"/>
    <w:link w:val="5"/>
    <w:qFormat/>
    <w:uiPriority w:val="0"/>
    <w:rPr>
      <w:b/>
      <w:sz w:val="32"/>
    </w:rPr>
  </w:style>
  <w:style w:type="character" w:customStyle="1" w:styleId="21">
    <w:name w:val="批注文字 字符"/>
    <w:link w:val="6"/>
    <w:qFormat/>
    <w:uiPriority w:val="0"/>
    <w:rPr>
      <w:kern w:val="2"/>
      <w:sz w:val="24"/>
      <w:szCs w:val="24"/>
    </w:rPr>
  </w:style>
  <w:style w:type="character" w:customStyle="1" w:styleId="22">
    <w:name w:val="批注框文本 字符"/>
    <w:link w:val="7"/>
    <w:qFormat/>
    <w:uiPriority w:val="0"/>
    <w:rPr>
      <w:kern w:val="2"/>
      <w:sz w:val="18"/>
      <w:szCs w:val="18"/>
    </w:rPr>
  </w:style>
  <w:style w:type="character" w:customStyle="1" w:styleId="23">
    <w:name w:val="页脚 字符"/>
    <w:link w:val="2"/>
    <w:qFormat/>
    <w:uiPriority w:val="99"/>
    <w:rPr>
      <w:kern w:val="2"/>
      <w:sz w:val="18"/>
      <w:szCs w:val="24"/>
    </w:rPr>
  </w:style>
  <w:style w:type="character" w:customStyle="1" w:styleId="24">
    <w:name w:val="副标题 字符"/>
    <w:link w:val="10"/>
    <w:qFormat/>
    <w:uiPriority w:val="0"/>
    <w:rPr>
      <w:rFonts w:ascii="宋体" w:hAnsi="Courier New"/>
      <w:kern w:val="2"/>
      <w:sz w:val="21"/>
      <w:szCs w:val="21"/>
    </w:rPr>
  </w:style>
  <w:style w:type="character" w:customStyle="1" w:styleId="25">
    <w:name w:val="批注主题 字符"/>
    <w:link w:val="13"/>
    <w:qFormat/>
    <w:uiPriority w:val="0"/>
    <w:rPr>
      <w:b/>
      <w:bCs/>
      <w:kern w:val="2"/>
      <w:sz w:val="24"/>
      <w:szCs w:val="24"/>
    </w:rPr>
  </w:style>
  <w:style w:type="paragraph" w:customStyle="1" w:styleId="26">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7">
    <w:name w:val="表标题 Char Char"/>
    <w:link w:val="28"/>
    <w:qFormat/>
    <w:uiPriority w:val="0"/>
    <w:rPr>
      <w:rFonts w:ascii="Times New Roman" w:hAnsi="Times New Roman" w:eastAsia="黑体"/>
      <w:sz w:val="30"/>
    </w:rPr>
  </w:style>
  <w:style w:type="paragraph" w:customStyle="1" w:styleId="28">
    <w:name w:val="章节表标题"/>
    <w:basedOn w:val="3"/>
    <w:next w:val="1"/>
    <w:link w:val="27"/>
    <w:qFormat/>
    <w:uiPriority w:val="0"/>
    <w:pPr>
      <w:adjustRightInd w:val="0"/>
      <w:snapToGrid w:val="0"/>
      <w:jc w:val="center"/>
    </w:pPr>
    <w:rPr>
      <w:kern w:val="0"/>
      <w:szCs w:val="20"/>
    </w:rPr>
  </w:style>
  <w:style w:type="paragraph" w:customStyle="1" w:styleId="29">
    <w:name w:val="表格 标题"/>
    <w:qFormat/>
    <w:uiPriority w:val="0"/>
    <w:pPr>
      <w:spacing w:line="320" w:lineRule="exact"/>
      <w:jc w:val="center"/>
    </w:pPr>
    <w:rPr>
      <w:rFonts w:ascii="Times New Roman" w:hAnsi="Times New Roman" w:eastAsia="宋体" w:cs="Times New Roman"/>
      <w:b/>
      <w:kern w:val="2"/>
      <w:sz w:val="21"/>
      <w:szCs w:val="21"/>
      <w:lang w:val="en-US" w:eastAsia="zh-CN" w:bidi="ar-SA"/>
    </w:rPr>
  </w:style>
  <w:style w:type="paragraph" w:customStyle="1" w:styleId="30">
    <w:name w:val="表格 普通文字"/>
    <w:qFormat/>
    <w:uiPriority w:val="99"/>
    <w:pPr>
      <w:jc w:val="center"/>
    </w:pPr>
    <w:rPr>
      <w:rFonts w:ascii="Times New Roman" w:hAnsi="Times New Roman" w:eastAsia="宋体" w:cs="Times New Roman"/>
      <w:kern w:val="2"/>
      <w:sz w:val="21"/>
      <w:szCs w:val="21"/>
      <w:lang w:val="en-US" w:eastAsia="zh-CN" w:bidi="ar-SA"/>
    </w:rPr>
  </w:style>
  <w:style w:type="paragraph" w:customStyle="1" w:styleId="31">
    <w:name w:val="首页正文"/>
    <w:qFormat/>
    <w:uiPriority w:val="0"/>
    <w:pPr>
      <w:wordWrap w:val="0"/>
      <w:topLinePunct/>
      <w:adjustRightInd w:val="0"/>
      <w:snapToGrid w:val="0"/>
      <w:jc w:val="center"/>
    </w:pPr>
    <w:rPr>
      <w:rFonts w:hint="eastAsia" w:ascii="Times New Roman" w:hAnsi="Times New Roman" w:eastAsia="宋体" w:cs="Times New Roman"/>
      <w:color w:val="000000"/>
      <w:sz w:val="21"/>
      <w:szCs w:val="21"/>
      <w:lang w:val="en-US" w:eastAsia="zh-CN" w:bidi="ar-SA"/>
    </w:rPr>
  </w:style>
  <w:style w:type="paragraph" w:customStyle="1" w:styleId="32">
    <w:name w:val="非首页正文"/>
    <w:basedOn w:val="1"/>
    <w:link w:val="33"/>
    <w:qFormat/>
    <w:uiPriority w:val="0"/>
    <w:pPr>
      <w:autoSpaceDE w:val="0"/>
      <w:autoSpaceDN w:val="0"/>
      <w:adjustRightInd w:val="0"/>
      <w:snapToGrid w:val="0"/>
      <w:spacing w:line="360" w:lineRule="auto"/>
      <w:ind w:firstLine="720" w:firstLineChars="200"/>
    </w:pPr>
    <w:rPr>
      <w:rFonts w:hint="eastAsia"/>
    </w:rPr>
  </w:style>
  <w:style w:type="character" w:customStyle="1" w:styleId="33">
    <w:name w:val="非首页正文 Char"/>
    <w:link w:val="32"/>
    <w:qFormat/>
    <w:uiPriority w:val="0"/>
    <w:rPr>
      <w:rFonts w:hint="eastAsia"/>
    </w:rPr>
  </w:style>
  <w:style w:type="paragraph" w:customStyle="1" w:styleId="34">
    <w:name w:val="格式标题"/>
    <w:basedOn w:val="1"/>
    <w:qFormat/>
    <w:uiPriority w:val="0"/>
    <w:pPr>
      <w:autoSpaceDE w:val="0"/>
      <w:autoSpaceDN w:val="0"/>
      <w:adjustRightInd w:val="0"/>
      <w:snapToGrid w:val="0"/>
      <w:spacing w:line="320" w:lineRule="exact"/>
      <w:ind w:firstLine="0" w:firstLineChars="0"/>
      <w:jc w:val="center"/>
    </w:pPr>
    <w:rPr>
      <w:kern w:val="0"/>
      <w:szCs w:val="21"/>
    </w:rPr>
  </w:style>
  <w:style w:type="paragraph" w:customStyle="1" w:styleId="35">
    <w:name w:val="01GW正文"/>
    <w:basedOn w:val="1"/>
    <w:qFormat/>
    <w:uiPriority w:val="0"/>
    <w:pPr>
      <w:adjustRightInd w:val="0"/>
      <w:snapToGrid w:val="0"/>
      <w:spacing w:line="360" w:lineRule="auto"/>
      <w:ind w:firstLine="200" w:firstLineChars="200"/>
    </w:pPr>
    <w:rPr>
      <w:kern w:val="0"/>
      <w:sz w:val="24"/>
      <w:szCs w:val="21"/>
    </w:rPr>
  </w:style>
  <w:style w:type="paragraph" w:customStyle="1" w:styleId="36">
    <w:name w:val="02GW表头"/>
    <w:basedOn w:val="1"/>
    <w:qFormat/>
    <w:uiPriority w:val="0"/>
    <w:pPr>
      <w:adjustRightInd w:val="0"/>
      <w:snapToGrid w:val="0"/>
      <w:spacing w:line="360" w:lineRule="auto"/>
      <w:jc w:val="center"/>
    </w:pPr>
    <w:rPr>
      <w:b/>
      <w:bCs/>
      <w:kern w:val="0"/>
      <w:sz w:val="24"/>
      <w:szCs w:val="21"/>
    </w:rPr>
  </w:style>
  <w:style w:type="paragraph" w:customStyle="1" w:styleId="37">
    <w:name w:val="03GW表格"/>
    <w:basedOn w:val="38"/>
    <w:qFormat/>
    <w:uiPriority w:val="0"/>
    <w:pPr>
      <w:adjustRightInd w:val="0"/>
      <w:snapToGrid w:val="0"/>
      <w:spacing w:beforeLines="20" w:afterLines="20"/>
    </w:pPr>
    <w:rPr>
      <w:rFonts w:ascii="Times New Roman" w:cs="宋体"/>
      <w:color w:val="000000"/>
      <w:kern w:val="44"/>
      <w:sz w:val="21"/>
      <w:szCs w:val="21"/>
      <w:lang w:val="zh-CN"/>
    </w:rPr>
  </w:style>
  <w:style w:type="paragraph" w:customStyle="1" w:styleId="38">
    <w:name w:val="表格文字"/>
    <w:basedOn w:val="1"/>
    <w:qFormat/>
    <w:uiPriority w:val="0"/>
    <w:pPr>
      <w:jc w:val="center"/>
    </w:pPr>
    <w:rPr>
      <w:rFonts w:ascii="宋体"/>
      <w:sz w:val="24"/>
      <w:szCs w:val="24"/>
    </w:rPr>
  </w:style>
  <w:style w:type="paragraph" w:customStyle="1" w:styleId="39">
    <w:name w:val="A正文"/>
    <w:basedOn w:val="1"/>
    <w:qFormat/>
    <w:uiPriority w:val="0"/>
    <w:pPr>
      <w:adjustRightInd w:val="0"/>
      <w:snapToGrid w:val="0"/>
      <w:spacing w:line="360" w:lineRule="auto"/>
      <w:ind w:firstLine="200" w:firstLineChars="200"/>
    </w:pPr>
    <w:rPr>
      <w:rFonts w:ascii="Times New Roman" w:hAnsi="Times New Roman" w:cs="Times New Roman"/>
    </w:rPr>
  </w:style>
  <w:style w:type="paragraph" w:styleId="40">
    <w:name w:val="No Spacing"/>
    <w:qFormat/>
    <w:uiPriority w:val="1"/>
    <w:pPr>
      <w:widowControl w:val="0"/>
      <w:ind w:firstLine="200" w:firstLineChars="200"/>
      <w:jc w:val="both"/>
    </w:pPr>
    <w:rPr>
      <w:rFonts w:ascii="Times New Roman" w:hAnsi="Times New Roman" w:eastAsia="仿宋_GB2312" w:cs="Times New Roman"/>
      <w:kern w:val="2"/>
      <w:sz w:val="28"/>
      <w:szCs w:val="22"/>
      <w:lang w:val="en-US" w:eastAsia="zh-CN" w:bidi="ar-SA"/>
    </w:rPr>
  </w:style>
  <w:style w:type="paragraph" w:customStyle="1" w:styleId="41">
    <w:name w:val="_Style 40"/>
    <w:unhideWhenUsed/>
    <w:qFormat/>
    <w:uiPriority w:val="99"/>
    <w:rPr>
      <w:rFonts w:ascii="Times New Roman" w:hAnsi="Times New Roman" w:eastAsia="宋体" w:cs="Times New Roman"/>
      <w:kern w:val="2"/>
      <w:sz w:val="24"/>
      <w:szCs w:val="24"/>
      <w:lang w:val="en-US" w:eastAsia="zh-CN" w:bidi="ar-SA"/>
    </w:rPr>
  </w:style>
  <w:style w:type="paragraph" w:customStyle="1" w:styleId="42">
    <w:name w:val="1正文段落"/>
    <w:basedOn w:val="1"/>
    <w:qFormat/>
    <w:uiPriority w:val="0"/>
    <w:pPr>
      <w:snapToGrid w:val="0"/>
      <w:spacing w:line="360" w:lineRule="auto"/>
      <w:ind w:firstLine="480" w:firstLineChars="200"/>
      <w:jc w:val="left"/>
    </w:pPr>
    <w:rPr>
      <w:kern w:val="0"/>
      <w:sz w:val="24"/>
    </w:rPr>
  </w:style>
  <w:style w:type="paragraph" w:customStyle="1" w:styleId="43">
    <w:name w:val="首行2字符、小四"/>
    <w:basedOn w:val="1"/>
    <w:qFormat/>
    <w:uiPriority w:val="0"/>
    <w:pPr>
      <w:ind w:firstLine="200" w:firstLineChars="200"/>
    </w:pPr>
  </w:style>
  <w:style w:type="character" w:customStyle="1" w:styleId="44">
    <w:name w:val="表格内容 Char"/>
    <w:link w:val="45"/>
    <w:qFormat/>
    <w:locked/>
    <w:uiPriority w:val="0"/>
    <w:rPr>
      <w:rFonts w:ascii="宋体" w:hAnsi="宋体"/>
      <w:color w:val="000000"/>
      <w:kern w:val="2"/>
      <w:sz w:val="21"/>
      <w:szCs w:val="24"/>
    </w:rPr>
  </w:style>
  <w:style w:type="paragraph" w:customStyle="1" w:styleId="45">
    <w:name w:val="表格内容"/>
    <w:basedOn w:val="1"/>
    <w:link w:val="44"/>
    <w:qFormat/>
    <w:uiPriority w:val="0"/>
    <w:pPr>
      <w:spacing w:line="240" w:lineRule="auto"/>
      <w:ind w:firstLine="0" w:firstLineChars="0"/>
      <w:jc w:val="center"/>
    </w:pPr>
    <w:rPr>
      <w:rFonts w:ascii="宋体" w:hAnsi="宋体"/>
      <w:color w:val="000000"/>
      <w:sz w:val="21"/>
    </w:rPr>
  </w:style>
  <w:style w:type="paragraph" w:styleId="46">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03224844-7e78-44ad-968e-f2a327b4f67f</errorID>
      <errorWord>“</errorWord>
      <group>L1_Punc</group>
      <groupName>标点问题</groupName>
      <ability>L2_Punc_CN</ability>
      <abilityName/>
      <candidateList/>
      <explain>此处标点可能未正确匹配，请检查句子中是否存在标点冗余、缺失或使用错误的情况。</explain>
      <paraID>2DA94694</paraID>
      <start>18</start>
      <end>19</end>
      <status>unmodified</status>
      <modifiedWord/>
      <trackRevisions>false</trackRevisions>
    </reviewItem>
    <reviewItem>
      <errorID>580dc61b-d2e2-4892-a4ef-f4570f24840a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3A1D04DA</paraID>
      <start>25</start>
      <end>26</end>
      <status>unmodified</status>
      <modifiedWord/>
      <trackRevisions>false</trackRevisions>
    </reviewItem>
    <reviewItem>
      <errorID>6eb08811-b508-4a5c-819d-12fe9e59bafd</errorID>
      <errorWord>：/</errorWord>
      <group>L1_Punc</group>
      <groupName>标点问题</groupName>
      <ability>L2_Punc_CN</ability>
      <abilityName/>
      <candidateList>
        <item>：</item>
      </candidateList>
      <explain/>
      <paraID>3A3AEBD9</paraID>
      <start>6</start>
      <end>8</end>
      <status>unmodified</status>
      <modifiedWord/>
      <trackRevisions>false</trackRevisions>
    </reviewItem>
    <reviewItem>
      <errorID>c87cf643-8965-4efb-80ba-1fb53ec59fd6</errorID>
      <errorWord>：/</errorWord>
      <group>L1_Punc</group>
      <groupName>标点问题</groupName>
      <ability>L2_Punc_CN</ability>
      <abilityName/>
      <candidateList>
        <item>：</item>
      </candidateList>
      <explain/>
      <paraID>661C0880</paraID>
      <start>6</start>
      <end>8</end>
      <status>unmodified</status>
      <modifiedWord/>
      <trackRevisions>false</trackRevisions>
    </reviewItem>
    <reviewItem>
      <errorID>be595710-0e74-4185-915b-51d3f93be6ab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756FDE8</paraID>
      <start>27</start>
      <end>28</end>
      <status>unmodified</status>
      <modifiedWord/>
      <trackRevisions>false</trackRevisions>
    </reviewItem>
    <reviewItem>
      <errorID>44bfe3b6-0aa6-4695-b197-ceb9580ee7b1</errorID>
      <errorWord>&lt;</errorWord>
      <group>L1_Format</group>
      <groupName>格式问题</groupName>
      <ability>L2_HalfPunc_CN</ability>
      <abilityName/>
      <candidateList>
        <item>〈</item>
      </candidateList>
      <explain>文本全半角错误。</explain>
      <paraID>21657406</paraID>
      <start>24</start>
      <end>25</end>
      <status>unmodified</status>
      <modifiedWord/>
      <trackRevisions>false</trackRevisions>
    </reviewItem>
    <reviewItem>
      <errorID>a7db8e6d-1b3c-46af-9650-192ebb055c19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21657406</paraID>
      <start>44</start>
      <end>45</end>
      <status>unmodified</status>
      <modifiedWord/>
      <trackRevisions>false</trackRevisions>
    </reviewItem>
    <reviewItem>
      <errorID>0af8cc6d-2b40-445a-8394-ae7c20ad2804</errorID>
      <errorWord>&gt;</errorWord>
      <group>L1_Format</group>
      <groupName>格式问题</groupName>
      <ability>L2_HalfPunc_CN</ability>
      <abilityName/>
      <candidateList>
        <item>〉</item>
      </candidateList>
      <explain>文本全半角错误。</explain>
      <paraID>21657406</paraID>
      <start>62</start>
      <end>63</end>
      <status>unmodified</status>
      <modifiedWord/>
      <trackRevisions>false</trackRevisions>
    </reviewItem>
    <reviewItem>
      <errorID>79e3e29c-6011-410b-9138-fb305a7067f8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E15DD8F</paraID>
      <start>0</start>
      <end>2</end>
      <status>unmodified</status>
      <modifiedWord/>
      <trackRevisions>false</trackRevisions>
    </reviewItem>
    <reviewItem>
      <errorID>9451ec71-2a21-4721-9690-a3b5f1c7a535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751060FD</paraID>
      <start>20</start>
      <end>21</end>
      <status>unmodified</status>
      <modifiedWord/>
      <trackRevisions>false</trackRevisions>
    </reviewItem>
    <reviewItem>
      <errorID>1cce43a7-473b-4baf-a88c-b58d85d6a1a2</errorID>
      <errorWord>(</errorWord>
      <group>L1_Format</group>
      <groupName>格式问题</groupName>
      <ability>L2_HalfPunc_CN</ability>
      <abilityName/>
      <candidateList>
        <item>（</item>
      </candidateList>
      <explain>文本全半角错误。</explain>
      <paraID>5D23601A</paraID>
      <start>21</start>
      <end>22</end>
      <status>unmodified</status>
      <modifiedWord/>
      <trackRevisions>false</trackRevisions>
    </reviewItem>
    <reviewItem>
      <errorID>46aa6183-f813-41fd-99c9-b34406ca33d9</errorID>
      <errorWord>)</errorWord>
      <group>L1_Format</group>
      <groupName>格式问题</groupName>
      <ability>L2_HalfPunc_CN</ability>
      <abilityName/>
      <candidateList>
        <item>）</item>
      </candidateList>
      <explain>文本全半角错误。</explain>
      <paraID>5D23601A</paraID>
      <start>24</start>
      <end>25</end>
      <status>unmodified</status>
      <modifiedWord/>
      <trackRevisions>false</trackRevisions>
    </reviewItem>
    <reviewItem>
      <errorID>232d815c-4cf6-471e-b2fe-b6646d3e2d72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5D23601A</paraID>
      <start>99</start>
      <end>100</end>
      <status>unmodified</status>
      <modifiedWord/>
      <trackRevisions>false</trackRevisions>
    </reviewItem>
    <reviewItem>
      <errorID>6c5aa233-2df0-47be-b128-479ee4a3381c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393F2BFE</paraID>
      <start>0</start>
      <end>2</end>
      <status>unmodified</status>
      <modifiedWord/>
      <trackRevisions>false</trackRevisions>
    </reviewItem>
    <reviewItem>
      <errorID>602cc5fa-7382-4405-bf4f-681e712ab292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F136B95</paraID>
      <start>21</start>
      <end>22</end>
      <status>unmodified</status>
      <modifiedWord/>
      <trackRevisions>false</trackRevisions>
    </reviewItem>
    <reviewItem>
      <errorID>cbd8ffb8-2846-49ef-b11a-7f9bb9d7bd38</errorID>
      <errorWord>坚持绿色协调发展</errorWord>
      <group>L1_Political</group>
      <groupName>政治性问题</groupName>
      <ability>L2_Keyword</ability>
      <abilityName>固定表述</abilityName>
      <candidateList>
        <item>坚持绿色低碳发展</item>
      </candidateList>
      <explain>词汇“坚持绿色低碳发展”在特定场景下为固定表述形式，请确认此处的“坚持绿色协调发展”是否存在不当。</explain>
      <paraID>1697DBF7</paraID>
      <start>9</start>
      <end>17</end>
      <status>unmodified</status>
      <modifiedWord/>
      <trackRevisions>false</trackRevisions>
    </reviewItem>
    <reviewItem>
      <errorID>e6329611-277e-4493-9b74-2fcf11f17f3c</errorID>
      <errorWord>突发环境事件响应</errorWord>
      <group>L1_Political</group>
      <groupName>政治性问题</groupName>
      <ability>L2_Keyword</ability>
      <abilityName>固定表述</abilityName>
      <candidateList>
        <item>突发环境事件应急响应</item>
      </candidateList>
      <explain>词汇“突发环境事件应急响应”在特定场景下为固定表述形式，请确认此处的“突发环境事件响应”是否存在不当。</explain>
      <paraID>620F3D7E</paraID>
      <start>86</start>
      <end>94</end>
      <status>unmodified</status>
      <modifiedWord/>
      <trackRevisions>false</trackRevisions>
    </reviewItem>
    <reviewItem>
      <errorID>c0883e06-aa65-4e55-b3d9-a4b7bcd229f1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557201B</paraID>
      <start>0</start>
      <end>2</end>
      <status>unmodified</status>
      <modifiedWord/>
      <trackRevisions>false</trackRevisions>
    </reviewItem>
    <reviewItem>
      <errorID>db8cb3d7-3758-4c90-8a4b-534666862052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48D4DD0F</paraID>
      <start>0</start>
      <end>2</end>
      <status>unmodified</status>
      <modifiedWord/>
      <trackRevisions>false</trackRevisions>
    </reviewItem>
    <reviewItem>
      <errorID>5d3f9416-0f5b-4812-baa1-42386f136277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73281D0D</paraID>
      <start>0</start>
      <end>2</end>
      <status>unmodified</status>
      <modifiedWord/>
      <trackRevisions>false</trackRevisions>
    </reviewItem>
    <reviewItem>
      <errorID>dea76d26-734e-4757-aea4-c3013b49506a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5AFE4594</paraID>
      <start>0</start>
      <end>2</end>
      <status>unmodified</status>
      <modifiedWord/>
      <trackRevisions>false</trackRevisions>
    </reviewItem>
    <reviewItem>
      <errorID>840048d8-120e-496a-af0a-6ee985583da2</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36B34911</paraID>
      <start>49</start>
      <end>52</end>
      <status>unmodified</status>
      <modifiedWord/>
      <trackRevisions>false</trackRevisions>
    </reviewItem>
    <reviewItem>
      <errorID>c795358d-7353-4a76-8ea4-6eaad0c8377a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13CDF451</paraID>
      <start>0</start>
      <end>2</end>
      <status>unmodified</status>
      <modifiedWord/>
      <trackRevisions>false</trackRevisions>
    </reviewItem>
    <reviewItem>
      <errorID>0fa3531a-75f7-4f43-8582-7d6c0d3718bc</errorID>
      <errorWord>国家发改委</errorWord>
      <group>L1_Knowledge</group>
      <groupName>知识性问题</groupName>
      <ability>L2_Knowledge</ability>
      <abilityName>其他知识</abilityName>
      <candidateList>
        <item>国家发展改革委</item>
      </candidateList>
      <explain/>
      <paraID> F10F192</paraID>
      <start>8</start>
      <end>13</end>
      <status>unmodified</status>
      <modifiedWord/>
      <trackRevisions>false</trackRevisions>
    </reviewItem>
    <reviewItem>
      <errorID>f929431e-ee79-4ce7-aeb2-4ba2b698dd06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9EA9C62</paraID>
      <start>0</start>
      <end>2</end>
      <status>unmodified</status>
      <modifiedWord/>
      <trackRevisions>false</trackRevisions>
    </reviewItem>
    <reviewItem>
      <errorID>87389a63-7814-43d5-ae0c-93eef9af819f</errorID>
      <errorWord>(</errorWord>
      <group>L1_Format</group>
      <groupName>格式问题</groupName>
      <ability>L2_HalfPunc_CN</ability>
      <abilityName/>
      <candidateList>
        <item>（</item>
      </candidateList>
      <explain>文本全半角错误。</explain>
      <paraID>23787724</paraID>
      <start>50</start>
      <end>51</end>
      <status>unmodified</status>
      <modifiedWord/>
      <trackRevisions>false</trackRevisions>
    </reviewItem>
    <reviewItem>
      <errorID>b5904bc5-33ee-4fc3-872f-5cf7eefbcd1d</errorID>
      <errorWord>)</errorWord>
      <group>L1_Format</group>
      <groupName>格式问题</groupName>
      <ability>L2_HalfPunc_CN</ability>
      <abilityName/>
      <candidateList>
        <item>）</item>
      </candidateList>
      <explain>文本全半角错误。</explain>
      <paraID>23787724</paraID>
      <start>63</start>
      <end>64</end>
      <status>unmodified</status>
      <modifiedWord/>
      <trackRevisions>false</trackRevisions>
    </reviewItem>
    <reviewItem>
      <errorID>8d7b1ccf-0bf5-43fe-8b03-42d7cbbb0834</errorID>
      <errorWord>上线</errorWord>
      <group>L1_Word</group>
      <groupName>字词问题</groupName>
      <ability>L2_Typo</ability>
      <abilityName>字词错误</abilityName>
      <candidateList>
        <item>上限</item>
      </candidateList>
      <explain/>
      <paraID>7A289107</paraID>
      <start>185</start>
      <end>187</end>
      <status>unmodified</status>
      <modifiedWord/>
      <trackRevisions>false</trackRevisions>
    </reviewItem>
    <reviewItem>
      <errorID>24a599de-748d-482d-b6c5-e6d86b2ac468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4640DAF1</paraID>
      <start>25</start>
      <end>26</end>
      <status>unmodified</status>
      <modifiedWord/>
      <trackRevisions>false</trackRevisions>
    </reviewItem>
    <reviewItem>
      <errorID>df5bfe98-36a2-4f38-ac2a-d9627d0862f4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146ABA96</paraID>
      <start>0</start>
      <end>2</end>
      <status>unmodified</status>
      <modifiedWord/>
      <trackRevisions>false</trackRevisions>
    </reviewItem>
    <reviewItem>
      <errorID>d800d088-65ae-41c2-9f1a-de4ca030c718</errorID>
      <errorWord>[2020]38号</errorWord>
      <group>L1_Knowledge</group>
      <groupName>知识性问题</groupName>
      <ability>L2_Knowledge</ability>
      <abilityName>其他知识</abilityName>
      <candidateList>
        <item>〔2020〕38号</item>
      </candidateList>
      <explain>发文字号格式错误。</explain>
      <paraID>45C69B29</paraID>
      <start>31</start>
      <end>40</end>
      <status>unmodified</status>
      <modifiedWord/>
      <trackRevisions>false</trackRevisions>
    </reviewItem>
    <reviewItem>
      <errorID>989cf47b-5691-4619-b80f-72a3bb6cd0f8</errorID>
      <errorWord>[2024]36号</errorWord>
      <group>L1_Knowledge</group>
      <groupName>知识性问题</groupName>
      <ability>L2_Knowledge</ability>
      <abilityName>其他知识</abilityName>
      <candidateList>
        <item>〔2024〕36号</item>
      </candidateList>
      <explain>发文字号格式错误。</explain>
      <paraID>130500FF</paraID>
      <start>24</start>
      <end>33</end>
      <status>unmodified</status>
      <modifiedWord/>
      <trackRevisions>false</trackRevisions>
    </reviewItem>
    <reviewItem>
      <errorID>ee523119-4e7d-4d8e-b4d9-e714a9523e30</errorID>
      <errorWord>[2024]36号</errorWord>
      <group>L1_Knowledge</group>
      <groupName>知识性问题</groupName>
      <ability>L2_Knowledge</ability>
      <abilityName>其他知识</abilityName>
      <candidateList>
        <item>〔2024〕36号</item>
      </candidateList>
      <explain>发文字号格式错误。</explain>
      <paraID>46D34915</paraID>
      <start>26</start>
      <end>35</end>
      <status>unmodified</status>
      <modifiedWord/>
      <trackRevisions>false</trackRevisions>
    </reviewItem>
    <reviewItem>
      <errorID>3c5dea06-eb84-4cd6-b121-96902f34ba11</errorID>
      <errorWord>[2024]36号</errorWord>
      <group>L1_Knowledge</group>
      <groupName>知识性问题</groupName>
      <ability>L2_Knowledge</ability>
      <abilityName>其他知识</abilityName>
      <candidateList>
        <item>〔2024〕36号</item>
      </candidateList>
      <explain>发文字号格式错误。</explain>
      <paraID>5306C6F5</paraID>
      <start>30</start>
      <end>39</end>
      <status>unmodified</status>
      <modifiedWord/>
      <trackRevisions>false</trackRevisions>
    </reviewItem>
    <reviewItem>
      <errorID>5b60c46a-5532-414f-ba95-658d0782970b</errorID>
      <errorWord>[2021]07号</errorWord>
      <group>L1_Knowledge</group>
      <groupName>知识性问题</groupName>
      <ability>L2_Knowledge</ability>
      <abilityName>其他知识</abilityName>
      <candidateList>
        <item>〔2021〕7号</item>
      </candidateList>
      <explain>发文字号格式错误。</explain>
      <paraID>69D2AA24</paraID>
      <start>14</start>
      <end>23</end>
      <status>unmodified</status>
      <modifiedWord/>
      <trackRevisions>false</trackRevisions>
    </reviewItem>
    <reviewItem>
      <errorID>48806eaf-a8e6-4103-a54f-0837e21cf033</errorID>
      <errorWord>（</errorWord>
      <group>L1_Format</group>
      <groupName>格式问题</groupName>
      <ability>L2_HalfPunc_CN</ability>
      <abilityName/>
      <candidateList>
        <item>(</item>
      </candidateList>
      <explain>文本全半角错误。</explain>
      <paraID>327062B8</paraID>
      <start>0</start>
      <end>1</end>
      <status>unmodified</status>
      <modifiedWord/>
      <trackRevisions>false</trackRevisions>
    </reviewItem>
    <reviewItem>
      <errorID>ae7e0d0a-14b0-4c79-9db6-92bb29592d9d</errorID>
      <errorWord>）</errorWord>
      <group>L1_Format</group>
      <groupName>格式问题</groupName>
      <ability>L2_HalfPunc_CN</ability>
      <abilityName/>
      <candidateList>
        <item>)</item>
      </candidateList>
      <explain>文本全半角错误。</explain>
      <paraID>327062B8</paraID>
      <start>5</start>
      <end>6</end>
      <status>unmodified</status>
      <modifiedWord/>
      <trackRevisions>false</trackRevisions>
    </reviewItem>
    <reviewItem>
      <errorID>4ffe456f-59c8-4305-95fb-a2af2f920ae4</errorID>
      <errorWord>融铸</errorWord>
      <group>L1_Word</group>
      <groupName>字词问题</groupName>
      <ability>L2_Typo</ability>
      <abilityName>字词错误</abilityName>
      <candidateList>
        <item>熔铸</item>
      </candidateList>
      <explain/>
      <paraID>46FBE094</paraID>
      <start>0</start>
      <end>2</end>
      <status>unmodified</status>
      <modifiedWord/>
      <trackRevisions>false</trackRevisions>
    </reviewItem>
    <reviewItem>
      <errorID>95fc9612-9a89-4d23-b078-1b97e86df343</errorID>
      <errorWord>融铸</errorWord>
      <group>L1_Word</group>
      <groupName>字词问题</groupName>
      <ability>L2_Typo</ability>
      <abilityName>字词错误</abilityName>
      <candidateList>
        <item>熔铸</item>
      </candidateList>
      <explain/>
      <paraID>414AB021</paraID>
      <start>0</start>
      <end>2</end>
      <status>unmodified</status>
      <modifiedWord/>
      <trackRevisions>false</trackRevisions>
    </reviewItem>
    <reviewItem>
      <errorID>4fe129c3-0740-4fef-99fa-1d5c57b1ac66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7A921A20</paraID>
      <start>0</start>
      <end>2</end>
      <status>unmodified</status>
      <modifiedWord/>
      <trackRevisions>false</trackRevisions>
    </reviewItem>
    <reviewItem>
      <errorID>74be7e83-834f-413f-b29b-3082e069311f</errorID>
      <errorWord>(</errorWord>
      <group>L1_Format</group>
      <groupName>格式问题</groupName>
      <ability>L2_HalfPunc_CN</ability>
      <abilityName/>
      <candidateList>
        <item>（</item>
      </candidateList>
      <explain>文本全半角错误。</explain>
      <paraID>7A921A20</paraID>
      <start>18</start>
      <end>19</end>
      <status>unmodified</status>
      <modifiedWord/>
      <trackRevisions>false</trackRevisions>
    </reviewItem>
    <reviewItem>
      <errorID>eb5b9082-0218-4896-baae-23023f54f4c7</errorID>
      <errorWord>)</errorWord>
      <group>L1_Format</group>
      <groupName>格式问题</groupName>
      <ability>L2_HalfPunc_CN</ability>
      <abilityName/>
      <candidateList>
        <item>）</item>
      </candidateList>
      <explain>文本全半角错误。</explain>
      <paraID>7A921A20</paraID>
      <start>31</start>
      <end>32</end>
      <status>unmodified</status>
      <modifiedWord/>
      <trackRevisions>false</trackRevisions>
    </reviewItem>
    <reviewItem>
      <errorID>c2161dcf-b849-4be8-ab69-8b07f60dcf94</errorID>
      <errorWord>(</errorWord>
      <group>L1_Format</group>
      <groupName>格式问题</groupName>
      <ability>L2_HalfPunc_CN</ability>
      <abilityName/>
      <candidateList>
        <item>（</item>
      </candidateList>
      <explain>文本全半角错误。</explain>
      <paraID>28453F96</paraID>
      <start>16</start>
      <end>17</end>
      <status>unmodified</status>
      <modifiedWord/>
      <trackRevisions>false</trackRevisions>
    </reviewItem>
    <reviewItem>
      <errorID>396002f3-53bc-4dd1-b94b-1fc9d3f1119d</errorID>
      <errorWord>)</errorWord>
      <group>L1_Format</group>
      <groupName>格式问题</groupName>
      <ability>L2_HalfPunc_CN</ability>
      <abilityName/>
      <candidateList>
        <item>）</item>
      </candidateList>
      <explain>文本全半角错误。</explain>
      <paraID>28453F96</paraID>
      <start>29</start>
      <end>30</end>
      <status>unmodified</status>
      <modifiedWord/>
      <trackRevisions>false</trackRevisions>
    </reviewItem>
    <reviewItem>
      <errorID>ac2bec91-8e6e-4c95-8007-3579a4ac053a</errorID>
      <errorWord>(</errorWord>
      <group>L1_Format</group>
      <groupName>格式问题</groupName>
      <ability>L2_HalfPunc_CN</ability>
      <abilityName/>
      <candidateList>
        <item>（</item>
      </candidateList>
      <explain>文本全半角错误。</explain>
      <paraID>1F32FF7E</paraID>
      <start>59</start>
      <end>60</end>
      <status>unmodified</status>
      <modifiedWord/>
      <trackRevisions>false</trackRevisions>
    </reviewItem>
    <reviewItem>
      <errorID>53527937-7c78-413d-bac1-0692bb951114</errorID>
      <errorWord>)</errorWord>
      <group>L1_Format</group>
      <groupName>格式问题</groupName>
      <ability>L2_HalfPunc_CN</ability>
      <abilityName/>
      <candidateList>
        <item>）</item>
      </candidateList>
      <explain>文本全半角错误。</explain>
      <paraID>1F32FF7E</paraID>
      <start>72</start>
      <end>73</end>
      <status>unmodified</status>
      <modifiedWord/>
      <trackRevisions>false</trackRevisions>
    </reviewItem>
    <reviewItem>
      <errorID>bee3eaa6-1472-48cd-ab3e-5bd5fe1c9d0b</errorID>
      <errorWord>:</errorWord>
      <group>L1_Format</group>
      <groupName>格式问题</groupName>
      <ability>L2_HalfPunc_CN</ability>
      <abilityName/>
      <candidateList>
        <item>：</item>
      </candidateList>
      <explain>文本全半角错误。</explain>
      <paraID>640E836B</paraID>
      <start>67</start>
      <end>68</end>
      <status>unmodified</status>
      <modifiedWord/>
      <trackRevisions>false</trackRevisions>
    </reviewItem>
    <reviewItem>
      <errorID>ad34b5c3-b374-4f98-8921-d16177e8f03b</errorID>
      <errorWord>源国</errorWord>
      <group>L1_Word</group>
      <groupName>字词问题</groupName>
      <ability>L2_Typo</ability>
      <abilityName>字词错误</abilityName>
      <candidateList>
        <item>源</item>
      </candidateList>
      <explain/>
      <paraID>5C42077A</paraID>
      <start>80</start>
      <end>82</end>
      <status>unmodified</status>
      <modifiedWord/>
      <trackRevisions>false</trackRevisions>
    </reviewItem>
    <reviewItem>
      <errorID>28d69eb9-c773-4e49-bbd2-3877bb5eb3bd</errorID>
      <errorWord>~</errorWord>
      <group>L1_Format</group>
      <groupName>格式问题</groupName>
      <ability>L2_HalfPunc_CN</ability>
      <abilityName/>
      <candidateList>
        <item>～</item>
      </candidateList>
      <explain>文本全半角错误。</explain>
      <paraID>5C42077A</paraID>
      <start>86</start>
      <end>87</end>
      <status>unmodified</status>
      <modifiedWord/>
      <trackRevisions>false</trackRevisions>
    </reviewItem>
    <reviewItem>
      <errorID>34731e90-49ea-438e-9c3e-aea0725b090d</errorID>
      <errorWord>[2025]</errorWord>
      <group>L1_Punc</group>
      <groupName>标点问题</groupName>
      <ability>L2_Punc_CN</ability>
      <abilityName/>
      <candidateList>
        <item>〔2025〕</item>
      </candidateList>
      <explain/>
      <paraID>220ABBFB</paraID>
      <start>98</start>
      <end>104</end>
      <status>unmodified</status>
      <modifiedWord/>
      <trackRevisions>false</trackRevisions>
    </reviewItem>
    <reviewItem>
      <errorID>bb721916-824e-41e6-93c6-fb45ca5961d3</errorID>
      <errorWord>）</errorWord>
      <group>L1_Punc</group>
      <groupName>标点问题</groupName>
      <ability>L2_Punc_CN</ability>
      <abilityName/>
      <candidateList/>
      <explain>此处标点可能未正确匹配，请检查句子中是否存在标点冗余、缺失或使用错误的情况。</explain>
      <paraID>220ABBFB</paraID>
      <start>108</start>
      <end>109</end>
      <status>unmodified</status>
      <modifiedWord/>
      <trackRevisions>false</trackRevisions>
    </reviewItem>
    <reviewItem>
      <errorID>a0bc5706-2693-483d-a314-8152b9f01a4c</errorID>
      <errorWord>[2026]06号</errorWord>
      <group>L1_Knowledge</group>
      <groupName>知识性问题</groupName>
      <ability>L2_Knowledge</ability>
      <abilityName>其他知识</abilityName>
      <candidateList>
        <item>〔2026〕6号</item>
      </candidateList>
      <explain>发文字号格式错误。</explain>
      <paraID>220ABBFB</paraID>
      <start>144</start>
      <end>153</end>
      <status>unmodified</status>
      <modifiedWord/>
      <trackRevisions>false</trackRevisions>
    </reviewItem>
    <reviewItem>
      <errorID>782a55ee-9413-4b55-b8f6-8ea3e6cce3f3</errorID>
      <errorWord>:</errorWord>
      <group>L1_Format</group>
      <groupName>格式问题</groupName>
      <ability>L2_HalfPunc_CN</ability>
      <abilityName/>
      <candidateList>
        <item>：</item>
      </candidateList>
      <explain>文本全半角错误。</explain>
      <paraID>5D198864</paraID>
      <start>13</start>
      <end>14</end>
      <status>unmodified</status>
      <modifiedWord/>
      <trackRevisions>false</trackRevisions>
    </reviewItem>
    <reviewItem>
      <errorID>f74f1dfc-cba0-4dc4-8d0f-ba336a54d6ec</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DBBDA37</paraID>
      <start>0</start>
      <end>2</end>
      <status>unmodified</status>
      <modifiedWord/>
      <trackRevisions>false</trackRevisions>
    </reviewItem>
    <reviewItem>
      <errorID>72e22ba9-b7f3-49f1-a8d6-3b82d63d7d5f</errorID>
      <errorWord>;</errorWord>
      <group>L1_Format</group>
      <groupName>格式问题</groupName>
      <ability>L2_HalfPunc_CN</ability>
      <abilityName/>
      <candidateList>
        <item>；</item>
      </candidateList>
      <explain>文本全半角错误。</explain>
      <paraID> DBBDA37</paraID>
      <start>27</start>
      <end>28</end>
      <status>unmodified</status>
      <modifiedWord/>
      <trackRevisions>false</trackRevisions>
    </reviewItem>
    <reviewItem>
      <errorID>62c303d6-584d-4420-8a2b-4fcd09b39180</errorID>
      <errorWord>)</errorWord>
      <group>L1_Format</group>
      <groupName>格式问题</groupName>
      <ability>L2_HalfPunc_CN</ability>
      <abilityName/>
      <candidateList>
        <item>）</item>
      </candidateList>
      <explain>文本全半角错误。</explain>
      <paraID> DBBDA37</paraID>
      <start>29</start>
      <end>30</end>
      <status>unmodified</status>
      <modifiedWord/>
      <trackRevisions>false</trackRevisions>
    </reviewItem>
    <reviewItem>
      <errorID>ec52d1fb-b183-4f16-912a-5c71fb790d48</errorID>
      <errorWord>)</errorWord>
      <group>L1_Format</group>
      <groupName>格式问题</groupName>
      <ability>L2_HalfPunc_CN</ability>
      <abilityName/>
      <candidateList>
        <item>）</item>
      </candidateList>
      <explain>文本全半角错误。</explain>
      <paraID> DBBDA37</paraID>
      <start>111</start>
      <end>112</end>
      <status>unmodified</status>
      <modifiedWord/>
      <trackRevisions>false</trackRevisions>
    </reviewItem>
    <reviewItem>
      <errorID>4e22d347-d3b5-4150-bd38-4a177414b1c6</errorID>
      <errorWord>)</errorWord>
      <group>L1_Format</group>
      <groupName>格式问题</groupName>
      <ability>L2_HalfPunc_CN</ability>
      <abilityName/>
      <candidateList>
        <item>）</item>
      </candidateList>
      <explain>文本全半角错误。</explain>
      <paraID> DBBDA37</paraID>
      <start>160</start>
      <end>161</end>
      <status>unmodified</status>
      <modifiedWord/>
      <trackRevisions>false</trackRevisions>
    </reviewItem>
    <reviewItem>
      <errorID>753d56bc-5b64-4fcb-b35f-d5e379a987f7</errorID>
      <errorWord>:</errorWord>
      <group>L1_Format</group>
      <groupName>格式问题</groupName>
      <ability>L2_HalfPunc_CN</ability>
      <abilityName/>
      <candidateList>
        <item>：</item>
      </candidateList>
      <explain>文本全半角错误。</explain>
      <paraID>7F14DAB0</paraID>
      <start>14</start>
      <end>15</end>
      <status>unmodified</status>
      <modifiedWord/>
      <trackRevisions>false</trackRevisions>
    </reviewItem>
    <reviewItem>
      <errorID>2aae170f-d069-46a3-974e-c64ad5c791bf</errorID>
      <errorWord>;</errorWord>
      <group>L1_Format</group>
      <groupName>格式问题</groupName>
      <ability>L2_HalfPunc_CN</ability>
      <abilityName/>
      <candidateList>
        <item>；</item>
      </candidateList>
      <explain>文本全半角错误。</explain>
      <paraID> 715C6E2</paraID>
      <start>26</start>
      <end>27</end>
      <status>unmodified</status>
      <modifiedWord/>
      <trackRevisions>false</trackRevisions>
    </reviewItem>
    <reviewItem>
      <errorID>536b75db-fdfa-45e4-a3c5-9dd3ac326f64</errorID>
      <errorWord>;</errorWord>
      <group>L1_Format</group>
      <groupName>格式问题</groupName>
      <ability>L2_HalfPunc_CN</ability>
      <abilityName/>
      <candidateList>
        <item>；</item>
      </candidateList>
      <explain>文本全半角错误。</explain>
      <paraID>3C3C288C</paraID>
      <start>21</start>
      <end>22</end>
      <status>unmodified</status>
      <modifiedWord/>
      <trackRevisions>false</trackRevisions>
    </reviewItem>
    <reviewItem>
      <errorID>d7860fc6-ade2-4ed1-8022-46fb481456ea</errorID>
      <errorWord>;</errorWord>
      <group>L1_Format</group>
      <groupName>格式问题</groupName>
      <ability>L2_HalfPunc_CN</ability>
      <abilityName/>
      <candidateList>
        <item>；</item>
      </candidateList>
      <explain>文本全半角错误。</explain>
      <paraID>7AEF29E0</paraID>
      <start>21</start>
      <end>22</end>
      <status>unmodified</status>
      <modifiedWord/>
      <trackRevisions>false</trackRevisions>
    </reviewItem>
    <reviewItem>
      <errorID>7d5df515-b1d5-4fa4-86a0-62e8e9b8e154</errorID>
      <errorWord>;</errorWord>
      <group>L1_Format</group>
      <groupName>格式问题</groupName>
      <ability>L2_HalfPunc_CN</ability>
      <abilityName/>
      <candidateList>
        <item>；</item>
      </candidateList>
      <explain>文本全半角错误。</explain>
      <paraID>7172E37E</paraID>
      <start>15</start>
      <end>16</end>
      <status>unmodified</status>
      <modifiedWord/>
      <trackRevisions>false</trackRevisions>
    </reviewItem>
    <reviewItem>
      <errorID>aa126333-9623-4990-9aba-c32dcfda5231</errorID>
      <errorWord>:</errorWord>
      <group>L1_Format</group>
      <groupName>格式问题</groupName>
      <ability>L2_HalfPunc_CN</ability>
      <abilityName/>
      <candidateList>
        <item>：</item>
      </candidateList>
      <explain>文本全半角错误。</explain>
      <paraID>502D465B</paraID>
      <start>20</start>
      <end>21</end>
      <status>unmodified</status>
      <modifiedWord/>
      <trackRevisions>false</trackRevisions>
    </reviewItem>
    <reviewItem>
      <errorID>47db4623-2b4a-4c42-a615-c1d974cd9358</errorID>
      <errorWord>;；</errorWord>
      <group>L1_Punc</group>
      <groupName>标点问题</groupName>
      <ability>L2_Punc_CN</ability>
      <abilityName/>
      <candidateList>
        <item>;</item>
      </candidateList>
      <explain/>
      <paraID>17D209CB</paraID>
      <start>31</start>
      <end>33</end>
      <status>unmodified</status>
      <modifiedWord/>
      <trackRevisions>false</trackRevisions>
    </reviewItem>
    <reviewItem>
      <errorID>bd23d327-8776-4eb6-983d-c37b73ecd22d</errorID>
      <errorWord>设</errorWord>
      <group>L1_Word</group>
      <groupName>字词问题</groupName>
      <ability>L2_Typo</ability>
      <abilityName>字词错误</abilityName>
      <candidateList>
        <item>设置</item>
      </candidateList>
      <explain>〈动〉❶设立：这座剧院是为儿童～的。❷安放；安装：～障碍。</explain>
      <paraID>798EEF7C</paraID>
      <start>6</start>
      <end>7</end>
      <status>unmodified</status>
      <modifiedWord/>
      <trackRevisions>false</trackRevisions>
    </reviewItem>
    <reviewItem>
      <errorID>eed9f93d-6539-4c87-b618-6f474b92e05b</errorID>
      <errorWord>(</errorWord>
      <group>L1_Format</group>
      <groupName>格式问题</groupName>
      <ability>L2_HalfPunc_CN</ability>
      <abilityName/>
      <candidateList>
        <item>（</item>
      </candidateList>
      <explain>文本全半角错误。</explain>
      <paraID>1713393B</paraID>
      <start>65</start>
      <end>66</end>
      <status>unmodified</status>
      <modifiedWord/>
      <trackRevisions>false</trackRevisions>
    </reviewItem>
    <reviewItem>
      <errorID>1aaf0f4b-ddea-4eef-bf8a-d2df83224066</errorID>
      <errorWord>)</errorWord>
      <group>L1_Format</group>
      <groupName>格式问题</groupName>
      <ability>L2_HalfPunc_CN</ability>
      <abilityName/>
      <candidateList>
        <item>）</item>
      </candidateList>
      <explain>文本全半角错误。</explain>
      <paraID>1713393B</paraID>
      <start>87</start>
      <end>88</end>
      <status>unmodified</status>
      <modifiedWord/>
      <trackRevisions>false</trackRevisions>
    </reviewItem>
    <reviewItem>
      <errorID>310fd46c-3b81-497e-8336-59606860c5b2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493AA8BF</paraID>
      <start>0</start>
      <end>2</end>
      <status>unmodified</status>
      <modifiedWord/>
      <trackRevisions>false</trackRevisions>
    </reviewItem>
    <reviewItem>
      <errorID>a0cd870d-bfbb-4fd8-8415-1717643256e2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40E5B5A</paraID>
      <start>0</start>
      <end>2</end>
      <status>unmodified</status>
      <modifiedWord/>
      <trackRevisions>false</trackRevisions>
    </reviewItem>
    <reviewItem>
      <errorID>9a20e797-ac9b-41ed-b352-002415ebc437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503C1B5B</paraID>
      <start>0</start>
      <end>2</end>
      <status>unmodified</status>
      <modifiedWord/>
      <trackRevisions>false</trackRevisions>
    </reviewItem>
    <reviewItem>
      <errorID>25ff1558-1cce-4a3e-8fa3-3f0990d9362e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271D9D85</paraID>
      <start>0</start>
      <end>2</end>
      <status>unmodified</status>
      <modifiedWord/>
      <trackRevisions>false</trackRevisions>
    </reviewItem>
    <reviewItem>
      <errorID>f77c2a71-2e45-40d7-bd27-edac8ccd76cc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107DE1CF</paraID>
      <start>0</start>
      <end>2</end>
      <status>unmodified</status>
      <modifiedWord/>
      <trackRevisions>false</trackRevisions>
    </reviewItem>
    <reviewItem>
      <errorID>3ba60074-4517-4b2a-a128-26d9de3c1a95</errorID>
      <errorWord>《建筑施工噪声排放标准(GB12523-2025)》</errorWord>
      <group>L1_Knowledge</group>
      <groupName>知识性问题</groupName>
      <ability>L2_Knowledge</ability>
      <abilityName>其他知识</abilityName>
      <candidateList>
        <item>《建筑施工噪声排放标准》(GB12523-2025)</item>
      </candidateList>
      <explain>疑似政策文件、法律法规名称等书写不规范，请注意检查。</explain>
      <paraID>1E8BFD47</paraID>
      <start>10</start>
      <end>36</end>
      <status>unmodified</status>
      <modifiedWord/>
      <trackRevisions>false</trackRevisions>
    </reviewItem>
    <reviewItem>
      <errorID>ef1d6e39-c2eb-4fa1-bd22-f27367f800bb</errorID>
      <errorWord>)</errorWord>
      <group>L1_Format</group>
      <groupName>格式问题</groupName>
      <ability>L2_HalfPunc_CN</ability>
      <abilityName/>
      <candidateList>
        <item>）</item>
      </candidateList>
      <explain>文本全半角错误。</explain>
      <paraID>1E8BFD47</paraID>
      <start>45</start>
      <end>46</end>
      <status>unmodified</status>
      <modifiedWord/>
      <trackRevisions>false</trackRevisions>
    </reviewItem>
    <reviewItem>
      <errorID>bb1b0d50-1d30-4e3e-a12b-c8cf42c9a5cb</errorID>
      <errorWord>:</errorWord>
      <group>L1_Format</group>
      <groupName>格式问题</groupName>
      <ability>L2_HalfPunc_CN</ability>
      <abilityName/>
      <candidateList>
        <item>：</item>
      </candidateList>
      <explain>文本全半角错误。</explain>
      <paraID> A3F33D9</paraID>
      <start>90</start>
      <end>91</end>
      <status>unmodified</status>
      <modifiedWord/>
      <trackRevisions>false</trackRevisions>
    </reviewItem>
    <reviewItem>
      <errorID>ec025bc1-fcb9-4a89-a4e7-d320a6933fc2</errorID>
      <errorWord>不降</errorWord>
      <group>L1_Word</group>
      <groupName>字词问题</groupName>
      <ability>L2_Typo</ability>
      <abilityName>字词错误</abilityName>
      <candidateList>
        <item>下降</item>
      </candidateList>
      <explain/>
      <paraID>2BD5D2D4</paraID>
      <start>19</start>
      <end>21</end>
      <status>unmodified</status>
      <modifiedWord/>
      <trackRevisions>false</trackRevisions>
    </reviewItem>
    <reviewItem>
      <errorID>3d72330a-2d51-481d-ad0d-8437527d5d06</errorID>
      <errorWord>小</errorWord>
      <group>L1_Word</group>
      <groupName>字词问题</groupName>
      <ability>L2_Typo</ability>
      <abilityName>字词错误</abilityName>
      <candidateList>
        <item>少</item>
      </candidateList>
      <explain/>
      <paraID>560042BD</paraID>
      <start>59</start>
      <end>60</end>
      <status>unmodified</status>
      <modifiedWord/>
      <trackRevisions>false</trackRevisions>
    </reviewItem>
    <reviewItem>
      <errorID>1298016f-5e37-487e-ba3d-fe9d2f60411e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7BA7CCDD</paraID>
      <start>68</start>
      <end>69</end>
      <status>unmodified</status>
      <modifiedWord/>
      <trackRevisions>false</trackRevisions>
    </reviewItem>
    <reviewItem>
      <errorID>e08f0852-1399-45f8-9192-617c6d8aa2a5</errorID>
      <errorWord>，</errorWord>
      <group>L1_Word</group>
      <groupName>字词问题</groupName>
      <ability>L2_Typo</ability>
      <abilityName>字词错误</abilityName>
      <candidateList>
        <item>，以</item>
      </candidateList>
      <explain/>
      <paraID>52147729</paraID>
      <start>43</start>
      <end>44</end>
      <status>unmodified</status>
      <modifiedWord/>
      <trackRevisions>false</trackRevisions>
    </reviewItem>
    <reviewItem>
      <errorID>8d51a9b2-e41e-45ca-9181-857fc79a6702</errorID>
      <errorWord>IV类</errorWord>
      <group>L1_Knowledge</group>
      <groupName>知识性问题</groupName>
      <ability>L2_Knowledge</ability>
      <abilityName>其他知识</abilityName>
      <candidateList>
        <item>Ⅳ类</item>
      </candidateList>
      <explain/>
      <paraID>3FDEF15A</paraID>
      <start>83</start>
      <end>86</end>
      <status>unmodified</status>
      <modifiedWord/>
      <trackRevisions>false</trackRevisions>
    </reviewItem>
    <reviewItem>
      <errorID>5b6de3d4-d6f4-4894-aa21-d81e0a93148c</errorID>
      <errorWord>况</errorWord>
      <group>L1_Word</group>
      <groupName>字词问题</groupName>
      <ability>L2_Typo</ability>
      <abilityName>字词错误</abilityName>
      <candidateList>
        <item>况为</item>
      </candidateList>
      <explain/>
      <paraID> 6235E42</paraID>
      <start>56</start>
      <end>57</end>
      <status>unmodified</status>
      <modifiedWord/>
      <trackRevisions>false</trackRevisions>
    </reviewItem>
    <reviewItem>
      <errorID>261ac56a-a9ed-416b-87f5-f317e6f61423</errorID>
      <errorWord>IV类</errorWord>
      <group>L1_Knowledge</group>
      <groupName>知识性问题</groupName>
      <ability>L2_Knowledge</ability>
      <abilityName>其他知识</abilityName>
      <candidateList>
        <item>Ⅳ类</item>
      </candidateList>
      <explain/>
      <paraID>5129FE58</paraID>
      <start>36</start>
      <end>39</end>
      <status>unmodified</status>
      <modifiedWord/>
      <trackRevisions>false</trackRevisions>
    </reviewItem>
    <reviewItem>
      <errorID>1dc11f64-06d9-48c5-9688-42d41bad8a83</errorID>
      <errorWord>)</errorWord>
      <group>L1_Format</group>
      <groupName>格式问题</groupName>
      <ability>L2_HalfPunc_CN</ability>
      <abilityName/>
      <candidateList>
        <item>）</item>
      </candidateList>
      <explain>文本全半角错误。</explain>
      <paraID>57E4CE12</paraID>
      <start>50</start>
      <end>51</end>
      <status>unmodified</status>
      <modifiedWord/>
      <trackRevisions>false</trackRevisions>
    </reviewItem>
    <reviewItem>
      <errorID>fa29d9a4-cdd5-4c55-810d-e0b9179c5b52</errorID>
      <errorWord>)</errorWord>
      <group>L1_Format</group>
      <groupName>格式问题</groupName>
      <ability>L2_HalfPunc_CN</ability>
      <abilityName/>
      <candidateList>
        <item>）</item>
      </candidateList>
      <explain>文本全半角错误。</explain>
      <paraID>57E4CE12</paraID>
      <start>61</start>
      <end>62</end>
      <status>unmodified</status>
      <modifiedWord/>
      <trackRevisions>false</trackRevisions>
    </reviewItem>
    <reviewItem>
      <errorID>1ba069b3-af64-4cbd-bccd-0c4e770cfe33</errorID>
      <errorWord>IV类</errorWord>
      <group>L1_Knowledge</group>
      <groupName>知识性问题</groupName>
      <ability>L2_Knowledge</ability>
      <abilityName>其他知识</abilityName>
      <candidateList>
        <item>Ⅳ类</item>
      </candidateList>
      <explain/>
      <paraID>71744214</paraID>
      <start>25</start>
      <end>28</end>
      <status>unmodified</status>
      <modifiedWord/>
      <trackRevisions>false</trackRevisions>
    </reviewItem>
    <reviewItem>
      <errorID>49439655-dcf2-4d50-8f8d-c8b68d948188</errorID>
      <errorWord>程</errorWord>
      <group>L1_Word</group>
      <groupName>字词问题</groupName>
      <ability>L2_Typo</ability>
      <abilityName>字词错误</abilityName>
      <candidateList>
        <item>程中</item>
      </candidateList>
      <explain/>
      <paraID>48D59D2E</paraID>
      <start>5</start>
      <end>6</end>
      <status>unmodified</status>
      <modifiedWord/>
      <trackRevisions>false</trackRevisions>
    </reviewItem>
    <reviewItem>
      <errorID>46735b7d-46aa-4ea2-b5aa-e069a3167822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32DD00DD</paraID>
      <start>144</start>
      <end>145</end>
      <status>unmodified</status>
      <modifiedWord/>
      <trackRevisions>false</trackRevisions>
    </reviewItem>
    <reviewItem>
      <errorID>b1e1b714-5d0b-4bc9-8240-bc979e710ae0</errorID>
      <errorWord>程</errorWord>
      <group>L1_Word</group>
      <groupName>字词问题</groupName>
      <ability>L2_Typo</ability>
      <abilityName>字词错误</abilityName>
      <candidateList>
        <item>程中</item>
      </candidateList>
      <explain/>
      <paraID>6EE85789</paraID>
      <start>6</start>
      <end>7</end>
      <status>unmodified</status>
      <modifiedWord/>
      <trackRevisions>false</trackRevisions>
    </reviewItem>
    <reviewItem>
      <errorID>b0f35008-8c81-467e-823c-c739151aa06a</errorID>
      <errorWord>)</errorWord>
      <group>L1_Format</group>
      <groupName>格式问题</groupName>
      <ability>L2_HalfPunc_CN</ability>
      <abilityName/>
      <candidateList>
        <item>）</item>
      </candidateList>
      <explain>文本全半角错误。</explain>
      <paraID>2F70C4F3</paraID>
      <start>60</start>
      <end>61</end>
      <status>unmodified</status>
      <modifiedWord/>
      <trackRevisions>false</trackRevisions>
    </reviewItem>
    <reviewItem>
      <errorID>cb7aad5c-6ffe-42b3-862e-883da5235ff9</errorID>
      <errorWord>)</errorWord>
      <group>L1_Format</group>
      <groupName>格式问题</groupName>
      <ability>L2_HalfPunc_CN</ability>
      <abilityName/>
      <candidateList>
        <item>）</item>
      </candidateList>
      <explain>文本全半角错误。</explain>
      <paraID>2F70C4F3</paraID>
      <start>70</start>
      <end>71</end>
      <status>unmodified</status>
      <modifiedWord/>
      <trackRevisions>false</trackRevisions>
    </reviewItem>
    <reviewItem>
      <errorID>c3709835-8422-44a7-aba0-3f37c8a17a8d</errorID>
      <errorWord>)</errorWord>
      <group>L1_Format</group>
      <groupName>格式问题</groupName>
      <ability>L2_HalfPunc_CN</ability>
      <abilityName/>
      <candidateList>
        <item>）</item>
      </candidateList>
      <explain>文本全半角错误。</explain>
      <paraID>671A2092</paraID>
      <start>83</start>
      <end>84</end>
      <status>unmodified</status>
      <modifiedWord/>
      <trackRevisions>false</trackRevisions>
    </reviewItem>
    <reviewItem>
      <errorID>fd91ed7e-34be-4af2-b23a-3f1ede6777d4</errorID>
      <errorWord>)</errorWord>
      <group>L1_Format</group>
      <groupName>格式问题</groupName>
      <ability>L2_HalfPunc_CN</ability>
      <abilityName/>
      <candidateList>
        <item>）</item>
      </candidateList>
      <explain>文本全半角错误。</explain>
      <paraID>671A2092</paraID>
      <start>101</start>
      <end>102</end>
      <status>unmodified</status>
      <modifiedWord/>
      <trackRevisions>false</trackRevisions>
    </reviewItem>
    <reviewItem>
      <errorID>542daf94-fcdf-40aa-92e5-7035b264e470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5733C579</paraID>
      <start>14</start>
      <end>17</end>
      <status>unmodified</status>
      <modifiedWord/>
      <trackRevisions>false</trackRevisions>
    </reviewItem>
    <reviewItem>
      <errorID>3156df45-2ba8-4bcd-9e18-1fb0d170dfe7</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5733C579</paraID>
      <start>37</start>
      <end>40</end>
      <status>unmodified</status>
      <modifiedWord/>
      <trackRevisions>false</trackRevisions>
    </reviewItem>
    <reviewItem>
      <errorID>0f75ab34-1eb3-4b5d-a37a-abe296ca1cbc</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5733C579</paraID>
      <start>57</start>
      <end>60</end>
      <status>unmodified</status>
      <modifiedWord/>
      <trackRevisions>false</trackRevisions>
    </reviewItem>
    <reviewItem>
      <errorID>a1767fdf-6c89-4ce8-87a0-f9491c558050</errorID>
      <errorWord>消音器</errorWord>
      <group>L1_Word</group>
      <groupName>字词问题</groupName>
      <ability>L2_Typo</ability>
      <abilityName>字词错误</abilityName>
      <candidateList>
        <item>消声器</item>
      </candidateList>
      <explain/>
      <paraID>10916C25</paraID>
      <start>16</start>
      <end>19</end>
      <status>unmodified</status>
      <modifiedWord/>
      <trackRevisions>false</trackRevisions>
    </reviewItem>
    <reviewItem>
      <errorID>a88710c6-fe6c-48c8-8fed-b795e43a47a1</errorID>
      <errorWord>;</errorWord>
      <group>L1_Format</group>
      <groupName>格式问题</groupName>
      <ability>L2_HalfPunc_CN</ability>
      <abilityName/>
      <candidateList>
        <item>；</item>
      </candidateList>
      <explain>文本全半角错误。</explain>
      <paraID>52A5FDA4</paraID>
      <start>28</start>
      <end>29</end>
      <status>unmodified</status>
      <modifiedWord/>
      <trackRevisions>false</trackRevisions>
    </reviewItem>
    <reviewItem>
      <errorID>9b83117e-5d5a-41d5-be73-f2d247f3fe96</errorID>
      <errorWord>;</errorWord>
      <group>L1_Format</group>
      <groupName>格式问题</groupName>
      <ability>L2_HalfPunc_CN</ability>
      <abilityName/>
      <candidateList>
        <item>；</item>
      </candidateList>
      <explain>文本全半角错误。</explain>
      <paraID>1D983B9C</paraID>
      <start>32</start>
      <end>33</end>
      <status>unmodified</status>
      <modifiedWord/>
      <trackRevisions>false</trackRevisions>
    </reviewItem>
    <reviewItem>
      <errorID>66b8f71d-1e5a-4ac9-9fe4-a784f3a3aefb</errorID>
      <errorWord>;</errorWord>
      <group>L1_Format</group>
      <groupName>格式问题</groupName>
      <ability>L2_HalfPunc_CN</ability>
      <abilityName/>
      <candidateList>
        <item>；</item>
      </candidateList>
      <explain>文本全半角错误。</explain>
      <paraID> 4E40FC2</paraID>
      <start>43</start>
      <end>44</end>
      <status>unmodified</status>
      <modifiedWord/>
      <trackRevisions>false</trackRevisions>
    </reviewItem>
    <reviewItem>
      <errorID>414d8b50-3fff-4473-82a2-68408dfad9d9</errorID>
      <errorWord>期</errorWord>
      <group>L1_Word</group>
      <groupName>字词问题</groupName>
      <ability>L2_Typo</ability>
      <abilityName>字词错误</abilityName>
      <candidateList>
        <item>期间</item>
      </candidateList>
      <explain>〈名〉某个时期里面：农忙～｜春节～｜抗战～。</explain>
      <paraID>656B0B6B</paraID>
      <start>5</start>
      <end>6</end>
      <status>unmodified</status>
      <modifiedWord/>
      <trackRevisions>false</trackRevisions>
    </reviewItem>
    <reviewItem>
      <errorID>7eefff39-87c2-4ff6-9877-be1b4c13bd28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4228497F</paraID>
      <start>0</start>
      <end>2</end>
      <status>unmodified</status>
      <modifiedWord/>
      <trackRevisions>false</trackRevisions>
    </reviewItem>
    <reviewItem>
      <errorID>de9721d2-c587-4dc6-9938-9c82fa4be253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70A87045</paraID>
      <start>0</start>
      <end>2</end>
      <status>unmodified</status>
      <modifiedWord/>
      <trackRevisions>false</trackRevisions>
    </reviewItem>
    <reviewItem>
      <errorID>b0a4b6e8-5c31-4a9e-95c1-f6a98437f53b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43FE6B99</paraID>
      <start>0</start>
      <end>2</end>
      <status>unmodified</status>
      <modifiedWord/>
      <trackRevisions>false</trackRevisions>
    </reviewItem>
    <reviewItem>
      <errorID>59f93ec6-b5c7-44de-b420-c2ae0aeca1ae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B18003F</paraID>
      <start>0</start>
      <end>2</end>
      <status>unmodified</status>
      <modifiedWord/>
      <trackRevisions>false</trackRevisions>
    </reviewItem>
    <reviewItem>
      <errorID>aa059056-f16a-4e76-9c6e-2ae7b4b4465b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3E07491D</paraID>
      <start>0</start>
      <end>2</end>
      <status>unmodified</status>
      <modifiedWord/>
      <trackRevisions>false</trackRevisions>
    </reviewItem>
    <reviewItem>
      <errorID>4386bb77-da40-490b-a751-e3cc06f9d1e3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2E0B9B6</paraID>
      <start>0</start>
      <end>2</end>
      <status>unmodified</status>
      <modifiedWord/>
      <trackRevisions>false</trackRevisions>
    </reviewItem>
    <reviewItem>
      <errorID>c1680283-4b9d-4f6e-a16a-4ed9173dd2ee</errorID>
      <errorWord>期</errorWord>
      <group>L1_Word</group>
      <groupName>字词问题</groupName>
      <ability>L2_Typo</ability>
      <abilityName>字词错误</abilityName>
      <candidateList>
        <item>期间</item>
      </candidateList>
      <explain>〈名〉某个时期里面：农忙～｜春节～｜抗战～。</explain>
      <paraID> 2E0B9B6</paraID>
      <start>4</start>
      <end>5</end>
      <status>unmodified</status>
      <modifiedWord/>
      <trackRevisions>false</trackRevisions>
    </reviewItem>
    <reviewItem>
      <errorID>34253134-c989-4f66-9c46-4ff52e771996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29F9DBD9</paraID>
      <start>0</start>
      <end>2</end>
      <status>unmodified</status>
      <modifiedWord/>
      <trackRevisions>false</trackRevisions>
    </reviewItem>
    <reviewItem>
      <errorID>4b1a2cff-9483-4931-b4cf-845a3de6195e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7FF6CF93</paraID>
      <start>0</start>
      <end>2</end>
      <status>unmodified</status>
      <modifiedWord/>
      <trackRevisions>false</trackRevisions>
    </reviewItem>
    <reviewItem>
      <errorID>4012e307-01a9-4fd1-b989-ebe1ab25723b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7A3B81F</paraID>
      <start>0</start>
      <end>2</end>
      <status>unmodified</status>
      <modifiedWord/>
      <trackRevisions>false</trackRevisions>
    </reviewItem>
    <reviewItem>
      <errorID>522fd0b7-3f69-47f8-8b9a-2a43f66d3d90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2B605EEE</paraID>
      <start>0</start>
      <end>2</end>
      <status>unmodified</status>
      <modifiedWord/>
      <trackRevisions>false</trackRevisions>
    </reviewItem>
    <reviewItem>
      <errorID>3459ff4a-02ee-4bb0-8111-4bd625360c85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576A04AC</paraID>
      <start>0</start>
      <end>2</end>
      <status>unmodified</status>
      <modifiedWord/>
      <trackRevisions>false</trackRevisions>
    </reviewItem>
    <reviewItem>
      <errorID>918016db-c484-45f0-8104-825aa44a0878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64471FC4</paraID>
      <start>0</start>
      <end>2</end>
      <status>unmodified</status>
      <modifiedWord/>
      <trackRevisions>false</trackRevisions>
    </reviewItem>
    <reviewItem>
      <errorID>0860f6bb-13c1-4dec-9d13-0e3573e1a564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1202D7CD</paraID>
      <start>0</start>
      <end>2</end>
      <status>unmodified</status>
      <modifiedWord/>
      <trackRevisions>false</trackRevisions>
    </reviewItem>
    <reviewItem>
      <errorID>856ba9a5-7450-4def-899d-e3ac269bfef4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14CDFD3E</paraID>
      <start>0</start>
      <end>2</end>
      <status>unmodified</status>
      <modifiedWord/>
      <trackRevisions>false</trackRevisions>
    </reviewItem>
    <reviewItem>
      <errorID>cfcdcb83-c749-4e51-9bcd-a84ef8a2fd76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39CA3F84</paraID>
      <start>0</start>
      <end>2</end>
      <status>unmodified</status>
      <modifiedWord/>
      <trackRevisions>false</trackRevisions>
    </reviewItem>
    <reviewItem>
      <errorID>4d40461e-6039-43c8-bf1b-de3b981bf466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5167814E</paraID>
      <start>0</start>
      <end>2</end>
      <status>unmodified</status>
      <modifiedWord/>
      <trackRevisions>false</trackRevisions>
    </reviewItem>
    <reviewItem>
      <errorID>83a30988-f2fb-464d-8b1e-9d57ac6dfae3</errorID>
      <errorWord>期</errorWord>
      <group>L1_Word</group>
      <groupName>字词问题</groupName>
      <ability>L2_Typo</ability>
      <abilityName>字词错误</abilityName>
      <candidateList>
        <item>期间</item>
      </candidateList>
      <explain>〈名〉某个时期里面：农忙～｜春节～｜抗战～。</explain>
      <paraID>5167814E</paraID>
      <start>4</start>
      <end>5</end>
      <status>unmodified</status>
      <modifiedWord/>
      <trackRevisions>false</trackRevisions>
    </reviewItem>
    <reviewItem>
      <errorID>a4a4566e-6c50-44b2-be19-185d2064b4fa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16DAFA2C</paraID>
      <start>0</start>
      <end>2</end>
      <status>unmodified</status>
      <modifiedWord/>
      <trackRevisions>false</trackRevisions>
    </reviewItem>
    <reviewItem>
      <errorID>ca942fd7-5719-4c67-9c2c-ede7a26450ae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69FBA009</paraID>
      <start>0</start>
      <end>2</end>
      <status>unmodified</status>
      <modifiedWord/>
      <trackRevisions>false</trackRevisions>
    </reviewItem>
    <reviewItem>
      <errorID>5e1a13c9-9360-4f14-a909-9487547b56b6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2243FB35</paraID>
      <start>0</start>
      <end>2</end>
      <status>unmodified</status>
      <modifiedWord/>
      <trackRevisions>false</trackRevisions>
    </reviewItem>
    <reviewItem>
      <errorID>cfcbe4de-14d8-4d13-9b78-c8797af5a8a9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3416AEF8</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6cdbd6-d757-4485-8d6c-f144d7fb5763}">
  <ds:schemaRefs/>
</ds:datastoreItem>
</file>

<file path=docProps/app.xml><?xml version="1.0" encoding="utf-8"?>
<Properties xmlns="http://schemas.openxmlformats.org/officeDocument/2006/extended-properties" xmlns:vt="http://schemas.openxmlformats.org/officeDocument/2006/docPropsVTypes">
  <Template>Normal</Template>
  <Pages>51</Pages>
  <Words>18239</Words>
  <Characters>19777</Characters>
  <Lines>1</Lines>
  <Paragraphs>1</Paragraphs>
  <TotalTime>43</TotalTime>
  <ScaleCrop>false</ScaleCrop>
  <LinksUpToDate>false</LinksUpToDate>
  <CharactersWithSpaces>19976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2022-10-14T06:55:00Z</dcterms:created>
  <dc:creator>尚云环境</dc:creator>
  <cp:lastModifiedBy>bcc</cp:lastModifiedBy>
  <cp:lastPrinted>2023-08-10T04:35:00Z</cp:lastPrinted>
  <dcterms:modified xsi:type="dcterms:W3CDTF">2026-06-16T02:41:39Z</dcterms:modified>
  <dc:title>建设项目环境影响报告表（生态影响类）</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A8E63069993E418C8A68D225AB788292_13</vt:lpwstr>
  </property>
  <property fmtid="{D5CDD505-2E9C-101B-9397-08002B2CF9AE}" pid="4" name="KSOTemplateDocerSaveRecord">
    <vt:lpwstr>eyJoZGlkIjoiN2NhMDgyNzRhZjNhMTdlM2RhODMzOGEwYWMwNjI5MzYiLCJ1c2VySWQiOiIxMzI5NDY0MjU1In0=</vt:lpwstr>
  </property>
</Properties>
</file>